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8"/>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bookmarkEnd w:id="0"/>
    <w:p>
      <w:pPr>
        <w:bidi w:val="0"/>
        <w:jc w:val="center"/>
        <w:rPr>
          <w:rFonts w:hint="eastAsia" w:ascii="方正小标宋_GBK" w:hAnsi="方正小标宋_GBK" w:eastAsia="方正小标宋_GBK" w:cs="方正小标宋_GBK"/>
          <w:sz w:val="72"/>
          <w:szCs w:val="72"/>
        </w:rPr>
      </w:pPr>
      <w:bookmarkStart w:id="1" w:name="_Toc15396475"/>
      <w:bookmarkStart w:id="2" w:name="_Toc15377193"/>
      <w:bookmarkStart w:id="3" w:name="_Toc15396597"/>
      <w:bookmarkStart w:id="4" w:name="_Toc1778625914"/>
      <w:bookmarkStart w:id="5" w:name="_Toc15377425"/>
      <w:bookmarkStart w:id="6" w:name="_Toc15378441"/>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w:t>
      </w:r>
      <w:bookmarkEnd w:id="1"/>
      <w:bookmarkEnd w:id="2"/>
      <w:bookmarkEnd w:id="3"/>
      <w:bookmarkEnd w:id="4"/>
      <w:bookmarkEnd w:id="5"/>
      <w:bookmarkEnd w:id="6"/>
    </w:p>
    <w:p>
      <w:pPr>
        <w:bidi w:val="0"/>
        <w:jc w:val="center"/>
        <w:rPr>
          <w:rFonts w:hint="eastAsia" w:ascii="方正小标宋_GBK" w:hAnsi="方正小标宋_GBK" w:eastAsia="方正小标宋_GBK" w:cs="方正小标宋_GBK"/>
          <w:sz w:val="72"/>
          <w:szCs w:val="72"/>
          <w:lang w:eastAsia="zh-CN"/>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7" w:name="_Toc15396476"/>
      <w:bookmarkStart w:id="8" w:name="_Toc15378442"/>
      <w:bookmarkStart w:id="9" w:name="_Toc15377426"/>
      <w:bookmarkStart w:id="10" w:name="_Toc15377194"/>
      <w:bookmarkStart w:id="11" w:name="_Toc15396598"/>
      <w:r>
        <w:rPr>
          <w:rFonts w:hint="eastAsia" w:ascii="方正小标宋_GBK" w:hAnsi="方正小标宋_GBK" w:eastAsia="方正小标宋_GBK" w:cs="方正小标宋_GBK"/>
          <w:sz w:val="72"/>
          <w:szCs w:val="72"/>
        </w:rPr>
        <w:t>攀枝花市</w:t>
      </w:r>
      <w:bookmarkStart w:id="12" w:name="_Toc15306268"/>
      <w:r>
        <w:rPr>
          <w:rFonts w:hint="eastAsia" w:ascii="方正小标宋_GBK" w:hAnsi="方正小标宋_GBK" w:eastAsia="方正小标宋_GBK" w:cs="方正小标宋_GBK"/>
          <w:sz w:val="72"/>
          <w:szCs w:val="72"/>
        </w:rPr>
        <w:t>健康促进和卫生大数据中心单位决</w:t>
      </w:r>
      <w:bookmarkEnd w:id="7"/>
      <w:bookmarkEnd w:id="8"/>
      <w:bookmarkEnd w:id="9"/>
      <w:bookmarkEnd w:id="10"/>
      <w:bookmarkEnd w:id="11"/>
      <w:bookmarkEnd w:id="12"/>
      <w:r>
        <w:rPr>
          <w:rFonts w:hint="eastAsia" w:ascii="方正小标宋_GBK" w:hAnsi="方正小标宋_GBK" w:eastAsia="方正小标宋_GBK" w:cs="方正小标宋_GBK"/>
          <w:sz w:val="72"/>
          <w:szCs w:val="72"/>
          <w:lang w:eastAsia="zh-CN"/>
        </w:rPr>
        <w:t>算</w:t>
      </w:r>
    </w:p>
    <w:p>
      <w:pPr>
        <w:widowControl/>
        <w:suppressAutoHyphens/>
        <w:jc w:val="center"/>
        <w:rPr>
          <w:rFonts w:hint="eastAsia" w:ascii="黑体" w:eastAsia="黑体"/>
          <w:color w:val="auto"/>
          <w:sz w:val="44"/>
          <w:szCs w:val="44"/>
          <w:highlight w:val="none"/>
        </w:rPr>
      </w:pPr>
      <w:r>
        <w:rPr>
          <w:rFonts w:hint="eastAsia" w:ascii="黑体" w:eastAsia="黑体"/>
          <w:color w:val="auto"/>
          <w:sz w:val="44"/>
          <w:szCs w:val="44"/>
          <w:highlight w:val="none"/>
        </w:rPr>
        <w:t>目录</w:t>
      </w:r>
    </w:p>
    <w:p>
      <w:pPr>
        <w:widowControl/>
        <w:suppressAutoHyphens/>
        <w:jc w:val="center"/>
        <w:rPr>
          <w:rFonts w:hint="eastAsia" w:ascii="黑体" w:eastAsia="黑体" w:cs="Times New Roman"/>
          <w:color w:val="auto"/>
          <w:sz w:val="28"/>
          <w:szCs w:val="28"/>
          <w:highlight w:val="none"/>
          <w:lang w:bidi="ar-SA"/>
        </w:rPr>
      </w:pPr>
    </w:p>
    <w:p>
      <w:pPr>
        <w:pStyle w:val="8"/>
        <w:jc w:val="center"/>
        <w:rPr>
          <w:rFonts w:hint="default" w:ascii="Times New Roman" w:hAnsi="Times New Roman" w:cs="Times New Roman"/>
        </w:rPr>
      </w:pPr>
      <w:r>
        <w:rPr>
          <w:rFonts w:hint="default" w:ascii="Times New Roman" w:hAnsi="Times New Roman" w:cs="Times New Roman"/>
          <w:color w:val="auto"/>
          <w:highlight w:val="none"/>
        </w:rPr>
        <w:t>公开时间：20</w:t>
      </w:r>
      <w:r>
        <w:rPr>
          <w:rFonts w:hint="default" w:ascii="Times New Roman" w:hAnsi="Times New Roman" w:cs="Times New Roman"/>
          <w:color w:val="auto"/>
          <w:highlight w:val="none"/>
          <w:lang w:val="en-US" w:eastAsia="zh-CN"/>
        </w:rPr>
        <w:t>24</w:t>
      </w:r>
      <w:r>
        <w:rPr>
          <w:rFonts w:hint="default" w:ascii="Times New Roman" w:hAnsi="Times New Roman" w:cs="Times New Roman"/>
          <w:color w:val="auto"/>
          <w:highlight w:val="none"/>
        </w:rPr>
        <w:t>年</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月</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 w:eastAsia="zh-CN"/>
        </w:rPr>
        <w:t>8</w:t>
      </w:r>
      <w:r>
        <w:rPr>
          <w:rFonts w:hint="default" w:ascii="Times New Roman" w:hAnsi="Times New Roman" w:cs="Times New Roman"/>
          <w:color w:val="auto"/>
          <w:highlight w:val="none"/>
        </w:rPr>
        <w:t>日</w:t>
      </w:r>
      <w:bookmarkStart w:id="126" w:name="_GoBack"/>
      <w:bookmarkEnd w:id="126"/>
    </w:p>
    <w:sdt>
      <w:sdtPr>
        <w:rPr>
          <w:rFonts w:ascii="宋体" w:hAnsi="宋体" w:eastAsia="宋体" w:cs="Times New Roman"/>
          <w:kern w:val="2"/>
          <w:sz w:val="21"/>
          <w:szCs w:val="21"/>
          <w:lang w:val="en-US" w:eastAsia="zh-CN" w:bidi="ar-SA"/>
        </w:rPr>
        <w:id w:val="110814164"/>
        <w15:color w:val="DBDBDB"/>
        <w:docPartObj>
          <w:docPartGallery w:val="Table of Contents"/>
          <w:docPartUnique/>
        </w:docPartObj>
      </w:sdtPr>
      <w:sdtEndPr>
        <w:rPr>
          <w:rFonts w:hint="eastAsia" w:ascii="宋体" w:hAnsi="宋体" w:eastAsia="宋体" w:cs="Times New Roman"/>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sz w:val="21"/>
              <w:szCs w:val="21"/>
            </w:rPr>
          </w:pPr>
          <w:bookmarkStart w:id="13" w:name="_Toc1789010968"/>
          <w:r>
            <w:rPr>
              <w:rFonts w:hint="eastAsia" w:ascii="黑体" w:hAnsi="黑体" w:eastAsia="黑体"/>
              <w:sz w:val="21"/>
              <w:szCs w:val="21"/>
            </w:rPr>
            <w:t>目录</w:t>
          </w:r>
        </w:p>
        <w:p>
          <w:pPr>
            <w:pStyle w:val="13"/>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TOC \o "1-2" \h \u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_Toc317338273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第一部分 单位概况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_Toc317338273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_Toc1247188353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一、主要职责</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_Toc1247188353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_Toc790624185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二、机构设置</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_Toc790624185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_Toc2071934422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第二部分 2023年度单位决算情况说明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_Toc2071934422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_Toc1104558441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 收入支出决算总体情况说明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_Toc1104558441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_Toc980900106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 收入决算情况说明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_Toc980900106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_Toc14852879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三、支出决算情况说明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_Toc14852879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_Toc1579302475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四、财政拨款收入支出决算总体情况说明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_Toc1579302475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_Toc1856190489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五、一般公共预算财政拨款支出决算情况说明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_Toc1856190489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_Toc507814088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六、一般公共预算财政拨款基本支出决算情况说明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_Toc507814088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_Toc488706074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七、财政拨款“三公”经费支出决算情况说明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_Toc488706074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_Toc142152510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八、政府性基金预算支出决算情况说明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_Toc142152510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_Toc1324518003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九、国有资本经营预算支出决算情况说明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_Toc1324518003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_Toc1055939836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十、其他重要事项的情况说明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_Toc1055939836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_Toc1074821776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第三部分 名词解释</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_Toc1074821776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_Toc1332342138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第四部分 附件</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_Toc1332342138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_Toc1187887814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部门预算项目支出绩效自评表（2023年度）</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_Toc1187887814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_Toc870435286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第五部分 附表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_Toc870435286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_Toc1750808926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一、收入支出决算总表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_Toc1750808926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_Toc394077813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二、收入决算表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_Toc394077813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_Toc848060025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三、支出决算表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_Toc848060025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_Toc590577871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四、财政拨款收入支出决算总表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_Toc590577871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_Toc1209719698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五、财政拨款支出决算明细表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_Toc1209719698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_Toc383884371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六、一般公共预算财政拨款支出决算表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_Toc383884371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_Toc1705789455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七、一般公共预算财政拨款支出决算明细表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_Toc1705789455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_Toc333890097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八、一般公共预算财政拨款基本支出决算表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_Toc333890097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_Toc1647421083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九、一般公共预算财政拨款项目支出决算表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_Toc1647421083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4"/>
            <w:adjustRightInd w:val="0"/>
            <w:snapToGrid w:val="0"/>
            <w:spacing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_Toc1803698930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十、政府性基金预算财政拨款收入支出决算表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_Toc1803698930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_Toc407013744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十一、国有资本经营预算财政拨款收入支出决算表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_Toc407013744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_Toc1964759356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十二、国有资本经营预算财政拨款支出决算表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_Toc1964759356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_Toc903403635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十三、财政拨款“三公”经费支出决算表</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_Toc903403635 \h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end"/>
          </w:r>
        </w:p>
        <w:p>
          <w:pPr>
            <w:pStyle w:val="13"/>
            <w:adjustRightInd w:val="0"/>
            <w:snapToGrid w:val="0"/>
            <w:spacing w:before="0" w:line="440" w:lineRule="exact"/>
            <w:jc w:val="left"/>
            <w:rPr>
              <w:rFonts w:hint="eastAsia" w:ascii="宋体" w:hAnsi="宋体" w:eastAsia="宋体" w:cs="宋体"/>
              <w:sz w:val="24"/>
            </w:rPr>
          </w:pPr>
        </w:p>
        <w:p>
          <w:pPr>
            <w:pStyle w:val="13"/>
            <w:adjustRightInd w:val="0"/>
            <w:snapToGrid w:val="0"/>
            <w:spacing w:before="0" w:line="440" w:lineRule="exact"/>
            <w:jc w:val="left"/>
            <w:rPr>
              <w:rFonts w:hint="eastAsia" w:ascii="宋体" w:hAnsi="宋体" w:eastAsia="宋体" w:cs="宋体"/>
              <w:sz w:val="24"/>
            </w:rPr>
          </w:pPr>
        </w:p>
        <w:p>
          <w:pPr>
            <w:pStyle w:val="13"/>
            <w:adjustRightInd w:val="0"/>
            <w:snapToGrid w:val="0"/>
            <w:spacing w:before="0" w:line="440" w:lineRule="exact"/>
            <w:jc w:val="left"/>
            <w:rPr>
              <w:rFonts w:hint="eastAsia" w:ascii="宋体" w:hAnsi="宋体" w:eastAsia="宋体" w:cs="宋体"/>
              <w:sz w:val="24"/>
            </w:rPr>
          </w:pPr>
        </w:p>
        <w:p>
          <w:pPr>
            <w:pStyle w:val="13"/>
            <w:adjustRightInd w:val="0"/>
            <w:snapToGrid w:val="0"/>
            <w:spacing w:before="0" w:line="440" w:lineRule="exact"/>
            <w:jc w:val="left"/>
            <w:rPr>
              <w:rFonts w:hint="eastAsia" w:ascii="宋体" w:hAnsi="宋体" w:eastAsia="宋体" w:cs="宋体"/>
              <w:sz w:val="24"/>
            </w:rPr>
          </w:pPr>
        </w:p>
        <w:p>
          <w:pPr>
            <w:pStyle w:val="13"/>
            <w:adjustRightInd w:val="0"/>
            <w:snapToGrid w:val="0"/>
            <w:spacing w:before="0" w:line="440" w:lineRule="exact"/>
            <w:jc w:val="left"/>
            <w:rPr>
              <w:rFonts w:hint="eastAsia" w:ascii="宋体" w:hAnsi="宋体" w:eastAsia="宋体" w:cs="宋体"/>
              <w:sz w:val="24"/>
            </w:rPr>
          </w:pPr>
        </w:p>
        <w:p>
          <w:pPr>
            <w:pStyle w:val="13"/>
            <w:adjustRightInd w:val="0"/>
            <w:snapToGrid w:val="0"/>
            <w:spacing w:before="0" w:line="440" w:lineRule="exact"/>
            <w:jc w:val="left"/>
            <w:rPr>
              <w:rFonts w:hint="eastAsia" w:ascii="宋体" w:hAnsi="宋体" w:eastAsia="宋体" w:cs="宋体"/>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p>
          <w:pPr>
            <w:pStyle w:val="13"/>
            <w:adjustRightInd w:val="0"/>
            <w:snapToGrid w:val="0"/>
            <w:spacing w:before="0" w:line="440" w:lineRule="exact"/>
            <w:jc w:val="left"/>
            <w:rPr>
              <w:rFonts w:hint="eastAsia"/>
              <w:sz w:val="24"/>
            </w:rPr>
          </w:pPr>
        </w:p>
      </w:sdtContent>
    </w:sdt>
    <w:p>
      <w:pPr>
        <w:pStyle w:val="5"/>
        <w:bidi w:val="0"/>
        <w:jc w:val="center"/>
      </w:pPr>
      <w:bookmarkStart w:id="14" w:name="_Toc317338273"/>
      <w:r>
        <w:rPr>
          <w:rFonts w:hint="eastAsia"/>
        </w:rPr>
        <w:t>第一部分 单位概况</w:t>
      </w:r>
      <w:bookmarkEnd w:id="13"/>
      <w:bookmarkEnd w:id="14"/>
    </w:p>
    <w:p>
      <w:pPr>
        <w:pStyle w:val="5"/>
        <w:bidi w:val="0"/>
        <w:jc w:val="center"/>
        <w:outlineLvl w:val="9"/>
      </w:pPr>
    </w:p>
    <w:p>
      <w:pPr>
        <w:pStyle w:val="6"/>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hint="eastAsia" w:ascii="黑体" w:hAnsi="黑体" w:eastAsia="黑体" w:cs="黑体"/>
          <w:b w:val="0"/>
          <w:bCs w:val="0"/>
        </w:rPr>
      </w:pPr>
      <w:bookmarkStart w:id="15" w:name="_Toc600469526"/>
      <w:bookmarkStart w:id="16" w:name="_Toc1247188353"/>
      <w:bookmarkStart w:id="17" w:name="_Toc15396600"/>
      <w:bookmarkStart w:id="18" w:name="_Toc15377197"/>
      <w:r>
        <w:rPr>
          <w:rFonts w:hint="eastAsia" w:ascii="黑体" w:hAnsi="黑体" w:eastAsia="黑体" w:cs="黑体"/>
          <w:b w:val="0"/>
          <w:bCs w:val="0"/>
          <w:lang w:eastAsia="zh-CN"/>
        </w:rPr>
        <w:t>一、</w:t>
      </w:r>
      <w:r>
        <w:rPr>
          <w:rFonts w:hint="eastAsia" w:ascii="黑体" w:hAnsi="黑体" w:eastAsia="黑体" w:cs="黑体"/>
          <w:b w:val="0"/>
          <w:bCs w:val="0"/>
        </w:rPr>
        <w:t>主要职责</w:t>
      </w:r>
      <w:bookmarkEnd w:id="15"/>
      <w:bookmarkEnd w:id="16"/>
    </w:p>
    <w:p>
      <w:pPr>
        <w:ind w:firstLine="640" w:firstLineChars="200"/>
        <w:rPr>
          <w:rFonts w:ascii="仿宋" w:hAnsi="仿宋" w:eastAsia="仿宋"/>
          <w:sz w:val="32"/>
          <w:szCs w:val="32"/>
        </w:rPr>
      </w:pPr>
      <w:r>
        <w:rPr>
          <w:rFonts w:hint="eastAsia" w:ascii="仿宋" w:hAnsi="仿宋" w:eastAsia="仿宋" w:cs="仿宋"/>
          <w:sz w:val="32"/>
          <w:szCs w:val="32"/>
        </w:rPr>
        <w:t>承担全市卫生健康与促进、人才项目实施、继续医学教育、人才专业评价、行业资格考试等服务工作；负责卫生健康信息化、健康医疗大数据产业发展、卫生统计等工作；开展医学情报分析、研究，为有关医疗卫生机构、市医学会、市药学会等提供医疗技术评审服务工作。</w:t>
      </w:r>
    </w:p>
    <w:p/>
    <w:p>
      <w:pPr>
        <w:pStyle w:val="6"/>
        <w:keepNext/>
        <w:keepLines/>
        <w:pageBreakBefore w:val="0"/>
        <w:widowControl w:val="0"/>
        <w:kinsoku/>
        <w:wordWrap/>
        <w:overflowPunct/>
        <w:topLinePunct w:val="0"/>
        <w:autoSpaceDE/>
        <w:autoSpaceDN/>
        <w:bidi w:val="0"/>
        <w:adjustRightInd/>
        <w:snapToGrid/>
        <w:spacing w:line="416" w:lineRule="auto"/>
        <w:ind w:firstLine="642" w:firstLineChars="200"/>
        <w:textAlignment w:val="auto"/>
        <w:rPr>
          <w:rFonts w:hint="eastAsia"/>
        </w:rPr>
      </w:pPr>
      <w:bookmarkStart w:id="19" w:name="_Toc1834884224"/>
      <w:bookmarkStart w:id="20" w:name="_Toc790624185"/>
      <w:r>
        <w:rPr>
          <w:rFonts w:hint="eastAsia"/>
        </w:rPr>
        <w:t>二、机构设置</w:t>
      </w:r>
      <w:bookmarkEnd w:id="19"/>
      <w:bookmarkEnd w:id="20"/>
    </w:p>
    <w:bookmarkEnd w:id="17"/>
    <w:bookmarkEnd w:id="18"/>
    <w:p>
      <w:pPr>
        <w:snapToGrid w:val="0"/>
        <w:spacing w:line="520" w:lineRule="exact"/>
        <w:ind w:firstLine="640" w:firstLineChars="200"/>
        <w:rPr>
          <w:rFonts w:hint="default" w:ascii="仿宋" w:hAnsi="仿宋" w:eastAsia="仿宋"/>
          <w:sz w:val="32"/>
          <w:szCs w:val="32"/>
          <w:lang w:val="en-US" w:eastAsia="zh-CN"/>
        </w:rPr>
      </w:pPr>
      <w:r>
        <w:rPr>
          <w:rFonts w:hint="eastAsia" w:ascii="仿宋" w:hAnsi="仿宋" w:eastAsia="仿宋" w:cs="仿宋"/>
          <w:sz w:val="32"/>
          <w:szCs w:val="32"/>
        </w:rPr>
        <w:t>本单位为攀枝花市卫生健康委员会所属二级预算单位。</w:t>
      </w:r>
      <w:r>
        <w:rPr>
          <w:rFonts w:hint="eastAsia" w:ascii="仿宋" w:hAnsi="仿宋" w:eastAsia="仿宋" w:cs="仿宋"/>
          <w:sz w:val="32"/>
          <w:szCs w:val="32"/>
          <w:lang w:eastAsia="zh-CN"/>
        </w:rPr>
        <w:t>内设机构</w:t>
      </w:r>
      <w:r>
        <w:rPr>
          <w:rFonts w:hint="eastAsia" w:ascii="仿宋" w:hAnsi="仿宋" w:eastAsia="仿宋" w:cs="仿宋"/>
          <w:sz w:val="32"/>
          <w:szCs w:val="32"/>
          <w:lang w:val="en-US" w:eastAsia="zh-CN"/>
        </w:rPr>
        <w:t>2个，分别为办公室和综合室。办公室职责：负责行政工作综合协调、安全生产、信访稳定、财务、工会、后勤保障、作风建设、科教服务、医疗技术评审服务，承担市医学会与药学会日常管理；综合室职责：负责党建、党风廉政建设、组织人事、档案、卫生健康信息化建设、卫生健康统计、健康医疗大数据产业发展。现有在编人员14人。</w:t>
      </w:r>
    </w:p>
    <w:p>
      <w:pPr>
        <w:widowControl/>
        <w:jc w:val="left"/>
        <w:rPr>
          <w:rFonts w:ascii="仿宋" w:hAnsi="仿宋" w:eastAsia="仿宋"/>
          <w:kern w:val="0"/>
          <w:sz w:val="32"/>
          <w:szCs w:val="32"/>
        </w:rPr>
      </w:pPr>
      <w:r>
        <w:rPr>
          <w:rFonts w:ascii="仿宋" w:hAnsi="仿宋" w:eastAsia="仿宋"/>
          <w:sz w:val="32"/>
          <w:szCs w:val="32"/>
        </w:rPr>
        <w:br w:type="page"/>
      </w:r>
    </w:p>
    <w:p>
      <w:pPr>
        <w:pStyle w:val="5"/>
        <w:bidi w:val="0"/>
        <w:jc w:val="center"/>
      </w:pPr>
      <w:bookmarkStart w:id="21" w:name="_Toc883940304"/>
      <w:bookmarkStart w:id="22" w:name="_Toc2071934422"/>
      <w:bookmarkStart w:id="23" w:name="_Toc15377204"/>
      <w:bookmarkStart w:id="24" w:name="_Toc15396602"/>
      <w:r>
        <w:rPr>
          <w:rFonts w:hint="eastAsia"/>
        </w:rPr>
        <w:t>第二部分 2023年度单位决算情况说明</w:t>
      </w:r>
      <w:bookmarkEnd w:id="21"/>
      <w:bookmarkEnd w:id="22"/>
      <w:bookmarkEnd w:id="23"/>
      <w:bookmarkEnd w:id="24"/>
    </w:p>
    <w:p/>
    <w:p>
      <w:pPr>
        <w:pStyle w:val="6"/>
        <w:numPr>
          <w:ilvl w:val="0"/>
          <w:numId w:val="1"/>
        </w:numPr>
        <w:bidi w:val="0"/>
        <w:rPr>
          <w:rFonts w:hint="eastAsia" w:ascii="黑体" w:hAnsi="黑体" w:eastAsia="黑体" w:cs="黑体"/>
          <w:b w:val="0"/>
          <w:bCs w:val="0"/>
        </w:rPr>
      </w:pPr>
      <w:bookmarkStart w:id="25" w:name="_Toc1104558441"/>
      <w:bookmarkStart w:id="26" w:name="_Toc1647592008"/>
      <w:bookmarkStart w:id="27" w:name="_Toc15377205"/>
      <w:bookmarkStart w:id="28" w:name="_Toc15396603"/>
      <w:r>
        <w:rPr>
          <w:rFonts w:hint="eastAsia" w:ascii="黑体" w:hAnsi="黑体" w:eastAsia="黑体" w:cs="黑体"/>
          <w:b w:val="0"/>
          <w:bCs w:val="0"/>
        </w:rPr>
        <w:t>收入支出决算总体情况说明</w:t>
      </w:r>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298.72</w:t>
      </w:r>
      <w:r>
        <w:rPr>
          <w:rFonts w:hint="eastAsia" w:ascii="仿宋" w:hAnsi="仿宋" w:eastAsia="仿宋"/>
          <w:sz w:val="32"/>
          <w:szCs w:val="32"/>
        </w:rPr>
        <w:t>万元。与2022年度相比，收</w:t>
      </w:r>
      <w:r>
        <w:rPr>
          <w:rFonts w:hint="eastAsia" w:ascii="仿宋" w:hAnsi="仿宋" w:eastAsia="仿宋"/>
          <w:sz w:val="32"/>
          <w:szCs w:val="32"/>
          <w:lang w:eastAsia="zh-CN"/>
        </w:rPr>
        <w:t>入</w:t>
      </w:r>
      <w:r>
        <w:rPr>
          <w:rFonts w:hint="eastAsia" w:ascii="仿宋" w:hAnsi="仿宋" w:eastAsia="仿宋"/>
          <w:sz w:val="32"/>
          <w:szCs w:val="32"/>
        </w:rPr>
        <w:t>减少</w:t>
      </w:r>
      <w:r>
        <w:rPr>
          <w:rFonts w:hint="eastAsia" w:ascii="仿宋" w:hAnsi="仿宋" w:eastAsia="仿宋"/>
          <w:sz w:val="32"/>
          <w:szCs w:val="32"/>
          <w:lang w:val="en-US" w:eastAsia="zh-CN"/>
        </w:rPr>
        <w:t>18.41</w:t>
      </w:r>
      <w:r>
        <w:rPr>
          <w:rFonts w:hint="eastAsia" w:ascii="仿宋" w:hAnsi="仿宋" w:eastAsia="仿宋"/>
          <w:sz w:val="32"/>
          <w:szCs w:val="32"/>
        </w:rPr>
        <w:t>万元，</w:t>
      </w:r>
      <w:r>
        <w:rPr>
          <w:rFonts w:hint="eastAsia" w:ascii="仿宋" w:hAnsi="仿宋" w:eastAsia="仿宋"/>
          <w:sz w:val="32"/>
          <w:szCs w:val="32"/>
          <w:lang w:eastAsia="zh-CN"/>
        </w:rPr>
        <w:t>支出减少</w:t>
      </w:r>
      <w:r>
        <w:rPr>
          <w:rFonts w:hint="eastAsia" w:ascii="仿宋" w:hAnsi="仿宋" w:eastAsia="仿宋"/>
          <w:sz w:val="32"/>
          <w:szCs w:val="32"/>
          <w:lang w:val="en-US" w:eastAsia="zh-CN"/>
        </w:rPr>
        <w:t>37.43万元，收入</w:t>
      </w:r>
      <w:r>
        <w:rPr>
          <w:rFonts w:hint="eastAsia" w:ascii="仿宋" w:hAnsi="仿宋" w:eastAsia="仿宋"/>
          <w:sz w:val="32"/>
          <w:szCs w:val="32"/>
        </w:rPr>
        <w:t>下降</w:t>
      </w:r>
      <w:r>
        <w:rPr>
          <w:rFonts w:hint="eastAsia" w:ascii="仿宋" w:hAnsi="仿宋" w:eastAsia="仿宋"/>
          <w:sz w:val="32"/>
          <w:szCs w:val="32"/>
          <w:lang w:val="en-US" w:eastAsia="zh-CN"/>
        </w:rPr>
        <w:t>5.8</w:t>
      </w:r>
      <w:r>
        <w:rPr>
          <w:rFonts w:ascii="仿宋" w:hAnsi="仿宋" w:eastAsia="仿宋"/>
          <w:sz w:val="32"/>
          <w:szCs w:val="32"/>
        </w:rPr>
        <w:t>%</w:t>
      </w:r>
      <w:r>
        <w:rPr>
          <w:rFonts w:hint="eastAsia" w:ascii="仿宋" w:hAnsi="仿宋" w:eastAsia="仿宋"/>
          <w:sz w:val="32"/>
          <w:szCs w:val="32"/>
          <w:lang w:eastAsia="zh-CN"/>
        </w:rPr>
        <w:t>，支出下降</w:t>
      </w:r>
      <w:r>
        <w:rPr>
          <w:rFonts w:hint="eastAsia" w:ascii="仿宋" w:hAnsi="仿宋" w:eastAsia="仿宋"/>
          <w:sz w:val="32"/>
          <w:szCs w:val="32"/>
          <w:lang w:val="en-US" w:eastAsia="zh-CN"/>
        </w:rPr>
        <w:t>11.13%。</w:t>
      </w:r>
      <w:r>
        <w:rPr>
          <w:rFonts w:hint="eastAsia" w:ascii="仿宋" w:hAnsi="仿宋" w:eastAsia="仿宋"/>
          <w:sz w:val="32"/>
          <w:szCs w:val="32"/>
        </w:rPr>
        <w:t>主要变动原因是</w:t>
      </w:r>
      <w:r>
        <w:rPr>
          <w:rFonts w:hint="eastAsia" w:ascii="仿宋" w:hAnsi="仿宋" w:eastAsia="仿宋"/>
          <w:sz w:val="32"/>
          <w:szCs w:val="32"/>
          <w:lang w:val="en-US" w:eastAsia="zh-CN"/>
        </w:rPr>
        <w:t>2023年卫生健康项目财政拨款收入减少，支出相应减少，主要涉及公立医院和其他卫生健康支出两个项目</w:t>
      </w:r>
      <w:r>
        <w:rPr>
          <w:rFonts w:hint="eastAsia" w:ascii="仿宋" w:hAnsi="仿宋" w:eastAsia="仿宋"/>
          <w:sz w:val="32"/>
          <w:szCs w:val="32"/>
        </w:rPr>
        <w:t>。</w:t>
      </w:r>
    </w:p>
    <w:p>
      <w:pPr>
        <w:pStyle w:val="8"/>
      </w:pPr>
      <w:r>
        <w:drawing>
          <wp:inline distT="0" distB="0" distL="114300" distR="114300">
            <wp:extent cx="5269230" cy="2435860"/>
            <wp:effectExtent l="5080" t="4445" r="21590" b="17145"/>
            <wp:docPr id="1081"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：收、支决算总计变动情况图）（柱状图）</w:t>
      </w:r>
    </w:p>
    <w:p>
      <w:pPr>
        <w:pStyle w:val="8"/>
        <w:rPr>
          <w:rFonts w:hint="eastAsia" w:ascii="仿宋" w:hAnsi="仿宋" w:eastAsia="仿宋" w:cs="仿宋"/>
          <w:sz w:val="32"/>
          <w:szCs w:val="32"/>
        </w:rPr>
      </w:pPr>
    </w:p>
    <w:p>
      <w:pPr>
        <w:spacing w:line="600" w:lineRule="exact"/>
        <w:ind w:firstLine="640" w:firstLineChars="200"/>
        <w:jc w:val="left"/>
        <w:rPr>
          <w:rFonts w:ascii="仿宋_GB2312" w:eastAsia="仿宋_GB2312"/>
          <w:sz w:val="32"/>
          <w:szCs w:val="32"/>
        </w:rPr>
      </w:pPr>
    </w:p>
    <w:p>
      <w:pPr>
        <w:pStyle w:val="28"/>
        <w:numPr>
          <w:ilvl w:val="0"/>
          <w:numId w:val="1"/>
        </w:numPr>
        <w:spacing w:line="600" w:lineRule="exact"/>
        <w:ind w:firstLineChars="0"/>
        <w:outlineLvl w:val="1"/>
        <w:rPr>
          <w:rStyle w:val="30"/>
          <w:rFonts w:ascii="黑体" w:hAnsi="黑体" w:eastAsia="黑体"/>
          <w:b w:val="0"/>
        </w:rPr>
      </w:pPr>
      <w:bookmarkStart w:id="29" w:name="_Toc15396604"/>
      <w:bookmarkStart w:id="30" w:name="_Toc980900106"/>
      <w:bookmarkStart w:id="31" w:name="_Toc15377206"/>
      <w:bookmarkStart w:id="32" w:name="_Toc641166527"/>
      <w:r>
        <w:rPr>
          <w:rFonts w:hint="eastAsia" w:ascii="黑体" w:hAnsi="黑体" w:eastAsia="黑体"/>
          <w:sz w:val="32"/>
          <w:szCs w:val="32"/>
        </w:rPr>
        <w:t>收</w:t>
      </w:r>
      <w:r>
        <w:rPr>
          <w:rStyle w:val="30"/>
          <w:rFonts w:hint="eastAsia" w:ascii="黑体" w:hAnsi="黑体" w:eastAsia="黑体"/>
          <w:b w:val="0"/>
        </w:rPr>
        <w:t>入决算情况说明</w:t>
      </w:r>
      <w:bookmarkEnd w:id="29"/>
      <w:bookmarkEnd w:id="30"/>
      <w:bookmarkEnd w:id="31"/>
      <w:bookmarkEnd w:id="32"/>
    </w:p>
    <w:p>
      <w:pPr>
        <w:spacing w:line="600" w:lineRule="exact"/>
        <w:ind w:firstLine="640" w:firstLineChars="200"/>
        <w:outlineLvl w:val="1"/>
        <w:rPr>
          <w:rFonts w:hint="eastAsia" w:ascii="仿宋" w:hAnsi="仿宋" w:eastAsia="仿宋"/>
          <w:b/>
          <w:sz w:val="32"/>
          <w:szCs w:val="32"/>
          <w:lang w:eastAsia="zh-CN"/>
        </w:rPr>
      </w:pPr>
      <w:bookmarkStart w:id="33" w:name="_Toc1830456968"/>
      <w:bookmarkStart w:id="34" w:name="_Toc1211784866"/>
      <w:r>
        <w:rPr>
          <w:rFonts w:hint="eastAsia" w:ascii="仿宋" w:hAnsi="仿宋" w:eastAsia="仿宋"/>
          <w:sz w:val="32"/>
          <w:szCs w:val="32"/>
        </w:rPr>
        <w:t>2023年度本年收入合计</w:t>
      </w:r>
      <w:r>
        <w:rPr>
          <w:rFonts w:ascii="仿宋" w:hAnsi="仿宋" w:eastAsia="仿宋"/>
          <w:b/>
          <w:sz w:val="32"/>
          <w:szCs w:val="32"/>
        </w:rPr>
        <w:t>298.72</w:t>
      </w:r>
      <w:r>
        <w:rPr>
          <w:rFonts w:hint="eastAsia" w:ascii="仿宋" w:hAnsi="仿宋" w:eastAsia="仿宋"/>
          <w:sz w:val="32"/>
          <w:szCs w:val="32"/>
        </w:rPr>
        <w:t>万元，其中：一般公共预算财政拨款收入</w:t>
      </w:r>
      <w:r>
        <w:rPr>
          <w:rFonts w:ascii="仿宋" w:hAnsi="仿宋" w:eastAsia="仿宋"/>
          <w:b/>
          <w:sz w:val="32"/>
          <w:szCs w:val="32"/>
        </w:rPr>
        <w:t>298.72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eastAsia="zh-CN"/>
        </w:rPr>
        <w:t>。</w:t>
      </w:r>
      <w:bookmarkEnd w:id="33"/>
      <w:bookmarkEnd w:id="34"/>
    </w:p>
    <w:p>
      <w:pPr>
        <w:spacing w:line="600" w:lineRule="exact"/>
      </w:pPr>
    </w:p>
    <w:p>
      <w:pPr>
        <w:pStyle w:val="8"/>
        <w:rPr>
          <w:rFonts w:hint="eastAsia"/>
        </w:rPr>
      </w:pPr>
      <w:r>
        <w:rPr>
          <w:rFonts w:hint="eastAsia"/>
          <w:lang w:val="en-US" w:eastAsia="zh-CN"/>
        </w:rPr>
        <w:t xml:space="preserve">  </w:t>
      </w:r>
      <w:r>
        <w:drawing>
          <wp:inline distT="0" distB="0" distL="114300" distR="114300">
            <wp:extent cx="4581525" cy="2363470"/>
            <wp:effectExtent l="4445" t="4445" r="5080" b="13335"/>
            <wp:docPr id="4" name="图表 4"/>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（图2：收入决算结构图）（饼状图）</w:t>
      </w:r>
    </w:p>
    <w:p>
      <w:pPr>
        <w:pStyle w:val="8"/>
      </w:pPr>
    </w:p>
    <w:p>
      <w:pPr>
        <w:pStyle w:val="6"/>
        <w:bidi w:val="0"/>
        <w:ind w:firstLine="642" w:firstLineChars="200"/>
        <w:rPr>
          <w:rFonts w:hint="eastAsia"/>
        </w:rPr>
      </w:pPr>
      <w:bookmarkStart w:id="35" w:name="_Toc15377207"/>
      <w:bookmarkStart w:id="36" w:name="_Toc14852879"/>
      <w:bookmarkStart w:id="37" w:name="_Toc1554064515"/>
      <w:bookmarkStart w:id="38" w:name="_Toc15396605"/>
      <w:r>
        <w:rPr>
          <w:rFonts w:hint="eastAsia"/>
          <w:lang w:eastAsia="zh-CN"/>
        </w:rPr>
        <w:t>三、</w:t>
      </w:r>
      <w:r>
        <w:rPr>
          <w:rFonts w:hint="eastAsia"/>
        </w:rPr>
        <w:t>支出决算情况说明</w:t>
      </w:r>
      <w:bookmarkEnd w:id="35"/>
      <w:bookmarkEnd w:id="36"/>
      <w:bookmarkEnd w:id="37"/>
      <w:bookmarkEnd w:id="38"/>
      <w:bookmarkStart w:id="39" w:name="_Toc1067229189"/>
      <w:bookmarkStart w:id="40" w:name="_Toc2051955367"/>
    </w:p>
    <w:p>
      <w:pPr>
        <w:pStyle w:val="6"/>
        <w:bidi w:val="0"/>
        <w:ind w:firstLine="642" w:firstLineChars="200"/>
        <w:rPr>
          <w:rFonts w:hint="eastAsia" w:ascii="仿宋" w:hAnsi="仿宋" w:eastAsia="仿宋"/>
          <w:sz w:val="32"/>
          <w:szCs w:val="32"/>
          <w:lang w:eastAsia="zh-CN"/>
        </w:rPr>
      </w:pPr>
      <w:r>
        <w:rPr>
          <w:rFonts w:hint="eastAsia" w:ascii="仿宋" w:hAnsi="仿宋" w:eastAsia="仿宋"/>
          <w:sz w:val="32"/>
          <w:szCs w:val="32"/>
        </w:rPr>
        <w:t>2023年度本年支出合计</w:t>
      </w:r>
      <w:r>
        <w:rPr>
          <w:rFonts w:ascii="仿宋" w:hAnsi="仿宋" w:eastAsia="仿宋"/>
          <w:b/>
          <w:sz w:val="32"/>
          <w:szCs w:val="32"/>
        </w:rPr>
        <w:t>298.72</w:t>
      </w:r>
      <w:r>
        <w:rPr>
          <w:rFonts w:hint="eastAsia" w:ascii="仿宋" w:hAnsi="仿宋" w:eastAsia="仿宋"/>
          <w:sz w:val="32"/>
          <w:szCs w:val="32"/>
        </w:rPr>
        <w:t>万元，其中：基本支出</w:t>
      </w:r>
      <w:r>
        <w:rPr>
          <w:rFonts w:ascii="仿宋" w:hAnsi="仿宋" w:eastAsia="仿宋"/>
          <w:b/>
          <w:sz w:val="32"/>
          <w:szCs w:val="32"/>
        </w:rPr>
        <w:t>282.82</w:t>
      </w:r>
      <w:r>
        <w:rPr>
          <w:rFonts w:hint="eastAsia" w:ascii="仿宋" w:hAnsi="仿宋" w:eastAsia="仿宋"/>
          <w:sz w:val="32"/>
          <w:szCs w:val="32"/>
        </w:rPr>
        <w:t>万元，占</w:t>
      </w:r>
      <w:r>
        <w:rPr>
          <w:rFonts w:ascii="仿宋" w:hAnsi="仿宋" w:eastAsia="仿宋"/>
          <w:b/>
          <w:sz w:val="32"/>
          <w:szCs w:val="32"/>
        </w:rPr>
        <w:t>94.67</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15.9</w:t>
      </w:r>
      <w:r>
        <w:rPr>
          <w:rFonts w:hint="eastAsia" w:ascii="仿宋" w:hAnsi="仿宋" w:eastAsia="仿宋"/>
          <w:sz w:val="32"/>
          <w:szCs w:val="32"/>
        </w:rPr>
        <w:t>万元，占</w:t>
      </w:r>
      <w:r>
        <w:rPr>
          <w:rFonts w:ascii="仿宋" w:hAnsi="仿宋" w:eastAsia="仿宋"/>
          <w:b/>
          <w:sz w:val="32"/>
          <w:szCs w:val="32"/>
        </w:rPr>
        <w:t>5.32</w:t>
      </w:r>
      <w:r>
        <w:rPr>
          <w:rFonts w:ascii="仿宋" w:hAnsi="仿宋" w:eastAsia="仿宋"/>
          <w:sz w:val="32"/>
          <w:szCs w:val="32"/>
        </w:rPr>
        <w:t>%</w:t>
      </w:r>
      <w:r>
        <w:rPr>
          <w:rFonts w:hint="eastAsia" w:ascii="仿宋" w:hAnsi="仿宋" w:eastAsia="仿宋"/>
          <w:sz w:val="32"/>
          <w:szCs w:val="32"/>
          <w:lang w:eastAsia="zh-CN"/>
        </w:rPr>
        <w:t>。</w:t>
      </w:r>
      <w:bookmarkEnd w:id="39"/>
      <w:bookmarkEnd w:id="40"/>
    </w:p>
    <w:p>
      <w:pPr>
        <w:pStyle w:val="8"/>
        <w:rPr>
          <w:rFonts w:hint="eastAsia" w:ascii="仿宋" w:hAnsi="仿宋" w:eastAsia="仿宋"/>
          <w:sz w:val="32"/>
          <w:szCs w:val="32"/>
          <w:lang w:eastAsia="zh-CN"/>
        </w:rPr>
      </w:pPr>
      <w:r>
        <w:drawing>
          <wp:inline distT="0" distB="0" distL="114300" distR="114300">
            <wp:extent cx="4572000" cy="2743200"/>
            <wp:effectExtent l="4445" t="4445" r="14605" b="14605"/>
            <wp:docPr id="5" name="图表 5"/>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pPr>
        <w:pStyle w:val="8"/>
        <w:rPr>
          <w:rFonts w:hint="eastAsia" w:ascii="仿宋" w:hAnsi="仿宋" w:eastAsia="仿宋"/>
          <w:sz w:val="32"/>
          <w:szCs w:val="32"/>
        </w:rPr>
      </w:pPr>
    </w:p>
    <w:p>
      <w:pPr>
        <w:pStyle w:val="8"/>
        <w:rPr>
          <w:rFonts w:hint="eastAsia" w:ascii="仿宋" w:hAnsi="仿宋" w:eastAsia="仿宋"/>
          <w:sz w:val="32"/>
          <w:szCs w:val="32"/>
        </w:rPr>
      </w:pPr>
    </w:p>
    <w:p>
      <w:pPr>
        <w:pStyle w:val="6"/>
        <w:bidi w:val="0"/>
        <w:ind w:firstLine="640" w:firstLineChars="200"/>
        <w:rPr>
          <w:rFonts w:hint="eastAsia" w:ascii="黑体" w:hAnsi="黑体" w:eastAsia="黑体" w:cs="黑体"/>
          <w:b w:val="0"/>
          <w:bCs w:val="0"/>
        </w:rPr>
      </w:pPr>
      <w:bookmarkStart w:id="41" w:name="_Toc15377208"/>
      <w:bookmarkStart w:id="42" w:name="_Toc15396606"/>
      <w:bookmarkStart w:id="43" w:name="_Toc1579302475"/>
      <w:bookmarkStart w:id="44" w:name="_Toc980452635"/>
      <w:r>
        <w:rPr>
          <w:rFonts w:hint="eastAsia" w:ascii="黑体" w:hAnsi="黑体" w:eastAsia="黑体" w:cs="黑体"/>
          <w:b w:val="0"/>
          <w:bCs w:val="0"/>
        </w:rPr>
        <w:t>四、财政拨款收入支出决算总体情况说明</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2023年度财政拨款收、支总计均为</w:t>
      </w:r>
      <w:r>
        <w:rPr>
          <w:rFonts w:hint="eastAsia" w:ascii="仿宋" w:hAnsi="仿宋" w:eastAsia="仿宋"/>
          <w:b/>
          <w:sz w:val="32"/>
          <w:szCs w:val="32"/>
        </w:rPr>
        <w:t>298.72</w:t>
      </w:r>
      <w:r>
        <w:rPr>
          <w:rFonts w:hint="eastAsia" w:ascii="仿宋" w:hAnsi="仿宋" w:eastAsia="仿宋"/>
          <w:sz w:val="32"/>
          <w:szCs w:val="32"/>
        </w:rPr>
        <w:t>万元。与2022年度相比，</w:t>
      </w:r>
      <w:r>
        <w:rPr>
          <w:rFonts w:hint="eastAsia" w:ascii="仿宋" w:hAnsi="仿宋" w:eastAsia="仿宋"/>
          <w:sz w:val="32"/>
          <w:szCs w:val="32"/>
          <w:lang w:eastAsia="zh-CN"/>
        </w:rPr>
        <w:t>财政拨款</w:t>
      </w:r>
      <w:r>
        <w:rPr>
          <w:rFonts w:hint="eastAsia" w:ascii="仿宋" w:hAnsi="仿宋" w:eastAsia="仿宋"/>
          <w:sz w:val="32"/>
          <w:szCs w:val="32"/>
        </w:rPr>
        <w:t>收</w:t>
      </w:r>
      <w:r>
        <w:rPr>
          <w:rFonts w:hint="eastAsia" w:ascii="仿宋" w:hAnsi="仿宋" w:eastAsia="仿宋"/>
          <w:sz w:val="32"/>
          <w:szCs w:val="32"/>
          <w:lang w:eastAsia="zh-CN"/>
        </w:rPr>
        <w:t>入</w:t>
      </w:r>
      <w:r>
        <w:rPr>
          <w:rFonts w:hint="eastAsia" w:ascii="仿宋" w:hAnsi="仿宋" w:eastAsia="仿宋"/>
          <w:sz w:val="32"/>
          <w:szCs w:val="32"/>
        </w:rPr>
        <w:t>减少</w:t>
      </w:r>
      <w:r>
        <w:rPr>
          <w:rFonts w:hint="eastAsia" w:ascii="仿宋" w:hAnsi="仿宋" w:eastAsia="仿宋"/>
          <w:sz w:val="32"/>
          <w:szCs w:val="32"/>
          <w:lang w:val="en-US" w:eastAsia="zh-CN"/>
        </w:rPr>
        <w:t>18.41</w:t>
      </w:r>
      <w:r>
        <w:rPr>
          <w:rFonts w:hint="eastAsia" w:ascii="仿宋" w:hAnsi="仿宋" w:eastAsia="仿宋"/>
          <w:sz w:val="32"/>
          <w:szCs w:val="32"/>
        </w:rPr>
        <w:t>万元，</w:t>
      </w:r>
      <w:r>
        <w:rPr>
          <w:rFonts w:hint="eastAsia" w:ascii="仿宋" w:hAnsi="仿宋" w:eastAsia="仿宋"/>
          <w:sz w:val="32"/>
          <w:szCs w:val="32"/>
          <w:lang w:eastAsia="zh-CN"/>
        </w:rPr>
        <w:t>财政拨款支出减少</w:t>
      </w:r>
      <w:r>
        <w:rPr>
          <w:rFonts w:hint="eastAsia" w:ascii="仿宋" w:hAnsi="仿宋" w:eastAsia="仿宋"/>
          <w:sz w:val="32"/>
          <w:szCs w:val="32"/>
          <w:lang w:val="en-US" w:eastAsia="zh-CN"/>
        </w:rPr>
        <w:t>37.43万元，收入</w:t>
      </w:r>
      <w:r>
        <w:rPr>
          <w:rFonts w:hint="eastAsia" w:ascii="仿宋" w:hAnsi="仿宋" w:eastAsia="仿宋"/>
          <w:sz w:val="32"/>
          <w:szCs w:val="32"/>
        </w:rPr>
        <w:t>下降</w:t>
      </w:r>
      <w:r>
        <w:rPr>
          <w:rFonts w:hint="eastAsia" w:ascii="仿宋" w:hAnsi="仿宋" w:eastAsia="仿宋"/>
          <w:sz w:val="32"/>
          <w:szCs w:val="32"/>
          <w:lang w:val="en-US" w:eastAsia="zh-CN"/>
        </w:rPr>
        <w:t>5.8</w:t>
      </w:r>
      <w:r>
        <w:rPr>
          <w:rFonts w:ascii="仿宋" w:hAnsi="仿宋" w:eastAsia="仿宋"/>
          <w:sz w:val="32"/>
          <w:szCs w:val="32"/>
        </w:rPr>
        <w:t>%</w:t>
      </w:r>
      <w:r>
        <w:rPr>
          <w:rFonts w:hint="eastAsia" w:ascii="仿宋" w:hAnsi="仿宋" w:eastAsia="仿宋"/>
          <w:sz w:val="32"/>
          <w:szCs w:val="32"/>
          <w:lang w:eastAsia="zh-CN"/>
        </w:rPr>
        <w:t>，支出下降</w:t>
      </w:r>
      <w:r>
        <w:rPr>
          <w:rFonts w:hint="eastAsia" w:ascii="仿宋" w:hAnsi="仿宋" w:eastAsia="仿宋"/>
          <w:sz w:val="32"/>
          <w:szCs w:val="32"/>
          <w:lang w:val="en-US" w:eastAsia="zh-CN"/>
        </w:rPr>
        <w:t>11.13%。</w:t>
      </w:r>
      <w:r>
        <w:rPr>
          <w:rFonts w:hint="eastAsia" w:ascii="仿宋" w:hAnsi="仿宋" w:eastAsia="仿宋"/>
          <w:sz w:val="32"/>
          <w:szCs w:val="32"/>
        </w:rPr>
        <w:t>主要变动原因是</w:t>
      </w:r>
      <w:r>
        <w:rPr>
          <w:rFonts w:hint="eastAsia" w:ascii="仿宋" w:hAnsi="仿宋" w:eastAsia="仿宋"/>
          <w:sz w:val="32"/>
          <w:szCs w:val="32"/>
          <w:lang w:val="en-US" w:eastAsia="zh-CN"/>
        </w:rPr>
        <w:t>2023年卫生健康项目财政拨款收入减少，支出相应减少。</w:t>
      </w:r>
    </w:p>
    <w:p>
      <w:pPr>
        <w:pStyle w:val="8"/>
        <w:rPr>
          <w:rFonts w:ascii="仿宋" w:hAnsi="仿宋" w:eastAsia="仿宋"/>
          <w:sz w:val="32"/>
          <w:szCs w:val="32"/>
        </w:rPr>
      </w:pPr>
      <w:r>
        <w:drawing>
          <wp:inline distT="0" distB="0" distL="114300" distR="114300">
            <wp:extent cx="5271770" cy="2279650"/>
            <wp:effectExtent l="4445" t="4445" r="19685" b="20955"/>
            <wp:docPr id="108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pStyle w:val="8"/>
        <w:rPr>
          <w:rFonts w:hint="eastAsia" w:ascii="仿宋" w:hAnsi="仿宋" w:eastAsia="仿宋"/>
          <w:sz w:val="32"/>
          <w:szCs w:val="32"/>
        </w:rPr>
      </w:pPr>
    </w:p>
    <w:p>
      <w:pPr>
        <w:pStyle w:val="8"/>
        <w:rPr>
          <w:rFonts w:hint="eastAsia" w:ascii="仿宋" w:hAnsi="仿宋" w:eastAsia="仿宋"/>
          <w:sz w:val="32"/>
          <w:szCs w:val="32"/>
        </w:rPr>
      </w:pPr>
    </w:p>
    <w:p>
      <w:pPr>
        <w:pStyle w:val="6"/>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Style w:val="30"/>
          <w:rFonts w:ascii="黑体" w:hAnsi="黑体" w:eastAsia="黑体"/>
          <w:b w:val="0"/>
          <w:bCs/>
        </w:rPr>
      </w:pPr>
      <w:bookmarkStart w:id="45" w:name="_Toc1061846151"/>
      <w:bookmarkStart w:id="46" w:name="_Toc15377209"/>
      <w:bookmarkStart w:id="47" w:name="_Toc15396607"/>
      <w:bookmarkStart w:id="48" w:name="_Toc1856190489"/>
      <w:r>
        <w:rPr>
          <w:rFonts w:hint="eastAsia" w:ascii="黑体" w:hAnsi="黑体" w:eastAsia="黑体" w:cs="黑体"/>
          <w:b w:val="0"/>
          <w:bCs w:val="0"/>
        </w:rPr>
        <w:t>五、一般公共预算财政拨款支出决算情况说明</w:t>
      </w:r>
      <w:bookmarkEnd w:id="45"/>
      <w:bookmarkEnd w:id="46"/>
      <w:bookmarkEnd w:id="47"/>
      <w:bookmarkEnd w:id="48"/>
    </w:p>
    <w:p>
      <w:pPr>
        <w:spacing w:line="600" w:lineRule="exact"/>
        <w:ind w:firstLine="642" w:firstLineChars="200"/>
        <w:outlineLvl w:val="2"/>
        <w:rPr>
          <w:rFonts w:ascii="仿宋" w:hAnsi="仿宋" w:eastAsia="仿宋"/>
          <w:b/>
          <w:sz w:val="32"/>
          <w:szCs w:val="32"/>
        </w:rPr>
      </w:pPr>
      <w:bookmarkStart w:id="49" w:name="_Toc15377210"/>
      <w:r>
        <w:rPr>
          <w:rFonts w:hint="eastAsia" w:ascii="仿宋" w:hAnsi="仿宋" w:eastAsia="仿宋"/>
          <w:b/>
          <w:sz w:val="32"/>
          <w:szCs w:val="32"/>
        </w:rPr>
        <w:t>（一）一般公共预算财政拨款支出决算总体情况</w:t>
      </w:r>
      <w:bookmarkEnd w:id="49"/>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298.72</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37.43</w:t>
      </w:r>
      <w:r>
        <w:rPr>
          <w:rFonts w:hint="eastAsia" w:ascii="仿宋" w:hAnsi="仿宋" w:eastAsia="仿宋"/>
          <w:sz w:val="32"/>
          <w:szCs w:val="32"/>
        </w:rPr>
        <w:t>万元，下降</w:t>
      </w:r>
      <w:r>
        <w:rPr>
          <w:rFonts w:hint="eastAsia" w:ascii="仿宋" w:hAnsi="仿宋" w:eastAsia="仿宋"/>
          <w:sz w:val="32"/>
          <w:szCs w:val="32"/>
          <w:lang w:val="en-US" w:eastAsia="zh-CN"/>
        </w:rPr>
        <w:t>11.13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2023年卫生健康项目支出减少。</w:t>
      </w:r>
    </w:p>
    <w:p>
      <w:pPr>
        <w:pStyle w:val="8"/>
        <w:rPr>
          <w:rFonts w:ascii="仿宋" w:hAnsi="仿宋" w:eastAsia="仿宋"/>
          <w:sz w:val="32"/>
          <w:szCs w:val="32"/>
        </w:rPr>
      </w:pPr>
      <w:r>
        <w:rPr>
          <w:rFonts w:hint="eastAsia"/>
          <w:lang w:val="en-US" w:eastAsia="zh-CN"/>
        </w:rPr>
        <w:t xml:space="preserve">       </w:t>
      </w:r>
      <w:r>
        <w:drawing>
          <wp:inline distT="0" distB="0" distL="114300" distR="114300">
            <wp:extent cx="3657600" cy="2667000"/>
            <wp:effectExtent l="4445" t="4445" r="14605" b="14605"/>
            <wp:docPr id="8" name="图表 8"/>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50" w:name="_Toc15377211"/>
      <w:r>
        <w:rPr>
          <w:rFonts w:hint="eastAsia" w:ascii="仿宋" w:hAnsi="仿宋" w:eastAsia="仿宋"/>
          <w:b/>
          <w:sz w:val="32"/>
          <w:szCs w:val="32"/>
        </w:rPr>
        <w:t>（二）一般公共预算财政拨款支出决算结构情况</w:t>
      </w:r>
      <w:bookmarkEnd w:id="50"/>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298.72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55.63</w:t>
      </w:r>
      <w:r>
        <w:rPr>
          <w:rFonts w:hint="eastAsia" w:ascii="仿宋" w:hAnsi="仿宋" w:eastAsia="仿宋"/>
          <w:sz w:val="32"/>
          <w:szCs w:val="32"/>
        </w:rPr>
        <w:t>万元，占</w:t>
      </w:r>
      <w:r>
        <w:rPr>
          <w:rFonts w:hint="eastAsia" w:ascii="仿宋" w:hAnsi="仿宋" w:eastAsia="仿宋"/>
          <w:sz w:val="32"/>
          <w:szCs w:val="32"/>
          <w:lang w:val="en-US" w:eastAsia="zh-CN"/>
        </w:rPr>
        <w:t>18.62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225.21</w:t>
      </w:r>
      <w:r>
        <w:rPr>
          <w:rFonts w:hint="eastAsia" w:ascii="仿宋" w:hAnsi="仿宋" w:eastAsia="仿宋"/>
          <w:sz w:val="32"/>
          <w:szCs w:val="32"/>
        </w:rPr>
        <w:t>万元，占</w:t>
      </w:r>
      <w:r>
        <w:rPr>
          <w:rFonts w:hint="eastAsia" w:ascii="仿宋" w:hAnsi="仿宋" w:eastAsia="仿宋"/>
          <w:sz w:val="32"/>
          <w:szCs w:val="32"/>
          <w:lang w:val="en-US" w:eastAsia="zh-CN"/>
        </w:rPr>
        <w:t>75.39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17.87</w:t>
      </w:r>
      <w:r>
        <w:rPr>
          <w:rFonts w:hint="eastAsia" w:ascii="仿宋" w:hAnsi="仿宋" w:eastAsia="仿宋"/>
          <w:sz w:val="32"/>
          <w:szCs w:val="32"/>
        </w:rPr>
        <w:t>万元，占</w:t>
      </w:r>
      <w:r>
        <w:rPr>
          <w:rFonts w:hint="eastAsia" w:ascii="仿宋" w:hAnsi="仿宋" w:eastAsia="仿宋"/>
          <w:sz w:val="32"/>
          <w:szCs w:val="32"/>
          <w:lang w:val="en-US" w:eastAsia="zh-CN"/>
        </w:rPr>
        <w:t>5.99</w:t>
      </w:r>
      <w:r>
        <w:rPr>
          <w:rFonts w:ascii="仿宋" w:hAnsi="仿宋" w:eastAsia="仿宋"/>
          <w:sz w:val="32"/>
          <w:szCs w:val="32"/>
        </w:rPr>
        <w:t>%</w:t>
      </w:r>
      <w:r>
        <w:rPr>
          <w:rFonts w:hint="eastAsia" w:ascii="仿宋" w:hAnsi="仿宋" w:eastAsia="仿宋"/>
          <w:sz w:val="32"/>
          <w:szCs w:val="32"/>
        </w:rPr>
        <w:t>。</w:t>
      </w:r>
    </w:p>
    <w:p>
      <w:pPr>
        <w:pStyle w:val="8"/>
        <w:rPr>
          <w:rFonts w:ascii="仿宋" w:hAnsi="仿宋" w:eastAsia="仿宋"/>
          <w:sz w:val="32"/>
          <w:szCs w:val="32"/>
        </w:rPr>
      </w:pPr>
      <w:r>
        <w:rPr>
          <w:rFonts w:hint="eastAsia"/>
          <w:lang w:val="en-US" w:eastAsia="zh-CN"/>
        </w:rPr>
        <w:t xml:space="preserve">    </w:t>
      </w:r>
      <w:r>
        <w:drawing>
          <wp:inline distT="0" distB="0" distL="114300" distR="114300">
            <wp:extent cx="4107180" cy="2289810"/>
            <wp:effectExtent l="4445" t="4445" r="22225" b="1079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320" w:firstLineChars="1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51" w:name="_Toc15377212"/>
      <w:r>
        <w:rPr>
          <w:rFonts w:hint="eastAsia" w:ascii="仿宋" w:hAnsi="仿宋" w:eastAsia="仿宋"/>
          <w:b/>
          <w:sz w:val="32"/>
          <w:szCs w:val="32"/>
        </w:rPr>
        <w:t>（三）一般公共预算财政拨款支出决算具体情况</w:t>
      </w:r>
      <w:bookmarkEnd w:id="51"/>
    </w:p>
    <w:p>
      <w:pPr>
        <w:spacing w:line="600" w:lineRule="exact"/>
        <w:ind w:firstLine="642" w:firstLineChars="200"/>
        <w:outlineLvl w:val="2"/>
        <w:rPr>
          <w:rFonts w:ascii="仿宋" w:hAnsi="仿宋" w:eastAsia="仿宋"/>
          <w:sz w:val="32"/>
          <w:szCs w:val="32"/>
        </w:rPr>
      </w:pPr>
      <w:bookmarkStart w:id="52" w:name="_Toc15377213"/>
      <w:bookmarkStart w:id="53" w:name="_Toc15377444"/>
      <w:bookmarkStart w:id="54" w:name="_Toc15378460"/>
      <w:r>
        <w:rPr>
          <w:rFonts w:hint="eastAsia" w:ascii="仿宋" w:hAnsi="仿宋" w:eastAsia="仿宋"/>
          <w:b/>
          <w:sz w:val="32"/>
          <w:szCs w:val="32"/>
        </w:rPr>
        <w:t>2023年度一般公共预算支出决算数为</w:t>
      </w:r>
      <w:r>
        <w:rPr>
          <w:rFonts w:ascii="仿宋" w:hAnsi="仿宋" w:eastAsia="仿宋"/>
          <w:b/>
          <w:sz w:val="32"/>
          <w:szCs w:val="32"/>
        </w:rPr>
        <w:t>298.72</w:t>
      </w:r>
      <w:r>
        <w:rPr>
          <w:rFonts w:hint="eastAsia" w:ascii="仿宋" w:hAnsi="仿宋" w:eastAsia="仿宋"/>
          <w:b/>
          <w:sz w:val="32"/>
          <w:szCs w:val="32"/>
          <w:lang w:eastAsia="zh-CN"/>
        </w:rPr>
        <w:t>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52"/>
      <w:bookmarkEnd w:id="53"/>
      <w:bookmarkEnd w:id="54"/>
    </w:p>
    <w:p>
      <w:pPr>
        <w:spacing w:line="600" w:lineRule="exact"/>
        <w:ind w:firstLine="642" w:firstLineChars="200"/>
        <w:rPr>
          <w:rStyle w:val="18"/>
          <w:rFonts w:hint="eastAsia" w:ascii="仿宋" w:hAnsi="仿宋" w:eastAsia="仿宋" w:cs="仿宋"/>
          <w:b w:val="0"/>
          <w:bCs w:val="0"/>
          <w:color w:val="FF0000"/>
          <w:sz w:val="32"/>
          <w:szCs w:val="32"/>
        </w:rPr>
      </w:pPr>
      <w:r>
        <w:rPr>
          <w:rStyle w:val="18"/>
          <w:rFonts w:hint="eastAsia" w:ascii="仿宋" w:hAnsi="仿宋" w:eastAsia="仿宋" w:cs="仿宋"/>
          <w:sz w:val="32"/>
          <w:szCs w:val="32"/>
        </w:rPr>
        <w:t>1.社会保障和就业（类）行政</w:t>
      </w:r>
      <w:r>
        <w:rPr>
          <w:rStyle w:val="18"/>
          <w:rFonts w:ascii="仿宋" w:hAnsi="仿宋" w:eastAsia="仿宋" w:cs="仿宋"/>
          <w:sz w:val="32"/>
          <w:szCs w:val="32"/>
        </w:rPr>
        <w:t>事业单位养老支出</w:t>
      </w:r>
      <w:r>
        <w:rPr>
          <w:rStyle w:val="18"/>
          <w:rFonts w:hint="eastAsia" w:ascii="仿宋" w:hAnsi="仿宋" w:eastAsia="仿宋" w:cs="仿宋"/>
          <w:sz w:val="32"/>
          <w:szCs w:val="32"/>
        </w:rPr>
        <w:t>（款）事业</w:t>
      </w:r>
      <w:r>
        <w:rPr>
          <w:rStyle w:val="18"/>
          <w:rFonts w:ascii="仿宋" w:hAnsi="仿宋" w:eastAsia="仿宋" w:cs="仿宋"/>
          <w:sz w:val="32"/>
          <w:szCs w:val="32"/>
        </w:rPr>
        <w:t>单位离退休</w:t>
      </w:r>
      <w:r>
        <w:rPr>
          <w:rStyle w:val="18"/>
          <w:rFonts w:hint="eastAsia" w:ascii="仿宋" w:hAnsi="仿宋" w:eastAsia="仿宋" w:cs="仿宋"/>
          <w:sz w:val="32"/>
          <w:szCs w:val="32"/>
        </w:rPr>
        <w:t>（项）</w:t>
      </w:r>
      <w:r>
        <w:rPr>
          <w:rStyle w:val="18"/>
          <w:rFonts w:ascii="仿宋" w:hAnsi="仿宋" w:eastAsia="仿宋" w:cs="仿宋"/>
          <w:sz w:val="32"/>
          <w:szCs w:val="32"/>
        </w:rPr>
        <w:t>:</w:t>
      </w:r>
      <w:r>
        <w:rPr>
          <w:rStyle w:val="18"/>
          <w:rFonts w:hint="eastAsia" w:ascii="仿宋" w:hAnsi="仿宋" w:eastAsia="仿宋" w:cs="仿宋"/>
          <w:b w:val="0"/>
          <w:bCs w:val="0"/>
          <w:sz w:val="32"/>
          <w:szCs w:val="32"/>
        </w:rPr>
        <w:t>支出决算为</w:t>
      </w:r>
      <w:r>
        <w:rPr>
          <w:rStyle w:val="18"/>
          <w:rFonts w:hint="eastAsia" w:ascii="仿宋" w:hAnsi="仿宋" w:eastAsia="仿宋" w:cs="仿宋"/>
          <w:b w:val="0"/>
          <w:bCs w:val="0"/>
          <w:sz w:val="32"/>
          <w:szCs w:val="32"/>
          <w:lang w:val="en-US" w:eastAsia="zh-CN"/>
        </w:rPr>
        <w:t>27.47</w:t>
      </w:r>
      <w:r>
        <w:rPr>
          <w:rStyle w:val="18"/>
          <w:rFonts w:hint="eastAsia" w:ascii="仿宋" w:hAnsi="仿宋" w:eastAsia="仿宋" w:cs="仿宋"/>
          <w:b w:val="0"/>
          <w:bCs w:val="0"/>
          <w:sz w:val="32"/>
          <w:szCs w:val="32"/>
        </w:rPr>
        <w:t>万元，完成预算100</w:t>
      </w:r>
      <w:r>
        <w:rPr>
          <w:rStyle w:val="18"/>
          <w:rFonts w:ascii="仿宋" w:hAnsi="仿宋" w:eastAsia="仿宋" w:cs="仿宋"/>
          <w:b w:val="0"/>
          <w:bCs w:val="0"/>
          <w:sz w:val="32"/>
          <w:szCs w:val="32"/>
        </w:rPr>
        <w:t>%</w:t>
      </w:r>
      <w:r>
        <w:rPr>
          <w:rStyle w:val="18"/>
          <w:rFonts w:hint="eastAsia" w:ascii="仿宋" w:hAnsi="仿宋" w:eastAsia="仿宋" w:cs="仿宋"/>
          <w:b w:val="0"/>
          <w:bCs w:val="0"/>
          <w:sz w:val="32"/>
          <w:szCs w:val="32"/>
        </w:rPr>
        <w:t>。</w:t>
      </w:r>
    </w:p>
    <w:p>
      <w:pPr>
        <w:spacing w:line="600" w:lineRule="exact"/>
        <w:ind w:firstLine="642" w:firstLineChars="200"/>
        <w:rPr>
          <w:rStyle w:val="18"/>
          <w:rFonts w:hint="eastAsia" w:ascii="仿宋" w:hAnsi="仿宋" w:eastAsia="仿宋" w:cs="仿宋"/>
          <w:b w:val="0"/>
          <w:bCs w:val="0"/>
          <w:sz w:val="32"/>
          <w:szCs w:val="32"/>
        </w:rPr>
      </w:pPr>
      <w:r>
        <w:rPr>
          <w:rStyle w:val="18"/>
          <w:rFonts w:hint="eastAsia" w:ascii="仿宋" w:hAnsi="仿宋" w:eastAsia="仿宋" w:cs="仿宋"/>
          <w:sz w:val="32"/>
          <w:szCs w:val="32"/>
        </w:rPr>
        <w:t>2.社会保障和就业（类）行政</w:t>
      </w:r>
      <w:r>
        <w:rPr>
          <w:rStyle w:val="18"/>
          <w:rFonts w:ascii="仿宋" w:hAnsi="仿宋" w:eastAsia="仿宋" w:cs="仿宋"/>
          <w:sz w:val="32"/>
          <w:szCs w:val="32"/>
        </w:rPr>
        <w:t>事业单位养老支出</w:t>
      </w:r>
      <w:r>
        <w:rPr>
          <w:rStyle w:val="18"/>
          <w:rFonts w:hint="eastAsia" w:ascii="仿宋" w:hAnsi="仿宋" w:eastAsia="仿宋" w:cs="仿宋"/>
          <w:sz w:val="32"/>
          <w:szCs w:val="32"/>
        </w:rPr>
        <w:t>（款）机关事业单位基本养老保险缴费支出（项）</w:t>
      </w:r>
      <w:r>
        <w:rPr>
          <w:rStyle w:val="18"/>
          <w:rFonts w:ascii="仿宋" w:hAnsi="仿宋" w:eastAsia="仿宋" w:cs="仿宋"/>
          <w:sz w:val="32"/>
          <w:szCs w:val="32"/>
        </w:rPr>
        <w:t>:</w:t>
      </w:r>
      <w:r>
        <w:rPr>
          <w:rStyle w:val="18"/>
          <w:rFonts w:hint="eastAsia" w:ascii="仿宋" w:hAnsi="仿宋" w:eastAsia="仿宋" w:cs="仿宋"/>
          <w:b w:val="0"/>
          <w:bCs w:val="0"/>
          <w:sz w:val="32"/>
          <w:szCs w:val="32"/>
        </w:rPr>
        <w:t>支出决算为</w:t>
      </w:r>
      <w:r>
        <w:rPr>
          <w:rStyle w:val="18"/>
          <w:rFonts w:hint="eastAsia" w:ascii="仿宋" w:hAnsi="仿宋" w:eastAsia="仿宋" w:cs="仿宋"/>
          <w:b w:val="0"/>
          <w:bCs w:val="0"/>
          <w:sz w:val="32"/>
          <w:szCs w:val="32"/>
          <w:lang w:val="en-US" w:eastAsia="zh-CN"/>
        </w:rPr>
        <w:t>28.17</w:t>
      </w:r>
      <w:r>
        <w:rPr>
          <w:rStyle w:val="18"/>
          <w:rFonts w:hint="eastAsia" w:ascii="仿宋" w:hAnsi="仿宋" w:eastAsia="仿宋" w:cs="仿宋"/>
          <w:b w:val="0"/>
          <w:bCs w:val="0"/>
          <w:sz w:val="32"/>
          <w:szCs w:val="32"/>
        </w:rPr>
        <w:t>万元，完成预算100</w:t>
      </w:r>
      <w:r>
        <w:rPr>
          <w:rStyle w:val="18"/>
          <w:rFonts w:ascii="仿宋" w:hAnsi="仿宋" w:eastAsia="仿宋" w:cs="仿宋"/>
          <w:b w:val="0"/>
          <w:bCs w:val="0"/>
          <w:sz w:val="32"/>
          <w:szCs w:val="32"/>
        </w:rPr>
        <w:t>%</w:t>
      </w:r>
      <w:r>
        <w:rPr>
          <w:rStyle w:val="18"/>
          <w:rFonts w:hint="eastAsia" w:ascii="仿宋" w:hAnsi="仿宋" w:eastAsia="仿宋" w:cs="仿宋"/>
          <w:b w:val="0"/>
          <w:bCs w:val="0"/>
          <w:sz w:val="32"/>
          <w:szCs w:val="32"/>
        </w:rPr>
        <w:t>。</w:t>
      </w:r>
    </w:p>
    <w:p>
      <w:pPr>
        <w:spacing w:line="600" w:lineRule="exact"/>
        <w:ind w:firstLine="642" w:firstLineChars="200"/>
        <w:rPr>
          <w:rStyle w:val="18"/>
          <w:rFonts w:hint="eastAsia" w:ascii="仿宋" w:hAnsi="仿宋" w:eastAsia="仿宋" w:cs="仿宋"/>
          <w:b w:val="0"/>
          <w:bCs w:val="0"/>
          <w:sz w:val="32"/>
          <w:szCs w:val="32"/>
        </w:rPr>
      </w:pPr>
      <w:r>
        <w:rPr>
          <w:rStyle w:val="18"/>
          <w:rFonts w:hint="eastAsia" w:ascii="仿宋" w:hAnsi="仿宋" w:eastAsia="仿宋" w:cs="仿宋"/>
          <w:sz w:val="32"/>
          <w:szCs w:val="32"/>
        </w:rPr>
        <w:t>3</w:t>
      </w:r>
      <w:r>
        <w:rPr>
          <w:rStyle w:val="18"/>
          <w:rFonts w:ascii="仿宋" w:hAnsi="仿宋" w:eastAsia="仿宋" w:cs="仿宋"/>
          <w:sz w:val="32"/>
          <w:szCs w:val="32"/>
        </w:rPr>
        <w:t>.</w:t>
      </w:r>
      <w:r>
        <w:rPr>
          <w:rFonts w:hint="eastAsia" w:ascii="仿宋" w:hAnsi="仿宋" w:eastAsia="仿宋" w:cs="仿宋"/>
          <w:b/>
          <w:bCs/>
          <w:sz w:val="32"/>
          <w:szCs w:val="32"/>
        </w:rPr>
        <w:t>卫生健康</w:t>
      </w:r>
      <w:r>
        <w:rPr>
          <w:rStyle w:val="18"/>
          <w:rFonts w:hint="eastAsia" w:ascii="仿宋" w:hAnsi="仿宋" w:eastAsia="仿宋" w:cs="仿宋"/>
          <w:sz w:val="32"/>
          <w:szCs w:val="32"/>
        </w:rPr>
        <w:t>（类）公立</w:t>
      </w:r>
      <w:r>
        <w:rPr>
          <w:rStyle w:val="18"/>
          <w:rFonts w:ascii="仿宋" w:hAnsi="仿宋" w:eastAsia="仿宋" w:cs="仿宋"/>
          <w:sz w:val="32"/>
          <w:szCs w:val="32"/>
        </w:rPr>
        <w:t>医院</w:t>
      </w:r>
      <w:r>
        <w:rPr>
          <w:rStyle w:val="18"/>
          <w:rFonts w:hint="eastAsia" w:ascii="仿宋" w:hAnsi="仿宋" w:eastAsia="仿宋" w:cs="仿宋"/>
          <w:sz w:val="32"/>
          <w:szCs w:val="32"/>
        </w:rPr>
        <w:t>（款）其他</w:t>
      </w:r>
      <w:r>
        <w:rPr>
          <w:rStyle w:val="18"/>
          <w:rFonts w:ascii="仿宋" w:hAnsi="仿宋" w:eastAsia="仿宋" w:cs="仿宋"/>
          <w:sz w:val="32"/>
          <w:szCs w:val="32"/>
        </w:rPr>
        <w:t>公立医院支出</w:t>
      </w:r>
      <w:r>
        <w:rPr>
          <w:rStyle w:val="18"/>
          <w:rFonts w:hint="eastAsia" w:ascii="仿宋" w:hAnsi="仿宋" w:eastAsia="仿宋" w:cs="仿宋"/>
          <w:sz w:val="32"/>
          <w:szCs w:val="32"/>
        </w:rPr>
        <w:t>（项）</w:t>
      </w:r>
      <w:r>
        <w:rPr>
          <w:rStyle w:val="18"/>
          <w:rFonts w:ascii="仿宋" w:hAnsi="仿宋" w:eastAsia="仿宋" w:cs="仿宋"/>
          <w:sz w:val="32"/>
          <w:szCs w:val="32"/>
        </w:rPr>
        <w:t>:</w:t>
      </w:r>
      <w:r>
        <w:rPr>
          <w:rStyle w:val="18"/>
          <w:rFonts w:hint="eastAsia" w:ascii="仿宋" w:hAnsi="仿宋" w:eastAsia="仿宋" w:cs="仿宋"/>
          <w:b w:val="0"/>
          <w:bCs w:val="0"/>
          <w:sz w:val="32"/>
          <w:szCs w:val="32"/>
        </w:rPr>
        <w:t>支出决算为5万元，完成预算100</w:t>
      </w:r>
      <w:r>
        <w:rPr>
          <w:rStyle w:val="18"/>
          <w:rFonts w:ascii="仿宋" w:hAnsi="仿宋" w:eastAsia="仿宋" w:cs="仿宋"/>
          <w:b w:val="0"/>
          <w:bCs w:val="0"/>
          <w:sz w:val="32"/>
          <w:szCs w:val="32"/>
        </w:rPr>
        <w:t>%</w:t>
      </w:r>
      <w:r>
        <w:rPr>
          <w:rStyle w:val="18"/>
          <w:rFonts w:hint="eastAsia" w:ascii="仿宋" w:hAnsi="仿宋" w:eastAsia="仿宋" w:cs="仿宋"/>
          <w:b w:val="0"/>
          <w:bCs w:val="0"/>
          <w:sz w:val="32"/>
          <w:szCs w:val="32"/>
        </w:rPr>
        <w:t>。</w:t>
      </w:r>
    </w:p>
    <w:p>
      <w:pPr>
        <w:spacing w:line="600" w:lineRule="exact"/>
        <w:ind w:firstLine="642" w:firstLineChars="200"/>
        <w:rPr>
          <w:rStyle w:val="18"/>
          <w:rFonts w:hint="eastAsia" w:ascii="仿宋" w:hAnsi="仿宋" w:eastAsia="仿宋" w:cs="仿宋"/>
          <w:b w:val="0"/>
          <w:bCs w:val="0"/>
          <w:sz w:val="32"/>
          <w:szCs w:val="32"/>
        </w:rPr>
      </w:pPr>
      <w:r>
        <w:rPr>
          <w:rStyle w:val="18"/>
          <w:rFonts w:hint="eastAsia" w:ascii="仿宋" w:hAnsi="仿宋" w:eastAsia="仿宋" w:cs="仿宋"/>
          <w:sz w:val="32"/>
          <w:szCs w:val="32"/>
        </w:rPr>
        <w:t>4</w:t>
      </w:r>
      <w:r>
        <w:rPr>
          <w:rStyle w:val="18"/>
          <w:rFonts w:ascii="仿宋" w:hAnsi="仿宋" w:eastAsia="仿宋" w:cs="仿宋"/>
          <w:sz w:val="32"/>
          <w:szCs w:val="32"/>
        </w:rPr>
        <w:t>.</w:t>
      </w:r>
      <w:r>
        <w:rPr>
          <w:rFonts w:hint="eastAsia" w:ascii="仿宋" w:hAnsi="仿宋" w:eastAsia="仿宋" w:cs="仿宋"/>
          <w:b/>
          <w:bCs/>
          <w:sz w:val="32"/>
          <w:szCs w:val="32"/>
        </w:rPr>
        <w:t>卫生健康</w:t>
      </w:r>
      <w:r>
        <w:rPr>
          <w:rStyle w:val="18"/>
          <w:rFonts w:hint="eastAsia" w:ascii="仿宋" w:hAnsi="仿宋" w:eastAsia="仿宋" w:cs="仿宋"/>
          <w:sz w:val="32"/>
          <w:szCs w:val="32"/>
        </w:rPr>
        <w:t>（类）行政事业单位医疗（款）事业单位医疗（项）</w:t>
      </w:r>
      <w:r>
        <w:rPr>
          <w:rStyle w:val="18"/>
          <w:rFonts w:ascii="仿宋" w:hAnsi="仿宋" w:eastAsia="仿宋" w:cs="仿宋"/>
          <w:sz w:val="32"/>
          <w:szCs w:val="32"/>
        </w:rPr>
        <w:t>:</w:t>
      </w:r>
      <w:r>
        <w:rPr>
          <w:rStyle w:val="18"/>
          <w:rFonts w:hint="eastAsia" w:ascii="仿宋" w:hAnsi="仿宋" w:eastAsia="仿宋" w:cs="仿宋"/>
          <w:b w:val="0"/>
          <w:bCs w:val="0"/>
          <w:sz w:val="32"/>
          <w:szCs w:val="32"/>
        </w:rPr>
        <w:t>支出决算为</w:t>
      </w:r>
      <w:r>
        <w:rPr>
          <w:rStyle w:val="18"/>
          <w:rFonts w:hint="eastAsia" w:ascii="仿宋" w:hAnsi="仿宋" w:eastAsia="仿宋" w:cs="仿宋"/>
          <w:b w:val="0"/>
          <w:bCs w:val="0"/>
          <w:sz w:val="32"/>
          <w:szCs w:val="32"/>
          <w:lang w:val="en-US" w:eastAsia="zh-CN"/>
        </w:rPr>
        <w:t>11.88</w:t>
      </w:r>
      <w:r>
        <w:rPr>
          <w:rStyle w:val="18"/>
          <w:rFonts w:hint="eastAsia" w:ascii="仿宋" w:hAnsi="仿宋" w:eastAsia="仿宋" w:cs="仿宋"/>
          <w:b w:val="0"/>
          <w:bCs w:val="0"/>
          <w:sz w:val="32"/>
          <w:szCs w:val="32"/>
        </w:rPr>
        <w:t>万元，完成预算100</w:t>
      </w:r>
      <w:r>
        <w:rPr>
          <w:rStyle w:val="18"/>
          <w:rFonts w:ascii="仿宋" w:hAnsi="仿宋" w:eastAsia="仿宋" w:cs="仿宋"/>
          <w:b w:val="0"/>
          <w:bCs w:val="0"/>
          <w:sz w:val="32"/>
          <w:szCs w:val="32"/>
        </w:rPr>
        <w:t>%</w:t>
      </w:r>
      <w:r>
        <w:rPr>
          <w:rStyle w:val="18"/>
          <w:rFonts w:hint="eastAsia" w:ascii="仿宋" w:hAnsi="仿宋" w:eastAsia="仿宋" w:cs="仿宋"/>
          <w:b w:val="0"/>
          <w:bCs w:val="0"/>
          <w:sz w:val="32"/>
          <w:szCs w:val="32"/>
        </w:rPr>
        <w:t>。</w:t>
      </w:r>
    </w:p>
    <w:p>
      <w:pPr>
        <w:spacing w:line="600" w:lineRule="exact"/>
        <w:ind w:firstLine="642" w:firstLineChars="200"/>
        <w:rPr>
          <w:rStyle w:val="18"/>
          <w:rFonts w:hint="eastAsia" w:ascii="仿宋" w:hAnsi="仿宋" w:eastAsia="仿宋" w:cs="仿宋"/>
          <w:b w:val="0"/>
          <w:bCs w:val="0"/>
          <w:sz w:val="32"/>
          <w:szCs w:val="32"/>
        </w:rPr>
      </w:pPr>
      <w:r>
        <w:rPr>
          <w:rStyle w:val="18"/>
          <w:rFonts w:hint="eastAsia" w:ascii="仿宋" w:hAnsi="仿宋" w:eastAsia="仿宋" w:cs="仿宋"/>
          <w:sz w:val="32"/>
          <w:szCs w:val="32"/>
          <w:lang w:val="en-US" w:eastAsia="zh-CN"/>
        </w:rPr>
        <w:t>5</w:t>
      </w:r>
      <w:r>
        <w:rPr>
          <w:rStyle w:val="18"/>
          <w:rFonts w:ascii="仿宋" w:hAnsi="仿宋" w:eastAsia="仿宋" w:cs="仿宋"/>
          <w:sz w:val="32"/>
          <w:szCs w:val="32"/>
        </w:rPr>
        <w:t>.</w:t>
      </w:r>
      <w:r>
        <w:rPr>
          <w:rFonts w:hint="eastAsia" w:ascii="仿宋" w:hAnsi="仿宋" w:eastAsia="仿宋" w:cs="仿宋"/>
          <w:b/>
          <w:bCs/>
          <w:sz w:val="32"/>
          <w:szCs w:val="32"/>
        </w:rPr>
        <w:t>卫生健康</w:t>
      </w:r>
      <w:r>
        <w:rPr>
          <w:rStyle w:val="18"/>
          <w:rFonts w:hint="eastAsia" w:ascii="仿宋" w:hAnsi="仿宋" w:eastAsia="仿宋" w:cs="仿宋"/>
          <w:sz w:val="32"/>
          <w:szCs w:val="32"/>
        </w:rPr>
        <w:t>（类）行政事业单位医疗（款）公务员医疗补助（项）</w:t>
      </w:r>
      <w:r>
        <w:rPr>
          <w:rStyle w:val="18"/>
          <w:rFonts w:ascii="仿宋" w:hAnsi="仿宋" w:eastAsia="仿宋" w:cs="仿宋"/>
          <w:sz w:val="32"/>
          <w:szCs w:val="32"/>
        </w:rPr>
        <w:t>:</w:t>
      </w:r>
      <w:r>
        <w:rPr>
          <w:rStyle w:val="18"/>
          <w:rFonts w:hint="eastAsia" w:ascii="仿宋" w:hAnsi="仿宋" w:eastAsia="仿宋" w:cs="仿宋"/>
          <w:b w:val="0"/>
          <w:bCs w:val="0"/>
          <w:sz w:val="32"/>
          <w:szCs w:val="32"/>
        </w:rPr>
        <w:t>支出决算为</w:t>
      </w:r>
      <w:r>
        <w:rPr>
          <w:rStyle w:val="18"/>
          <w:rFonts w:hint="eastAsia" w:ascii="仿宋" w:hAnsi="仿宋" w:eastAsia="仿宋" w:cs="仿宋"/>
          <w:b w:val="0"/>
          <w:bCs w:val="0"/>
          <w:sz w:val="32"/>
          <w:szCs w:val="32"/>
          <w:lang w:val="en-US" w:eastAsia="zh-CN"/>
        </w:rPr>
        <w:t>1.68</w:t>
      </w:r>
      <w:r>
        <w:rPr>
          <w:rStyle w:val="18"/>
          <w:rFonts w:hint="eastAsia" w:ascii="仿宋" w:hAnsi="仿宋" w:eastAsia="仿宋" w:cs="仿宋"/>
          <w:b w:val="0"/>
          <w:bCs w:val="0"/>
          <w:sz w:val="32"/>
          <w:szCs w:val="32"/>
        </w:rPr>
        <w:t>万元，完成预算100</w:t>
      </w:r>
      <w:r>
        <w:rPr>
          <w:rStyle w:val="18"/>
          <w:rFonts w:ascii="仿宋" w:hAnsi="仿宋" w:eastAsia="仿宋" w:cs="仿宋"/>
          <w:b w:val="0"/>
          <w:bCs w:val="0"/>
          <w:sz w:val="32"/>
          <w:szCs w:val="32"/>
        </w:rPr>
        <w:t>%</w:t>
      </w:r>
      <w:r>
        <w:rPr>
          <w:rStyle w:val="18"/>
          <w:rFonts w:hint="eastAsia" w:ascii="仿宋" w:hAnsi="仿宋" w:eastAsia="仿宋" w:cs="仿宋"/>
          <w:b w:val="0"/>
          <w:bCs w:val="0"/>
          <w:sz w:val="32"/>
          <w:szCs w:val="32"/>
        </w:rPr>
        <w:t>。</w:t>
      </w:r>
    </w:p>
    <w:p>
      <w:pPr>
        <w:spacing w:line="600" w:lineRule="exact"/>
        <w:ind w:firstLine="642" w:firstLineChars="200"/>
        <w:rPr>
          <w:rFonts w:hint="eastAsia"/>
        </w:rPr>
      </w:pPr>
      <w:r>
        <w:rPr>
          <w:rStyle w:val="18"/>
          <w:rFonts w:hint="eastAsia" w:ascii="仿宋" w:hAnsi="仿宋" w:eastAsia="仿宋" w:cs="仿宋"/>
          <w:sz w:val="32"/>
          <w:szCs w:val="32"/>
          <w:lang w:val="en-US" w:eastAsia="zh-CN"/>
        </w:rPr>
        <w:t>6</w:t>
      </w:r>
      <w:r>
        <w:rPr>
          <w:rStyle w:val="18"/>
          <w:rFonts w:ascii="仿宋" w:hAnsi="仿宋" w:eastAsia="仿宋" w:cs="仿宋"/>
          <w:sz w:val="32"/>
          <w:szCs w:val="32"/>
        </w:rPr>
        <w:t>.</w:t>
      </w:r>
      <w:r>
        <w:rPr>
          <w:rFonts w:hint="eastAsia" w:ascii="仿宋" w:hAnsi="仿宋" w:eastAsia="仿宋" w:cs="仿宋"/>
          <w:b/>
          <w:bCs/>
          <w:sz w:val="32"/>
          <w:szCs w:val="32"/>
        </w:rPr>
        <w:t>卫生健康</w:t>
      </w:r>
      <w:r>
        <w:rPr>
          <w:rStyle w:val="18"/>
          <w:rFonts w:hint="eastAsia" w:ascii="仿宋" w:hAnsi="仿宋" w:eastAsia="仿宋" w:cs="仿宋"/>
          <w:sz w:val="32"/>
          <w:szCs w:val="32"/>
        </w:rPr>
        <w:t>（类）行政事业单位医疗（款）其他行政事业单位医疗支出（项）</w:t>
      </w:r>
      <w:r>
        <w:rPr>
          <w:rStyle w:val="18"/>
          <w:rFonts w:ascii="仿宋" w:hAnsi="仿宋" w:eastAsia="仿宋" w:cs="仿宋"/>
          <w:sz w:val="32"/>
          <w:szCs w:val="32"/>
        </w:rPr>
        <w:t>:</w:t>
      </w:r>
      <w:r>
        <w:rPr>
          <w:rStyle w:val="18"/>
          <w:rFonts w:hint="eastAsia" w:ascii="仿宋" w:hAnsi="仿宋" w:eastAsia="仿宋" w:cs="仿宋"/>
          <w:b w:val="0"/>
          <w:bCs w:val="0"/>
          <w:sz w:val="32"/>
          <w:szCs w:val="32"/>
        </w:rPr>
        <w:t>支出决算为</w:t>
      </w:r>
      <w:r>
        <w:rPr>
          <w:rStyle w:val="18"/>
          <w:rFonts w:hint="eastAsia" w:ascii="仿宋" w:hAnsi="仿宋" w:eastAsia="仿宋" w:cs="仿宋"/>
          <w:b w:val="0"/>
          <w:bCs w:val="0"/>
          <w:sz w:val="32"/>
          <w:szCs w:val="32"/>
          <w:lang w:val="en-US" w:eastAsia="zh-CN"/>
        </w:rPr>
        <w:t>1.49</w:t>
      </w:r>
      <w:r>
        <w:rPr>
          <w:rStyle w:val="18"/>
          <w:rFonts w:hint="eastAsia" w:ascii="仿宋" w:hAnsi="仿宋" w:eastAsia="仿宋" w:cs="仿宋"/>
          <w:b w:val="0"/>
          <w:bCs w:val="0"/>
          <w:sz w:val="32"/>
          <w:szCs w:val="32"/>
        </w:rPr>
        <w:t>万元，完成预算100</w:t>
      </w:r>
      <w:r>
        <w:rPr>
          <w:rStyle w:val="18"/>
          <w:rFonts w:ascii="仿宋" w:hAnsi="仿宋" w:eastAsia="仿宋" w:cs="仿宋"/>
          <w:b w:val="0"/>
          <w:bCs w:val="0"/>
          <w:sz w:val="32"/>
          <w:szCs w:val="32"/>
        </w:rPr>
        <w:t>%</w:t>
      </w:r>
      <w:r>
        <w:rPr>
          <w:rStyle w:val="18"/>
          <w:rFonts w:hint="eastAsia" w:ascii="仿宋" w:hAnsi="仿宋" w:eastAsia="仿宋" w:cs="仿宋"/>
          <w:b w:val="0"/>
          <w:bCs w:val="0"/>
          <w:sz w:val="32"/>
          <w:szCs w:val="32"/>
        </w:rPr>
        <w:t>。</w:t>
      </w:r>
    </w:p>
    <w:p>
      <w:pPr>
        <w:spacing w:line="600" w:lineRule="exact"/>
        <w:ind w:firstLine="642" w:firstLineChars="200"/>
        <w:rPr>
          <w:rStyle w:val="18"/>
          <w:rFonts w:hint="eastAsia" w:ascii="仿宋" w:hAnsi="仿宋" w:eastAsia="仿宋" w:cs="仿宋"/>
          <w:b w:val="0"/>
          <w:bCs w:val="0"/>
          <w:sz w:val="32"/>
          <w:szCs w:val="32"/>
        </w:rPr>
      </w:pPr>
      <w:r>
        <w:rPr>
          <w:rStyle w:val="18"/>
          <w:rFonts w:hint="eastAsia" w:ascii="仿宋" w:hAnsi="仿宋" w:eastAsia="仿宋" w:cs="仿宋"/>
          <w:sz w:val="32"/>
          <w:szCs w:val="32"/>
          <w:lang w:val="en-US" w:eastAsia="zh-CN"/>
        </w:rPr>
        <w:t>7</w:t>
      </w:r>
      <w:r>
        <w:rPr>
          <w:rStyle w:val="18"/>
          <w:rFonts w:ascii="仿宋" w:hAnsi="仿宋" w:eastAsia="仿宋" w:cs="仿宋"/>
          <w:sz w:val="32"/>
          <w:szCs w:val="32"/>
        </w:rPr>
        <w:t>.</w:t>
      </w:r>
      <w:r>
        <w:rPr>
          <w:rFonts w:hint="eastAsia" w:ascii="仿宋" w:hAnsi="仿宋" w:eastAsia="仿宋" w:cs="仿宋"/>
          <w:b/>
          <w:bCs/>
          <w:sz w:val="32"/>
          <w:szCs w:val="32"/>
        </w:rPr>
        <w:t>卫生健康</w:t>
      </w:r>
      <w:r>
        <w:rPr>
          <w:rStyle w:val="18"/>
          <w:rFonts w:hint="eastAsia" w:ascii="仿宋" w:hAnsi="仿宋" w:eastAsia="仿宋" w:cs="仿宋"/>
          <w:sz w:val="32"/>
          <w:szCs w:val="32"/>
        </w:rPr>
        <w:t>（类）其他卫生健康支出（款）其他卫生健康支出（项）</w:t>
      </w:r>
      <w:r>
        <w:rPr>
          <w:rStyle w:val="18"/>
          <w:rFonts w:ascii="仿宋" w:hAnsi="仿宋" w:eastAsia="仿宋" w:cs="仿宋"/>
          <w:sz w:val="32"/>
          <w:szCs w:val="32"/>
        </w:rPr>
        <w:t>:</w:t>
      </w:r>
      <w:r>
        <w:rPr>
          <w:rStyle w:val="18"/>
          <w:rFonts w:hint="eastAsia" w:ascii="仿宋" w:hAnsi="仿宋" w:eastAsia="仿宋" w:cs="仿宋"/>
          <w:b w:val="0"/>
          <w:bCs w:val="0"/>
          <w:sz w:val="32"/>
          <w:szCs w:val="32"/>
        </w:rPr>
        <w:t>支出决算为</w:t>
      </w:r>
      <w:r>
        <w:rPr>
          <w:rStyle w:val="18"/>
          <w:rFonts w:hint="eastAsia" w:ascii="仿宋" w:hAnsi="仿宋" w:eastAsia="仿宋" w:cs="仿宋"/>
          <w:b w:val="0"/>
          <w:bCs w:val="0"/>
          <w:sz w:val="32"/>
          <w:szCs w:val="32"/>
          <w:lang w:val="en-US" w:eastAsia="zh-CN"/>
        </w:rPr>
        <w:t>205.17</w:t>
      </w:r>
      <w:r>
        <w:rPr>
          <w:rStyle w:val="18"/>
          <w:rFonts w:hint="eastAsia" w:ascii="仿宋" w:hAnsi="仿宋" w:eastAsia="仿宋" w:cs="仿宋"/>
          <w:b w:val="0"/>
          <w:bCs w:val="0"/>
          <w:sz w:val="32"/>
          <w:szCs w:val="32"/>
        </w:rPr>
        <w:t>万元，完成预算100</w:t>
      </w:r>
      <w:r>
        <w:rPr>
          <w:rStyle w:val="18"/>
          <w:rFonts w:ascii="仿宋" w:hAnsi="仿宋" w:eastAsia="仿宋" w:cs="仿宋"/>
          <w:b w:val="0"/>
          <w:bCs w:val="0"/>
          <w:sz w:val="32"/>
          <w:szCs w:val="32"/>
        </w:rPr>
        <w:t>%</w:t>
      </w:r>
      <w:r>
        <w:rPr>
          <w:rStyle w:val="18"/>
          <w:rFonts w:hint="eastAsia" w:ascii="仿宋" w:hAnsi="仿宋" w:eastAsia="仿宋" w:cs="仿宋"/>
          <w:b w:val="0"/>
          <w:bCs w:val="0"/>
          <w:sz w:val="32"/>
          <w:szCs w:val="32"/>
        </w:rPr>
        <w:t>。</w:t>
      </w:r>
    </w:p>
    <w:p>
      <w:pPr>
        <w:spacing w:line="600" w:lineRule="exact"/>
        <w:ind w:firstLine="642" w:firstLineChars="200"/>
        <w:rPr>
          <w:rStyle w:val="18"/>
          <w:rFonts w:hint="eastAsia" w:ascii="仿宋" w:hAnsi="仿宋" w:eastAsia="仿宋" w:cs="仿宋"/>
          <w:b w:val="0"/>
          <w:bCs w:val="0"/>
          <w:sz w:val="32"/>
          <w:szCs w:val="32"/>
        </w:rPr>
      </w:pPr>
      <w:r>
        <w:rPr>
          <w:rStyle w:val="18"/>
          <w:rFonts w:hint="eastAsia" w:ascii="仿宋" w:hAnsi="仿宋" w:eastAsia="仿宋" w:cs="仿宋"/>
          <w:sz w:val="32"/>
          <w:szCs w:val="32"/>
        </w:rPr>
        <w:t>6.住房保障支出（类）住房改革支出（款）住房公积金（项）：</w:t>
      </w:r>
      <w:r>
        <w:rPr>
          <w:rStyle w:val="18"/>
          <w:rFonts w:hint="eastAsia" w:ascii="仿宋" w:hAnsi="仿宋" w:eastAsia="仿宋" w:cs="仿宋"/>
          <w:b w:val="0"/>
          <w:bCs w:val="0"/>
          <w:sz w:val="32"/>
          <w:szCs w:val="32"/>
        </w:rPr>
        <w:t>支出决算为</w:t>
      </w:r>
      <w:r>
        <w:rPr>
          <w:rStyle w:val="18"/>
          <w:rFonts w:hint="eastAsia" w:ascii="仿宋" w:hAnsi="仿宋" w:eastAsia="仿宋" w:cs="仿宋"/>
          <w:b w:val="0"/>
          <w:bCs w:val="0"/>
          <w:sz w:val="32"/>
          <w:szCs w:val="32"/>
          <w:lang w:val="en-US" w:eastAsia="zh-CN"/>
        </w:rPr>
        <w:t>17.87</w:t>
      </w:r>
      <w:r>
        <w:rPr>
          <w:rStyle w:val="18"/>
          <w:rFonts w:hint="eastAsia" w:ascii="仿宋" w:hAnsi="仿宋" w:eastAsia="仿宋" w:cs="仿宋"/>
          <w:b w:val="0"/>
          <w:bCs w:val="0"/>
          <w:sz w:val="32"/>
          <w:szCs w:val="32"/>
        </w:rPr>
        <w:t>万元，完成预算100%。</w:t>
      </w:r>
    </w:p>
    <w:p>
      <w:pPr>
        <w:spacing w:line="600" w:lineRule="exact"/>
        <w:rPr>
          <w:rFonts w:ascii="仿宋" w:hAnsi="仿宋" w:eastAsia="仿宋"/>
          <w:b/>
          <w:sz w:val="32"/>
          <w:szCs w:val="32"/>
        </w:rPr>
      </w:pPr>
    </w:p>
    <w:p>
      <w:pPr>
        <w:pStyle w:val="8"/>
      </w:pPr>
    </w:p>
    <w:p>
      <w:pPr>
        <w:tabs>
          <w:tab w:val="right" w:pos="8306"/>
        </w:tabs>
        <w:spacing w:line="600" w:lineRule="exact"/>
        <w:ind w:firstLine="640"/>
        <w:outlineLvl w:val="1"/>
        <w:rPr>
          <w:rStyle w:val="30"/>
        </w:rPr>
      </w:pPr>
      <w:bookmarkStart w:id="55" w:name="_Toc15396608"/>
      <w:bookmarkStart w:id="56" w:name="_Toc15377214"/>
      <w:bookmarkStart w:id="57" w:name="_Toc1955968728"/>
      <w:bookmarkStart w:id="58" w:name="_Toc507814088"/>
      <w:r>
        <w:rPr>
          <w:rStyle w:val="30"/>
          <w:rFonts w:hint="eastAsia" w:ascii="黑体" w:hAnsi="黑体" w:eastAsia="黑体" w:cs="黑体"/>
          <w:b w:val="0"/>
          <w:bCs w:val="0"/>
        </w:rPr>
        <w:t>六、一般公共预算财政拨款基本支出决算情况说明</w:t>
      </w:r>
      <w:bookmarkEnd w:id="55"/>
      <w:bookmarkEnd w:id="56"/>
      <w:bookmarkEnd w:id="57"/>
      <w:bookmarkEnd w:id="58"/>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282.82</w:t>
      </w:r>
      <w:r>
        <w:rPr>
          <w:rFonts w:hint="eastAsia" w:ascii="仿宋" w:hAnsi="仿宋" w:eastAsia="仿宋"/>
          <w:sz w:val="32"/>
          <w:szCs w:val="32"/>
        </w:rPr>
        <w:t>万元，其中：</w:t>
      </w: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269.33</w:t>
      </w:r>
      <w:r>
        <w:rPr>
          <w:rFonts w:hint="eastAsia" w:ascii="仿宋" w:hAnsi="仿宋" w:eastAsia="仿宋"/>
          <w:sz w:val="32"/>
          <w:szCs w:val="32"/>
        </w:rPr>
        <w:t>万元，主要包括：基本工资</w:t>
      </w:r>
      <w:r>
        <w:rPr>
          <w:rFonts w:hint="eastAsia" w:ascii="仿宋" w:hAnsi="仿宋" w:eastAsia="仿宋"/>
          <w:sz w:val="32"/>
          <w:szCs w:val="32"/>
          <w:lang w:val="en-US" w:eastAsia="zh-CN"/>
        </w:rPr>
        <w:t>61.03万元</w:t>
      </w:r>
      <w:r>
        <w:rPr>
          <w:rFonts w:hint="eastAsia" w:ascii="仿宋" w:hAnsi="仿宋" w:eastAsia="仿宋"/>
          <w:sz w:val="32"/>
          <w:szCs w:val="32"/>
        </w:rPr>
        <w:t>、津贴补贴</w:t>
      </w:r>
      <w:r>
        <w:rPr>
          <w:rFonts w:hint="eastAsia" w:ascii="仿宋" w:hAnsi="仿宋" w:eastAsia="仿宋"/>
          <w:sz w:val="32"/>
          <w:szCs w:val="32"/>
          <w:lang w:val="en-US" w:eastAsia="zh-CN"/>
        </w:rPr>
        <w:t>7.04万元</w:t>
      </w:r>
      <w:r>
        <w:rPr>
          <w:rFonts w:hint="eastAsia" w:ascii="仿宋" w:hAnsi="仿宋" w:eastAsia="仿宋"/>
          <w:sz w:val="32"/>
          <w:szCs w:val="32"/>
        </w:rPr>
        <w:t>、绩效工资</w:t>
      </w:r>
      <w:r>
        <w:rPr>
          <w:rFonts w:hint="eastAsia" w:ascii="仿宋" w:hAnsi="仿宋" w:eastAsia="仿宋"/>
          <w:sz w:val="32"/>
          <w:szCs w:val="32"/>
          <w:lang w:val="en-US" w:eastAsia="zh-CN"/>
        </w:rPr>
        <w:t>93.34万元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28.17万元</w:t>
      </w:r>
      <w:r>
        <w:rPr>
          <w:rFonts w:hint="eastAsia" w:ascii="仿宋" w:hAnsi="仿宋" w:eastAsia="仿宋"/>
          <w:sz w:val="32"/>
          <w:szCs w:val="32"/>
        </w:rPr>
        <w:t>、职工基本医疗保险缴费</w:t>
      </w:r>
      <w:r>
        <w:rPr>
          <w:rFonts w:hint="eastAsia" w:ascii="仿宋" w:hAnsi="仿宋" w:eastAsia="仿宋"/>
          <w:sz w:val="32"/>
          <w:szCs w:val="32"/>
          <w:lang w:val="en-US" w:eastAsia="zh-CN"/>
        </w:rPr>
        <w:t>11.88万元、公务员医疗补助缴费3.17万元、</w:t>
      </w:r>
      <w:r>
        <w:rPr>
          <w:rFonts w:hint="eastAsia" w:ascii="仿宋" w:hAnsi="仿宋" w:eastAsia="仿宋"/>
          <w:sz w:val="32"/>
          <w:szCs w:val="32"/>
        </w:rPr>
        <w:t>其他社会保障缴费</w:t>
      </w:r>
      <w:r>
        <w:rPr>
          <w:rFonts w:hint="eastAsia" w:ascii="仿宋" w:hAnsi="仿宋" w:eastAsia="仿宋"/>
          <w:sz w:val="32"/>
          <w:szCs w:val="32"/>
          <w:lang w:val="en-US" w:eastAsia="zh-CN"/>
        </w:rPr>
        <w:t>1.42万元</w:t>
      </w:r>
      <w:r>
        <w:rPr>
          <w:rFonts w:hint="eastAsia" w:ascii="仿宋" w:hAnsi="仿宋" w:eastAsia="仿宋"/>
          <w:sz w:val="32"/>
          <w:szCs w:val="32"/>
        </w:rPr>
        <w:t>、其他工资福利支出、住房公积金</w:t>
      </w:r>
      <w:r>
        <w:rPr>
          <w:rFonts w:hint="eastAsia" w:ascii="仿宋" w:hAnsi="仿宋" w:eastAsia="仿宋"/>
          <w:sz w:val="32"/>
          <w:szCs w:val="32"/>
          <w:lang w:val="en-US" w:eastAsia="zh-CN"/>
        </w:rPr>
        <w:t>17.87万元、</w:t>
      </w:r>
      <w:r>
        <w:rPr>
          <w:rFonts w:hint="eastAsia" w:ascii="仿宋" w:hAnsi="仿宋" w:eastAsia="仿宋"/>
          <w:sz w:val="32"/>
          <w:szCs w:val="32"/>
        </w:rPr>
        <w:t>其他工资福利支出</w:t>
      </w:r>
      <w:r>
        <w:rPr>
          <w:rFonts w:hint="eastAsia" w:ascii="仿宋" w:hAnsi="仿宋" w:eastAsia="仿宋"/>
          <w:sz w:val="32"/>
          <w:szCs w:val="32"/>
          <w:lang w:val="en-US" w:eastAsia="zh-CN"/>
        </w:rPr>
        <w:t>17.95万元、</w:t>
      </w:r>
      <w:r>
        <w:rPr>
          <w:rFonts w:hint="eastAsia" w:ascii="仿宋" w:hAnsi="仿宋" w:eastAsia="仿宋"/>
          <w:sz w:val="32"/>
          <w:szCs w:val="32"/>
        </w:rPr>
        <w:t>对个人和家庭的补助支出</w:t>
      </w:r>
      <w:r>
        <w:rPr>
          <w:rFonts w:hint="eastAsia" w:ascii="仿宋" w:hAnsi="仿宋" w:eastAsia="仿宋"/>
          <w:sz w:val="32"/>
          <w:szCs w:val="32"/>
          <w:lang w:val="en-US" w:eastAsia="zh-CN"/>
        </w:rPr>
        <w:t>27.47万元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13.49</w:t>
      </w:r>
      <w:r>
        <w:rPr>
          <w:rFonts w:hint="eastAsia" w:ascii="仿宋" w:hAnsi="仿宋" w:eastAsia="仿宋"/>
          <w:sz w:val="32"/>
          <w:szCs w:val="32"/>
        </w:rPr>
        <w:t>万元，主要包括：办公费</w:t>
      </w:r>
      <w:r>
        <w:rPr>
          <w:rFonts w:hint="eastAsia" w:ascii="仿宋" w:hAnsi="仿宋" w:eastAsia="仿宋"/>
          <w:sz w:val="32"/>
          <w:szCs w:val="32"/>
          <w:lang w:val="en-US" w:eastAsia="zh-CN"/>
        </w:rPr>
        <w:t>2.86万元</w:t>
      </w:r>
      <w:r>
        <w:rPr>
          <w:rFonts w:hint="eastAsia" w:ascii="仿宋" w:hAnsi="仿宋" w:eastAsia="仿宋"/>
          <w:sz w:val="32"/>
          <w:szCs w:val="32"/>
        </w:rPr>
        <w:t>、水费</w:t>
      </w:r>
      <w:r>
        <w:rPr>
          <w:rFonts w:hint="eastAsia" w:ascii="仿宋" w:hAnsi="仿宋" w:eastAsia="仿宋"/>
          <w:sz w:val="32"/>
          <w:szCs w:val="32"/>
          <w:lang w:val="en-US" w:eastAsia="zh-CN"/>
        </w:rPr>
        <w:t>0.21万元</w:t>
      </w:r>
      <w:r>
        <w:rPr>
          <w:rFonts w:hint="eastAsia" w:ascii="仿宋" w:hAnsi="仿宋" w:eastAsia="仿宋"/>
          <w:sz w:val="32"/>
          <w:szCs w:val="32"/>
        </w:rPr>
        <w:t>、电费</w:t>
      </w:r>
      <w:r>
        <w:rPr>
          <w:rFonts w:hint="eastAsia" w:ascii="仿宋" w:hAnsi="仿宋" w:eastAsia="仿宋"/>
          <w:sz w:val="32"/>
          <w:szCs w:val="32"/>
          <w:lang w:val="en-US" w:eastAsia="zh-CN"/>
        </w:rPr>
        <w:t>1.34万元</w:t>
      </w:r>
      <w:r>
        <w:rPr>
          <w:rFonts w:hint="eastAsia" w:ascii="仿宋" w:hAnsi="仿宋" w:eastAsia="仿宋"/>
          <w:sz w:val="32"/>
          <w:szCs w:val="32"/>
        </w:rPr>
        <w:t>、邮电费</w:t>
      </w:r>
      <w:r>
        <w:rPr>
          <w:rFonts w:hint="eastAsia" w:ascii="仿宋" w:hAnsi="仿宋" w:eastAsia="仿宋"/>
          <w:sz w:val="32"/>
          <w:szCs w:val="32"/>
          <w:lang w:val="en-US" w:eastAsia="zh-CN"/>
        </w:rPr>
        <w:t>0.52万元</w:t>
      </w:r>
      <w:r>
        <w:rPr>
          <w:rFonts w:hint="eastAsia" w:ascii="仿宋" w:hAnsi="仿宋" w:eastAsia="仿宋"/>
          <w:sz w:val="32"/>
          <w:szCs w:val="32"/>
        </w:rPr>
        <w:t>、差旅费</w:t>
      </w:r>
      <w:r>
        <w:rPr>
          <w:rFonts w:hint="eastAsia" w:ascii="仿宋" w:hAnsi="仿宋" w:eastAsia="仿宋"/>
          <w:sz w:val="32"/>
          <w:szCs w:val="32"/>
          <w:lang w:val="en-US" w:eastAsia="zh-CN"/>
        </w:rPr>
        <w:t>2.78万元</w:t>
      </w:r>
      <w:r>
        <w:rPr>
          <w:rFonts w:hint="eastAsia" w:ascii="仿宋" w:hAnsi="仿宋" w:eastAsia="仿宋"/>
          <w:sz w:val="32"/>
          <w:szCs w:val="32"/>
        </w:rPr>
        <w:t>、工会经费</w:t>
      </w:r>
      <w:r>
        <w:rPr>
          <w:rFonts w:hint="eastAsia" w:ascii="仿宋" w:hAnsi="仿宋" w:eastAsia="仿宋"/>
          <w:sz w:val="32"/>
          <w:szCs w:val="32"/>
          <w:lang w:val="en-US" w:eastAsia="zh-CN"/>
        </w:rPr>
        <w:t>1.81万元</w:t>
      </w:r>
      <w:r>
        <w:rPr>
          <w:rFonts w:hint="eastAsia" w:ascii="仿宋" w:hAnsi="仿宋" w:eastAsia="仿宋"/>
          <w:sz w:val="32"/>
          <w:szCs w:val="32"/>
        </w:rPr>
        <w:t>、福利费</w:t>
      </w:r>
      <w:r>
        <w:rPr>
          <w:rFonts w:hint="eastAsia" w:ascii="仿宋" w:hAnsi="仿宋" w:eastAsia="仿宋"/>
          <w:sz w:val="32"/>
          <w:szCs w:val="32"/>
          <w:lang w:val="en-US" w:eastAsia="zh-CN"/>
        </w:rPr>
        <w:t>2.06万元</w:t>
      </w:r>
      <w:r>
        <w:rPr>
          <w:rFonts w:hint="eastAsia" w:ascii="仿宋" w:hAnsi="仿宋" w:eastAsia="仿宋"/>
          <w:sz w:val="32"/>
          <w:szCs w:val="32"/>
        </w:rPr>
        <w:t>、公务用车运行维护费</w:t>
      </w:r>
      <w:r>
        <w:rPr>
          <w:rFonts w:hint="eastAsia" w:ascii="仿宋" w:hAnsi="仿宋" w:eastAsia="仿宋"/>
          <w:sz w:val="32"/>
          <w:szCs w:val="32"/>
          <w:lang w:val="en-US" w:eastAsia="zh-CN"/>
        </w:rPr>
        <w:t>1.42万元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0.49万元。</w:t>
      </w:r>
    </w:p>
    <w:p>
      <w:pPr>
        <w:pStyle w:val="6"/>
        <w:bidi w:val="0"/>
        <w:ind w:firstLine="640" w:firstLineChars="200"/>
        <w:rPr>
          <w:rFonts w:hint="eastAsia" w:ascii="黑体" w:hAnsi="黑体" w:eastAsia="黑体" w:cs="黑体"/>
          <w:b w:val="0"/>
          <w:bCs w:val="0"/>
        </w:rPr>
      </w:pPr>
      <w:bookmarkStart w:id="59" w:name="_Toc15396609"/>
      <w:bookmarkStart w:id="60" w:name="_Toc488706074"/>
      <w:bookmarkStart w:id="61" w:name="_Toc15377215"/>
      <w:bookmarkStart w:id="62" w:name="_Toc803953154"/>
      <w:r>
        <w:rPr>
          <w:rFonts w:hint="eastAsia" w:ascii="黑体" w:hAnsi="黑体" w:eastAsia="黑体" w:cs="黑体"/>
          <w:b w:val="0"/>
          <w:bCs w:val="0"/>
        </w:rPr>
        <w:t>七、财政拨款“三公”经费支出决算情况说明</w:t>
      </w:r>
      <w:bookmarkEnd w:id="59"/>
      <w:bookmarkEnd w:id="60"/>
      <w:bookmarkEnd w:id="61"/>
      <w:bookmarkEnd w:id="62"/>
    </w:p>
    <w:p>
      <w:pPr>
        <w:spacing w:line="600" w:lineRule="exact"/>
        <w:ind w:firstLine="640"/>
        <w:outlineLvl w:val="2"/>
        <w:rPr>
          <w:rFonts w:ascii="仿宋" w:hAnsi="仿宋" w:eastAsia="仿宋"/>
          <w:b/>
          <w:sz w:val="32"/>
          <w:szCs w:val="32"/>
        </w:rPr>
      </w:pPr>
      <w:bookmarkStart w:id="63" w:name="_Toc15377216"/>
      <w:r>
        <w:rPr>
          <w:rFonts w:hint="eastAsia" w:ascii="仿宋" w:hAnsi="仿宋" w:eastAsia="仿宋"/>
          <w:b/>
          <w:sz w:val="32"/>
          <w:szCs w:val="32"/>
        </w:rPr>
        <w:t>（一）“三公”经费财政拨款支出决算总体情况说明</w:t>
      </w:r>
      <w:bookmarkEnd w:id="63"/>
    </w:p>
    <w:p>
      <w:pPr>
        <w:spacing w:line="600" w:lineRule="exact"/>
        <w:ind w:firstLine="640"/>
        <w:rPr>
          <w:rFonts w:hint="eastAsia" w:ascii="仿宋" w:hAnsi="仿宋" w:eastAsia="仿宋" w:cs="仿宋"/>
          <w:sz w:val="32"/>
          <w:szCs w:val="32"/>
          <w:lang w:eastAsia="zh-CN"/>
        </w:rPr>
      </w:pPr>
      <w:r>
        <w:rPr>
          <w:rFonts w:hint="eastAsia" w:ascii="仿宋" w:hAnsi="仿宋" w:eastAsia="仿宋"/>
          <w:sz w:val="32"/>
          <w:szCs w:val="32"/>
        </w:rPr>
        <w:t>2023年度“三公”经费财政拨款支出决算为</w:t>
      </w:r>
      <w:r>
        <w:rPr>
          <w:rFonts w:ascii="仿宋" w:hAnsi="仿宋" w:eastAsia="仿宋"/>
          <w:b/>
          <w:sz w:val="32"/>
          <w:szCs w:val="32"/>
        </w:rPr>
        <w:t>1.42</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0.86</w:t>
      </w:r>
      <w:r>
        <w:rPr>
          <w:rFonts w:hint="eastAsia" w:ascii="仿宋" w:hAnsi="仿宋" w:eastAsia="仿宋"/>
          <w:sz w:val="32"/>
          <w:szCs w:val="32"/>
        </w:rPr>
        <w:t>万元，增长</w:t>
      </w:r>
      <w:r>
        <w:rPr>
          <w:rFonts w:hint="eastAsia" w:ascii="仿宋" w:hAnsi="仿宋" w:eastAsia="仿宋"/>
          <w:sz w:val="32"/>
          <w:szCs w:val="32"/>
          <w:lang w:val="en-US" w:eastAsia="zh-CN"/>
        </w:rPr>
        <w:t>154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主要原因是</w:t>
      </w:r>
      <w:r>
        <w:rPr>
          <w:rFonts w:hint="eastAsia" w:ascii="仿宋" w:hAnsi="仿宋" w:eastAsia="仿宋"/>
          <w:sz w:val="32"/>
          <w:szCs w:val="32"/>
          <w:lang w:val="en-US" w:eastAsia="zh-CN"/>
        </w:rPr>
        <w:t>2023年</w:t>
      </w:r>
      <w:r>
        <w:rPr>
          <w:rFonts w:hint="eastAsia" w:ascii="仿宋" w:hAnsi="仿宋" w:eastAsia="仿宋"/>
          <w:sz w:val="32"/>
          <w:szCs w:val="32"/>
          <w:lang w:eastAsia="zh-CN"/>
        </w:rPr>
        <w:t>支付了</w:t>
      </w:r>
      <w:r>
        <w:rPr>
          <w:rFonts w:ascii="仿宋" w:hAnsi="仿宋" w:eastAsia="仿宋" w:cs="仿宋"/>
          <w:sz w:val="32"/>
          <w:szCs w:val="32"/>
        </w:rPr>
        <w:t>2022</w:t>
      </w:r>
      <w:r>
        <w:rPr>
          <w:rFonts w:hint="eastAsia" w:ascii="仿宋" w:hAnsi="仿宋" w:eastAsia="仿宋" w:cs="仿宋"/>
          <w:sz w:val="32"/>
          <w:szCs w:val="32"/>
        </w:rPr>
        <w:t>下半年未支付</w:t>
      </w:r>
      <w:r>
        <w:rPr>
          <w:rFonts w:hint="eastAsia" w:ascii="仿宋" w:hAnsi="仿宋" w:eastAsia="仿宋" w:cs="仿宋"/>
          <w:sz w:val="32"/>
          <w:szCs w:val="32"/>
          <w:lang w:eastAsia="zh-CN"/>
        </w:rPr>
        <w:t>的</w:t>
      </w:r>
      <w:r>
        <w:rPr>
          <w:rFonts w:hint="eastAsia" w:ascii="仿宋" w:hAnsi="仿宋" w:eastAsia="仿宋" w:cs="仿宋"/>
          <w:sz w:val="32"/>
          <w:szCs w:val="32"/>
        </w:rPr>
        <w:t>车辆维修费</w:t>
      </w:r>
      <w:r>
        <w:rPr>
          <w:rFonts w:hint="eastAsia" w:ascii="仿宋" w:hAnsi="仿宋" w:eastAsia="仿宋" w:cs="仿宋"/>
          <w:sz w:val="32"/>
          <w:szCs w:val="32"/>
          <w:lang w:eastAsia="zh-CN"/>
        </w:rPr>
        <w:t>，导致</w:t>
      </w:r>
      <w:r>
        <w:rPr>
          <w:rFonts w:hint="eastAsia" w:ascii="仿宋" w:hAnsi="仿宋" w:eastAsia="仿宋" w:cs="仿宋"/>
          <w:sz w:val="32"/>
          <w:szCs w:val="32"/>
        </w:rPr>
        <w:t>公务用车购置及运行维护费</w:t>
      </w:r>
      <w:r>
        <w:rPr>
          <w:rFonts w:hint="eastAsia" w:ascii="仿宋" w:hAnsi="仿宋" w:eastAsia="仿宋" w:cs="仿宋"/>
          <w:sz w:val="32"/>
          <w:szCs w:val="32"/>
          <w:lang w:eastAsia="zh-CN"/>
        </w:rPr>
        <w:t>增加。</w:t>
      </w:r>
    </w:p>
    <w:p>
      <w:pPr>
        <w:pStyle w:val="8"/>
        <w:rPr>
          <w:rFonts w:hint="eastAsia"/>
          <w:lang w:eastAsia="zh-CN"/>
        </w:rPr>
      </w:pPr>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1.42</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pStyle w:val="8"/>
        <w:rPr>
          <w:rFonts w:hint="eastAsia" w:ascii="仿宋" w:hAnsi="仿宋" w:eastAsia="仿宋"/>
          <w:sz w:val="32"/>
          <w:szCs w:val="32"/>
        </w:rPr>
      </w:pPr>
      <w:r>
        <w:drawing>
          <wp:inline distT="0" distB="0" distL="114300" distR="114300">
            <wp:extent cx="3971925" cy="2272030"/>
            <wp:effectExtent l="4445" t="4445" r="5080" b="9525"/>
            <wp:docPr id="10" name="图表 10"/>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bCs/>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r>
        <w:rPr>
          <w:rFonts w:hint="eastAsia" w:ascii="仿宋_GB2312" w:eastAsia="仿宋_GB2312" w:cs="仿宋_GB2312"/>
          <w:sz w:val="32"/>
          <w:szCs w:val="32"/>
        </w:rPr>
        <w:t>因公出国（境）支出决算与</w:t>
      </w:r>
      <w:r>
        <w:rPr>
          <w:rFonts w:ascii="仿宋_GB2312" w:eastAsia="仿宋_GB2312" w:cs="仿宋_GB2312"/>
          <w:sz w:val="32"/>
          <w:szCs w:val="32"/>
        </w:rPr>
        <w:t>2021</w:t>
      </w:r>
      <w:r>
        <w:rPr>
          <w:rFonts w:hint="eastAsia" w:ascii="仿宋_GB2312" w:eastAsia="仿宋_GB2312" w:cs="仿宋_GB2312"/>
          <w:sz w:val="32"/>
          <w:szCs w:val="32"/>
        </w:rPr>
        <w:t>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1.42</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Cs/>
          <w:sz w:val="32"/>
          <w:szCs w:val="32"/>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0.86</w:t>
      </w:r>
      <w:r>
        <w:rPr>
          <w:rFonts w:hint="eastAsia" w:ascii="仿宋_GB2312" w:eastAsia="仿宋_GB2312"/>
          <w:sz w:val="32"/>
          <w:szCs w:val="32"/>
        </w:rPr>
        <w:t>万元，增长</w:t>
      </w:r>
      <w:r>
        <w:rPr>
          <w:rFonts w:hint="eastAsia" w:ascii="仿宋_GB2312" w:eastAsia="仿宋_GB2312"/>
          <w:sz w:val="32"/>
          <w:szCs w:val="32"/>
          <w:lang w:val="en-US" w:eastAsia="zh-CN"/>
        </w:rPr>
        <w:t>154</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val="en-US" w:eastAsia="zh-CN"/>
        </w:rPr>
        <w:t>2023年</w:t>
      </w:r>
      <w:r>
        <w:rPr>
          <w:rFonts w:hint="eastAsia" w:ascii="仿宋" w:hAnsi="仿宋" w:eastAsia="仿宋"/>
          <w:sz w:val="32"/>
          <w:szCs w:val="32"/>
          <w:lang w:eastAsia="zh-CN"/>
        </w:rPr>
        <w:t>支付了</w:t>
      </w:r>
      <w:r>
        <w:rPr>
          <w:rFonts w:ascii="仿宋" w:hAnsi="仿宋" w:eastAsia="仿宋" w:cs="仿宋"/>
          <w:sz w:val="32"/>
          <w:szCs w:val="32"/>
        </w:rPr>
        <w:t>2022</w:t>
      </w:r>
      <w:r>
        <w:rPr>
          <w:rFonts w:hint="eastAsia" w:ascii="仿宋" w:hAnsi="仿宋" w:eastAsia="仿宋" w:cs="仿宋"/>
          <w:sz w:val="32"/>
          <w:szCs w:val="32"/>
        </w:rPr>
        <w:t>下半年未支付</w:t>
      </w:r>
      <w:r>
        <w:rPr>
          <w:rFonts w:hint="eastAsia" w:ascii="仿宋" w:hAnsi="仿宋" w:eastAsia="仿宋" w:cs="仿宋"/>
          <w:sz w:val="32"/>
          <w:szCs w:val="32"/>
          <w:lang w:eastAsia="zh-CN"/>
        </w:rPr>
        <w:t>的</w:t>
      </w:r>
      <w:r>
        <w:rPr>
          <w:rFonts w:hint="eastAsia" w:ascii="仿宋" w:hAnsi="仿宋" w:eastAsia="仿宋" w:cs="仿宋"/>
          <w:sz w:val="32"/>
          <w:szCs w:val="32"/>
        </w:rPr>
        <w:t>车辆维修费</w:t>
      </w:r>
      <w:r>
        <w:rPr>
          <w:rFonts w:hint="eastAsia" w:ascii="仿宋" w:hAnsi="仿宋" w:eastAsia="仿宋" w:cs="仿宋"/>
          <w:sz w:val="32"/>
          <w:szCs w:val="32"/>
          <w:lang w:eastAsia="zh-CN"/>
        </w:rPr>
        <w:t>，导致</w:t>
      </w:r>
      <w:r>
        <w:rPr>
          <w:rFonts w:hint="eastAsia" w:ascii="仿宋" w:hAnsi="仿宋" w:eastAsia="仿宋" w:cs="仿宋"/>
          <w:sz w:val="32"/>
          <w:szCs w:val="32"/>
        </w:rPr>
        <w:t>公务用车购置及运行维护费</w:t>
      </w:r>
      <w:r>
        <w:rPr>
          <w:rFonts w:hint="eastAsia" w:ascii="仿宋" w:hAnsi="仿宋" w:eastAsia="仿宋" w:cs="仿宋"/>
          <w:sz w:val="32"/>
          <w:szCs w:val="32"/>
          <w:lang w:eastAsia="zh-CN"/>
        </w:rPr>
        <w:t>增加。</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2</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1.42</w:t>
      </w:r>
      <w:r>
        <w:rPr>
          <w:rFonts w:hint="eastAsia" w:ascii="仿宋_GB2312" w:eastAsia="仿宋_GB2312"/>
          <w:sz w:val="32"/>
          <w:szCs w:val="32"/>
        </w:rPr>
        <w:t>万元。主要用于行业</w:t>
      </w:r>
      <w:r>
        <w:rPr>
          <w:rFonts w:ascii="仿宋_GB2312" w:eastAsia="仿宋_GB2312"/>
          <w:sz w:val="32"/>
          <w:szCs w:val="32"/>
        </w:rPr>
        <w:t>资格考试、卫生统计</w:t>
      </w:r>
      <w:r>
        <w:rPr>
          <w:rFonts w:hint="eastAsia" w:ascii="仿宋_GB2312" w:eastAsia="仿宋_GB2312" w:cs="仿宋_GB2312"/>
          <w:sz w:val="32"/>
          <w:szCs w:val="32"/>
        </w:rPr>
        <w:t>等工作所需的公务用车燃料费、维修费、过路过桥费、</w:t>
      </w:r>
      <w:r>
        <w:rPr>
          <w:rFonts w:hint="eastAsia" w:ascii="仿宋_GB2312" w:eastAsia="仿宋_GB2312"/>
          <w:sz w:val="32"/>
          <w:szCs w:val="32"/>
        </w:rPr>
        <w:t>保险费等支出。</w:t>
      </w:r>
    </w:p>
    <w:p>
      <w:pPr>
        <w:numPr>
          <w:ilvl w:val="0"/>
          <w:numId w:val="0"/>
        </w:numPr>
        <w:spacing w:line="600" w:lineRule="exact"/>
        <w:ind w:firstLine="642" w:firstLineChars="200"/>
      </w:pPr>
      <w:r>
        <w:rPr>
          <w:rFonts w:hint="eastAsia" w:ascii="仿宋_GB2312" w:eastAsia="仿宋_GB2312" w:cs="仿宋_GB2312"/>
          <w:b/>
          <w:bCs/>
          <w:sz w:val="32"/>
          <w:szCs w:val="32"/>
          <w:lang w:val="en-US" w:eastAsia="zh-CN"/>
        </w:rPr>
        <w:t>3.</w:t>
      </w:r>
      <w:r>
        <w:rPr>
          <w:rFonts w:hint="eastAsia" w:ascii="仿宋_GB2312" w:eastAsia="仿宋_GB2312" w:cs="仿宋_GB2312"/>
          <w:b/>
          <w:bCs/>
          <w:sz w:val="32"/>
          <w:szCs w:val="32"/>
        </w:rPr>
        <w:t>公务接待费支出</w:t>
      </w:r>
      <w:r>
        <w:rPr>
          <w:rFonts w:hint="eastAsia" w:ascii="仿宋_GB2312" w:eastAsia="仿宋_GB2312" w:cs="仿宋_GB2312"/>
          <w:sz w:val="32"/>
          <w:szCs w:val="32"/>
        </w:rPr>
        <w:t>0万元，</w:t>
      </w:r>
      <w:r>
        <w:rPr>
          <w:rStyle w:val="18"/>
          <w:rFonts w:hint="eastAsia" w:ascii="仿宋" w:hAnsi="仿宋" w:eastAsia="仿宋" w:cs="仿宋"/>
          <w:b w:val="0"/>
          <w:bCs w:val="0"/>
          <w:sz w:val="32"/>
          <w:szCs w:val="32"/>
        </w:rPr>
        <w:t>完成预算100</w:t>
      </w:r>
      <w:r>
        <w:rPr>
          <w:rStyle w:val="18"/>
          <w:rFonts w:ascii="仿宋" w:hAnsi="仿宋" w:eastAsia="仿宋" w:cs="仿宋"/>
          <w:b w:val="0"/>
          <w:bCs w:val="0"/>
          <w:sz w:val="32"/>
          <w:szCs w:val="32"/>
        </w:rPr>
        <w:t>%</w:t>
      </w:r>
      <w:r>
        <w:rPr>
          <w:rStyle w:val="18"/>
          <w:rFonts w:hint="eastAsia" w:ascii="仿宋" w:hAnsi="仿宋" w:eastAsia="仿宋" w:cs="仿宋"/>
          <w:b w:val="0"/>
          <w:bCs w:val="0"/>
          <w:sz w:val="32"/>
          <w:szCs w:val="32"/>
        </w:rPr>
        <w:t>。</w:t>
      </w:r>
      <w:r>
        <w:rPr>
          <w:rFonts w:hint="eastAsia" w:ascii="仿宋_GB2312" w:eastAsia="仿宋_GB2312" w:cs="仿宋_GB2312"/>
          <w:sz w:val="32"/>
          <w:szCs w:val="32"/>
        </w:rPr>
        <w:t>公务接待费支出决算与</w:t>
      </w:r>
      <w:r>
        <w:rPr>
          <w:rFonts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年持平。</w:t>
      </w:r>
    </w:p>
    <w:p>
      <w:pPr>
        <w:spacing w:line="600" w:lineRule="exact"/>
        <w:ind w:firstLine="640"/>
        <w:outlineLvl w:val="9"/>
        <w:rPr>
          <w:rFonts w:ascii="黑体" w:eastAsia="黑体"/>
          <w:sz w:val="32"/>
          <w:szCs w:val="32"/>
        </w:rPr>
      </w:pPr>
      <w:bookmarkStart w:id="64" w:name="_Toc15377218"/>
      <w:bookmarkStart w:id="65" w:name="_Toc15396610"/>
    </w:p>
    <w:p>
      <w:pPr>
        <w:pStyle w:val="8"/>
      </w:pPr>
    </w:p>
    <w:p>
      <w:pPr>
        <w:pStyle w:val="6"/>
        <w:bidi w:val="0"/>
        <w:ind w:firstLine="640" w:firstLineChars="200"/>
        <w:rPr>
          <w:rFonts w:hint="eastAsia" w:ascii="黑体" w:hAnsi="黑体" w:eastAsia="黑体" w:cs="黑体"/>
          <w:b w:val="0"/>
          <w:bCs w:val="0"/>
        </w:rPr>
      </w:pPr>
      <w:bookmarkStart w:id="66" w:name="_Toc490373752"/>
      <w:bookmarkStart w:id="67" w:name="_Toc142152510"/>
      <w:r>
        <w:rPr>
          <w:rFonts w:hint="eastAsia" w:ascii="黑体" w:hAnsi="黑体" w:eastAsia="黑体" w:cs="黑体"/>
          <w:b w:val="0"/>
          <w:bCs w:val="0"/>
        </w:rPr>
        <w:t>八、政府性基金预算支出决算情况说明</w:t>
      </w:r>
      <w:bookmarkEnd w:id="64"/>
      <w:bookmarkEnd w:id="65"/>
      <w:bookmarkEnd w:id="66"/>
      <w:bookmarkEnd w:id="67"/>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pStyle w:val="6"/>
        <w:numPr>
          <w:ilvl w:val="0"/>
          <w:numId w:val="0"/>
        </w:numPr>
        <w:bidi w:val="0"/>
        <w:ind w:firstLine="640" w:firstLineChars="200"/>
        <w:rPr>
          <w:rFonts w:hint="eastAsia" w:ascii="黑体" w:hAnsi="黑体" w:eastAsia="黑体" w:cs="黑体"/>
          <w:b w:val="0"/>
          <w:bCs w:val="0"/>
        </w:rPr>
      </w:pPr>
      <w:bookmarkStart w:id="68" w:name="_Toc678322306"/>
      <w:bookmarkStart w:id="69" w:name="_Toc1324518003"/>
      <w:bookmarkStart w:id="70" w:name="_Toc15396611"/>
      <w:bookmarkStart w:id="71" w:name="_Toc15377219"/>
      <w:r>
        <w:rPr>
          <w:rFonts w:hint="eastAsia" w:ascii="黑体" w:hAnsi="黑体" w:eastAsia="黑体" w:cs="黑体"/>
          <w:b w:val="0"/>
          <w:bCs w:val="0"/>
          <w:lang w:val="en-US" w:eastAsia="zh-CN"/>
        </w:rPr>
        <w:t>九、</w:t>
      </w:r>
      <w:r>
        <w:rPr>
          <w:rFonts w:hint="eastAsia" w:ascii="黑体" w:hAnsi="黑体" w:eastAsia="黑体" w:cs="黑体"/>
          <w:b w:val="0"/>
          <w:bCs w:val="0"/>
        </w:rPr>
        <w:t>国有资本经营预算支出决算情况说明</w:t>
      </w:r>
      <w:bookmarkEnd w:id="68"/>
      <w:bookmarkEnd w:id="69"/>
      <w:bookmarkEnd w:id="70"/>
      <w:bookmarkEnd w:id="71"/>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pStyle w:val="6"/>
        <w:numPr>
          <w:ilvl w:val="0"/>
          <w:numId w:val="0"/>
        </w:numPr>
        <w:bidi w:val="0"/>
        <w:ind w:firstLine="640" w:firstLineChars="200"/>
        <w:rPr>
          <w:rFonts w:hint="eastAsia" w:ascii="黑体" w:hAnsi="黑体" w:eastAsia="黑体" w:cs="黑体"/>
          <w:b w:val="0"/>
          <w:bCs w:val="0"/>
          <w:lang w:val="en-US" w:eastAsia="zh-CN"/>
        </w:rPr>
      </w:pPr>
      <w:bookmarkStart w:id="72" w:name="_Toc321987816"/>
      <w:bookmarkStart w:id="73" w:name="_Toc15396612"/>
      <w:bookmarkStart w:id="74" w:name="_Toc15377221"/>
      <w:bookmarkStart w:id="75" w:name="_Toc1055939836"/>
      <w:r>
        <w:rPr>
          <w:rFonts w:hint="eastAsia" w:ascii="黑体" w:hAnsi="黑体" w:eastAsia="黑体" w:cs="黑体"/>
          <w:b w:val="0"/>
          <w:bCs w:val="0"/>
          <w:lang w:val="en-US" w:eastAsia="zh-CN"/>
        </w:rPr>
        <w:t>十、其他重要事项的情况说明</w:t>
      </w:r>
      <w:bookmarkEnd w:id="72"/>
      <w:bookmarkEnd w:id="73"/>
      <w:bookmarkEnd w:id="74"/>
      <w:bookmarkEnd w:id="75"/>
    </w:p>
    <w:p>
      <w:pPr>
        <w:spacing w:line="600" w:lineRule="exact"/>
        <w:ind w:firstLine="642" w:firstLineChars="200"/>
        <w:outlineLvl w:val="2"/>
        <w:rPr>
          <w:rFonts w:ascii="仿宋" w:hAnsi="仿宋" w:eastAsia="仿宋"/>
          <w:sz w:val="32"/>
          <w:szCs w:val="32"/>
        </w:rPr>
      </w:pPr>
      <w:r>
        <w:rPr>
          <w:rFonts w:hint="eastAsia" w:ascii="仿宋" w:hAnsi="仿宋" w:eastAsia="仿宋" w:cs="仿宋"/>
          <w:b/>
          <w:bCs/>
          <w:sz w:val="32"/>
          <w:szCs w:val="32"/>
        </w:rPr>
        <w:t>（一）机关运行经费支出情况</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市健康促进和卫生大数据中心为事业单位，按规定未使用机关运行的相关科目。</w:t>
      </w:r>
    </w:p>
    <w:p>
      <w:pPr>
        <w:autoSpaceDE w:val="0"/>
        <w:autoSpaceDN w:val="0"/>
        <w:adjustRightInd w:val="0"/>
        <w:spacing w:line="60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（二）政府采购支出情况</w:t>
      </w:r>
    </w:p>
    <w:p>
      <w:pPr>
        <w:spacing w:line="600" w:lineRule="exact"/>
        <w:ind w:firstLine="640" w:firstLineChars="200"/>
        <w:rPr>
          <w:rFonts w:hint="eastAsia" w:ascii="仿宋_GB2312" w:hAnsi="Times New Roman" w:eastAsia="仿宋_GB2312" w:cs="仿宋_GB2312"/>
          <w:sz w:val="32"/>
          <w:szCs w:val="32"/>
        </w:rPr>
      </w:pPr>
      <w:r>
        <w:rPr>
          <w:rFonts w:ascii="仿宋_GB2312" w:hAnsi="Times New Roman" w:eastAsia="仿宋_GB2312" w:cs="仿宋_GB2312"/>
          <w:sz w:val="32"/>
          <w:szCs w:val="32"/>
        </w:rPr>
        <w:t>202</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年，市</w:t>
      </w:r>
      <w:r>
        <w:rPr>
          <w:rFonts w:ascii="仿宋_GB2312" w:hAnsi="Times New Roman" w:eastAsia="仿宋_GB2312" w:cs="仿宋_GB2312"/>
          <w:sz w:val="32"/>
          <w:szCs w:val="32"/>
        </w:rPr>
        <w:t>健康促进和卫生大数据中心</w:t>
      </w:r>
      <w:r>
        <w:rPr>
          <w:rFonts w:hint="eastAsia" w:ascii="仿宋_GB2312" w:hAnsi="Times New Roman" w:eastAsia="仿宋_GB2312" w:cs="仿宋_GB2312"/>
          <w:sz w:val="32"/>
          <w:szCs w:val="32"/>
        </w:rPr>
        <w:t>无政府采购项目，政府采购支出总额0万元。</w:t>
      </w:r>
    </w:p>
    <w:p>
      <w:pPr>
        <w:autoSpaceDE w:val="0"/>
        <w:autoSpaceDN w:val="0"/>
        <w:adjustRightInd w:val="0"/>
        <w:spacing w:line="600" w:lineRule="exact"/>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三）国有资产占有使用情况</w:t>
      </w:r>
    </w:p>
    <w:p>
      <w:pPr>
        <w:autoSpaceDE w:val="0"/>
        <w:autoSpaceDN w:val="0"/>
        <w:adjustRightInd w:val="0"/>
        <w:spacing w:line="600" w:lineRule="exact"/>
        <w:ind w:firstLine="640" w:firstLineChars="2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截至202</w:t>
      </w:r>
      <w:r>
        <w:rPr>
          <w:rFonts w:hint="eastAsia" w:ascii="仿宋_GB2312" w:hAnsi="Times New Roman" w:eastAsia="仿宋_GB2312" w:cs="仿宋_GB2312"/>
          <w:sz w:val="32"/>
          <w:szCs w:val="32"/>
          <w:lang w:val="en-US" w:eastAsia="zh-CN"/>
        </w:rPr>
        <w:t>3</w:t>
      </w:r>
      <w:r>
        <w:rPr>
          <w:rFonts w:hint="eastAsia" w:ascii="仿宋_GB2312" w:hAnsi="Times New Roman" w:eastAsia="仿宋_GB2312" w:cs="仿宋_GB2312"/>
          <w:sz w:val="32"/>
          <w:szCs w:val="32"/>
        </w:rPr>
        <w:t>年12月31日，市健康促进和卫生大数据中心共有车辆2辆，其中</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主要领导干部用车0辆、机要通信用车0辆、应急保障用车0辆、其他用车2辆，其他用车主要是用于单位开展日常工作使用。单价100万元以上专用设备0</w:t>
      </w:r>
      <w:r>
        <w:rPr>
          <w:rFonts w:hint="eastAsia" w:ascii="仿宋_GB2312" w:hAnsi="Times New Roman" w:eastAsia="仿宋_GB2312" w:cs="仿宋_GB2312"/>
          <w:sz w:val="32"/>
          <w:szCs w:val="32"/>
          <w:lang w:eastAsia="zh-CN"/>
        </w:rPr>
        <w:t>台</w:t>
      </w:r>
      <w:r>
        <w:rPr>
          <w:rFonts w:hint="eastAsia" w:ascii="仿宋_GB2312" w:hAnsi="Times New Roman" w:eastAsia="仿宋_GB2312" w:cs="仿宋_GB2312"/>
          <w:sz w:val="32"/>
          <w:szCs w:val="32"/>
        </w:rPr>
        <w:t>（套）。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仿宋_GB2312" w:eastAsia="仿宋_GB2312"/>
          <w:sz w:val="32"/>
          <w:szCs w:val="32"/>
        </w:rPr>
      </w:pPr>
      <w:r>
        <w:rPr>
          <w:rFonts w:hint="eastAsia" w:ascii="仿宋_GB2312" w:eastAsia="仿宋_GB2312"/>
          <w:sz w:val="32"/>
          <w:szCs w:val="32"/>
        </w:rPr>
        <w:t>根据预算绩效管理要求，本单位在2023年度预算编制阶段，组织对四川省基层医疗信息系统维护等</w:t>
      </w:r>
      <w:r>
        <w:rPr>
          <w:rFonts w:hint="eastAsia" w:ascii="仿宋_GB2312" w:eastAsia="仿宋_GB2312"/>
          <w:sz w:val="32"/>
          <w:szCs w:val="32"/>
          <w:lang w:val="en-US" w:eastAsia="zh-CN"/>
        </w:rPr>
        <w:t>2</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3</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3</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3</w:t>
      </w:r>
      <w:r>
        <w:rPr>
          <w:rFonts w:hint="eastAsia" w:ascii="仿宋_GB2312" w:eastAsia="仿宋_GB2312"/>
          <w:sz w:val="32"/>
          <w:szCs w:val="32"/>
        </w:rPr>
        <w:t>个项目开展绩效自评，绩效自评表详见第四部分附件。</w:t>
      </w:r>
    </w:p>
    <w:p>
      <w:pPr>
        <w:pStyle w:val="8"/>
        <w:keepNext w:val="0"/>
        <w:keepLines w:val="0"/>
        <w:pageBreakBefore w:val="0"/>
        <w:kinsoku/>
        <w:wordWrap/>
        <w:overflowPunct/>
        <w:topLinePunct w:val="0"/>
        <w:autoSpaceDE/>
        <w:autoSpaceDN/>
        <w:bidi w:val="0"/>
        <w:adjustRightInd/>
        <w:snapToGrid/>
        <w:ind w:firstLine="600" w:firstLineChars="200"/>
        <w:jc w:val="left"/>
        <w:textAlignment w:val="auto"/>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br w:type="page"/>
      </w:r>
    </w:p>
    <w:p>
      <w:pPr>
        <w:pStyle w:val="5"/>
        <w:bidi w:val="0"/>
        <w:jc w:val="center"/>
        <w:rPr>
          <w:rStyle w:val="29"/>
          <w:rFonts w:ascii="黑体" w:hAnsi="黑体" w:eastAsia="黑体"/>
          <w:b w:val="0"/>
          <w:bCs/>
        </w:rPr>
      </w:pPr>
      <w:bookmarkStart w:id="76" w:name="_Toc1074821776"/>
      <w:bookmarkStart w:id="77" w:name="_Toc15396613"/>
      <w:bookmarkStart w:id="78" w:name="_Toc1830145182"/>
      <w:bookmarkStart w:id="79" w:name="_Toc15377225"/>
      <w:r>
        <w:rPr>
          <w:rFonts w:hint="eastAsia"/>
          <w:lang w:eastAsia="zh-CN"/>
        </w:rPr>
        <w:t>第三部分</w:t>
      </w:r>
      <w:r>
        <w:rPr>
          <w:rFonts w:hint="eastAsia"/>
          <w:lang w:val="en-US" w:eastAsia="zh-CN"/>
        </w:rPr>
        <w:t xml:space="preserve"> </w:t>
      </w:r>
      <w:r>
        <w:rPr>
          <w:rFonts w:hint="eastAsia"/>
        </w:rPr>
        <w:t>名词解释</w:t>
      </w:r>
      <w:bookmarkEnd w:id="76"/>
      <w:bookmarkEnd w:id="77"/>
      <w:bookmarkEnd w:id="78"/>
      <w:bookmarkEnd w:id="79"/>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7"/>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7"/>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9.社会保障和就业（类）</w:t>
      </w:r>
      <w:r>
        <w:rPr>
          <w:rFonts w:ascii="仿宋_GB2312" w:eastAsia="仿宋_GB2312" w:cs="仿宋_GB2312"/>
          <w:color w:val="auto"/>
          <w:sz w:val="32"/>
          <w:szCs w:val="32"/>
        </w:rPr>
        <w:t>行政事业单位养老支出</w:t>
      </w:r>
      <w:r>
        <w:rPr>
          <w:rFonts w:hint="eastAsia" w:ascii="仿宋_GB2312" w:eastAsia="仿宋_GB2312" w:cs="仿宋_GB2312"/>
          <w:color w:val="auto"/>
          <w:sz w:val="32"/>
          <w:szCs w:val="32"/>
        </w:rPr>
        <w:t>（款）</w:t>
      </w:r>
      <w:r>
        <w:rPr>
          <w:rFonts w:ascii="仿宋_GB2312" w:eastAsia="仿宋_GB2312" w:cs="仿宋_GB2312"/>
          <w:color w:val="auto"/>
          <w:sz w:val="32"/>
          <w:szCs w:val="32"/>
        </w:rPr>
        <w:t>事业单位离退休</w:t>
      </w:r>
      <w:r>
        <w:rPr>
          <w:rFonts w:hint="eastAsia" w:ascii="仿宋_GB2312" w:eastAsia="仿宋_GB2312" w:cs="仿宋_GB2312"/>
          <w:color w:val="auto"/>
          <w:sz w:val="32"/>
          <w:szCs w:val="32"/>
        </w:rPr>
        <w:t>（项）</w:t>
      </w:r>
      <w:r>
        <w:rPr>
          <w:rFonts w:ascii="仿宋_GB2312" w:eastAsia="仿宋_GB2312" w:cs="仿宋_GB2312"/>
          <w:color w:val="auto"/>
          <w:sz w:val="32"/>
          <w:szCs w:val="32"/>
        </w:rPr>
        <w:t>:</w:t>
      </w:r>
      <w:r>
        <w:rPr>
          <w:rFonts w:hint="eastAsia" w:ascii="仿宋_GB2312" w:eastAsia="仿宋_GB2312" w:cs="仿宋_GB2312"/>
          <w:color w:val="auto"/>
          <w:sz w:val="32"/>
          <w:szCs w:val="32"/>
        </w:rPr>
        <w:t xml:space="preserve"> 指事业单位开支的离退休经费。</w:t>
      </w:r>
    </w:p>
    <w:p>
      <w:pPr>
        <w:pStyle w:val="27"/>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10.社会保障和就业（类）</w:t>
      </w:r>
      <w:r>
        <w:rPr>
          <w:rFonts w:ascii="仿宋_GB2312" w:eastAsia="仿宋_GB2312" w:cs="仿宋_GB2312"/>
          <w:color w:val="auto"/>
          <w:sz w:val="32"/>
          <w:szCs w:val="32"/>
        </w:rPr>
        <w:t>行政事业单位养老支出</w:t>
      </w:r>
      <w:r>
        <w:rPr>
          <w:rFonts w:hint="eastAsia" w:ascii="仿宋_GB2312" w:eastAsia="仿宋_GB2312" w:cs="仿宋_GB2312"/>
          <w:color w:val="auto"/>
          <w:sz w:val="32"/>
          <w:szCs w:val="32"/>
        </w:rPr>
        <w:t>（款）机关事业单位基本养老保险缴费支出（项）</w:t>
      </w:r>
      <w:r>
        <w:rPr>
          <w:rFonts w:ascii="仿宋_GB2312" w:eastAsia="仿宋_GB2312" w:cs="仿宋_GB2312"/>
          <w:color w:val="auto"/>
          <w:sz w:val="32"/>
          <w:szCs w:val="32"/>
        </w:rPr>
        <w:t>:</w:t>
      </w:r>
      <w:r>
        <w:rPr>
          <w:rFonts w:hint="eastAsia" w:ascii="仿宋_GB2312" w:eastAsia="仿宋_GB2312" w:cs="仿宋_GB2312"/>
          <w:color w:val="auto"/>
          <w:sz w:val="32"/>
          <w:szCs w:val="32"/>
        </w:rPr>
        <w:t>指机关事业单位实施养老保险制度由单位缴纳的基本养老保险支出。</w:t>
      </w:r>
    </w:p>
    <w:p>
      <w:pPr>
        <w:pStyle w:val="27"/>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11.卫生健康（类）</w:t>
      </w:r>
      <w:r>
        <w:rPr>
          <w:rFonts w:ascii="仿宋_GB2312" w:eastAsia="仿宋_GB2312" w:cs="仿宋_GB2312"/>
          <w:color w:val="auto"/>
          <w:sz w:val="32"/>
          <w:szCs w:val="32"/>
        </w:rPr>
        <w:t>公立医院</w:t>
      </w:r>
      <w:r>
        <w:rPr>
          <w:rFonts w:hint="eastAsia" w:ascii="仿宋_GB2312" w:eastAsia="仿宋_GB2312" w:cs="仿宋_GB2312"/>
          <w:color w:val="auto"/>
          <w:sz w:val="32"/>
          <w:szCs w:val="32"/>
        </w:rPr>
        <w:t>（款）</w:t>
      </w:r>
      <w:r>
        <w:rPr>
          <w:rFonts w:ascii="仿宋_GB2312" w:eastAsia="仿宋_GB2312" w:cs="仿宋_GB2312"/>
          <w:color w:val="auto"/>
          <w:sz w:val="32"/>
          <w:szCs w:val="32"/>
        </w:rPr>
        <w:t>其他公立医院支出</w:t>
      </w:r>
      <w:r>
        <w:rPr>
          <w:rFonts w:hint="eastAsia" w:ascii="仿宋_GB2312" w:eastAsia="仿宋_GB2312" w:cs="仿宋_GB2312"/>
          <w:color w:val="auto"/>
          <w:sz w:val="32"/>
          <w:szCs w:val="32"/>
        </w:rPr>
        <w:t>（项）</w:t>
      </w:r>
      <w:r>
        <w:rPr>
          <w:rFonts w:ascii="仿宋_GB2312" w:eastAsia="仿宋_GB2312" w:cs="仿宋_GB2312"/>
          <w:color w:val="auto"/>
          <w:sz w:val="32"/>
          <w:szCs w:val="32"/>
        </w:rPr>
        <w:t>:</w:t>
      </w:r>
      <w:r>
        <w:rPr>
          <w:rFonts w:hint="eastAsia" w:ascii="仿宋_GB2312" w:eastAsia="仿宋_GB2312" w:cs="仿宋_GB2312"/>
          <w:color w:val="auto"/>
          <w:sz w:val="32"/>
          <w:szCs w:val="32"/>
        </w:rPr>
        <w:t>指其他用于公立医院方面的支出。</w:t>
      </w:r>
    </w:p>
    <w:p>
      <w:pPr>
        <w:pStyle w:val="27"/>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12.卫生健康（类）公共卫生（款）基本公共卫生服务（项）</w:t>
      </w:r>
      <w:r>
        <w:rPr>
          <w:rFonts w:ascii="仿宋_GB2312" w:eastAsia="仿宋_GB2312" w:cs="仿宋_GB2312"/>
          <w:color w:val="auto"/>
          <w:sz w:val="32"/>
          <w:szCs w:val="32"/>
        </w:rPr>
        <w:t>:</w:t>
      </w:r>
      <w:r>
        <w:rPr>
          <w:rFonts w:hint="eastAsia" w:ascii="仿宋_GB2312" w:eastAsia="仿宋_GB2312" w:cs="仿宋_GB2312"/>
          <w:color w:val="auto"/>
          <w:sz w:val="32"/>
          <w:szCs w:val="32"/>
        </w:rPr>
        <w:t>指基本公共卫生服务支出。</w:t>
      </w:r>
    </w:p>
    <w:p>
      <w:pPr>
        <w:pStyle w:val="27"/>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13.卫生健康（类）其他卫生健康支出（款）其他卫生健康支出（项）</w:t>
      </w:r>
      <w:r>
        <w:rPr>
          <w:rFonts w:ascii="仿宋_GB2312" w:eastAsia="仿宋_GB2312" w:cs="仿宋_GB2312"/>
          <w:color w:val="auto"/>
          <w:sz w:val="32"/>
          <w:szCs w:val="32"/>
        </w:rPr>
        <w:t>:</w:t>
      </w:r>
      <w:r>
        <w:rPr>
          <w:rFonts w:hint="eastAsia" w:ascii="仿宋_GB2312" w:eastAsia="仿宋_GB2312" w:cs="仿宋_GB2312"/>
          <w:color w:val="auto"/>
          <w:sz w:val="32"/>
          <w:szCs w:val="32"/>
        </w:rPr>
        <w:t>其他用于卫生健康方面的支出</w:t>
      </w:r>
    </w:p>
    <w:p>
      <w:pPr>
        <w:pStyle w:val="27"/>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14.住房保障支出（类）住房改革支出（款）住房公积金（项）：指行政事业单位按人力资源和社会保障部、财政部规定的基本工资和津贴补贴以及规定比例为职工缴纳的住房公积金。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cs="仿宋_GB2312"/>
          <w:sz w:val="32"/>
          <w:szCs w:val="32"/>
        </w:rPr>
        <w:t>15</w:t>
      </w:r>
      <w:r>
        <w:rPr>
          <w:rFonts w:ascii="仿宋_GB2312" w:eastAsia="仿宋_GB2312" w:cs="仿宋_GB2312"/>
          <w:sz w:val="32"/>
          <w:szCs w:val="32"/>
        </w:rPr>
        <w:t>.</w:t>
      </w:r>
      <w:r>
        <w:rPr>
          <w:rFonts w:hint="eastAsia" w:ascii="仿宋_GB2312" w:eastAsia="仿宋_GB2312" w:cs="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cs="仿宋_GB2312"/>
          <w:sz w:val="32"/>
          <w:szCs w:val="32"/>
        </w:rPr>
        <w:t>16</w:t>
      </w:r>
      <w:r>
        <w:rPr>
          <w:rFonts w:ascii="仿宋_GB2312" w:eastAsia="仿宋_GB2312" w:cs="仿宋_GB2312"/>
          <w:sz w:val="32"/>
          <w:szCs w:val="32"/>
        </w:rPr>
        <w:t>.</w:t>
      </w:r>
      <w:r>
        <w:rPr>
          <w:rFonts w:hint="eastAsia" w:ascii="仿宋_GB2312" w:eastAsia="仿宋_GB2312" w:cs="仿宋_GB2312"/>
          <w:sz w:val="32"/>
          <w:szCs w:val="32"/>
        </w:rPr>
        <w:t>项目支出：指在基本支出之外为完成特定行政任务和事业发展目标所发生的支出。</w:t>
      </w:r>
    </w:p>
    <w:p>
      <w:pPr>
        <w:pStyle w:val="27"/>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17</w:t>
      </w:r>
      <w:r>
        <w:rPr>
          <w:rFonts w:ascii="仿宋_GB2312" w:eastAsia="仿宋_GB2312" w:cs="仿宋_GB2312"/>
          <w:color w:val="auto"/>
          <w:sz w:val="32"/>
          <w:szCs w:val="32"/>
        </w:rPr>
        <w:t>.</w:t>
      </w:r>
      <w:r>
        <w:rPr>
          <w:rFonts w:hint="eastAsia" w:ascii="仿宋_GB2312" w:eastAsia="仿宋_GB2312" w:cs="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int="eastAsia" w:ascii="仿宋_GB2312" w:eastAsia="仿宋_GB2312" w:cs="Times New Roman"/>
          <w:color w:val="auto"/>
          <w:sz w:val="32"/>
          <w:szCs w:val="32"/>
        </w:rPr>
      </w:pPr>
    </w:p>
    <w:p>
      <w:pPr>
        <w:pStyle w:val="27"/>
        <w:spacing w:line="560" w:lineRule="exact"/>
        <w:ind w:firstLine="640" w:firstLineChars="200"/>
        <w:rPr>
          <w:rFonts w:hint="eastAsia" w:ascii="仿宋_GB2312" w:eastAsia="仿宋_GB2312" w:cs="Times New Roman"/>
          <w:color w:val="auto"/>
          <w:sz w:val="32"/>
          <w:szCs w:val="32"/>
        </w:rPr>
      </w:pPr>
    </w:p>
    <w:p>
      <w:pPr>
        <w:pStyle w:val="5"/>
        <w:bidi w:val="0"/>
        <w:jc w:val="center"/>
      </w:pPr>
      <w:bookmarkStart w:id="80" w:name="_Toc15396614"/>
      <w:bookmarkStart w:id="81" w:name="_Toc242641864"/>
      <w:bookmarkStart w:id="82" w:name="_Toc1332342138"/>
      <w:bookmarkStart w:id="83" w:name="_Toc15377226"/>
      <w:r>
        <w:rPr>
          <w:rFonts w:hint="eastAsia"/>
        </w:rPr>
        <w:t>第四部分 附件</w:t>
      </w:r>
      <w:bookmarkEnd w:id="80"/>
      <w:bookmarkEnd w:id="81"/>
      <w:bookmarkEnd w:id="82"/>
    </w:p>
    <w:p>
      <w:pPr>
        <w:spacing w:line="572" w:lineRule="exact"/>
        <w:jc w:val="left"/>
        <w:outlineLvl w:val="9"/>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84" w:name="_Toc1187887814"/>
      <w:bookmarkStart w:id="85" w:name="_Toc959723477"/>
      <w:bookmarkStart w:id="86" w:name="_Toc15396618"/>
      <w:r>
        <w:rPr>
          <w:rFonts w:hint="eastAsia"/>
          <w:sz w:val="32"/>
          <w:szCs w:val="32"/>
        </w:rPr>
        <w:t>部门预算项目支出绩效自评表（2023年度）</w:t>
      </w:r>
      <w:bookmarkEnd w:id="84"/>
      <w:bookmarkEnd w:id="85"/>
    </w:p>
    <w:p>
      <w:pPr>
        <w:pStyle w:val="3"/>
        <w:spacing w:line="560" w:lineRule="exact"/>
        <w:ind w:left="0" w:leftChars="0" w:firstLine="640"/>
        <w:rPr>
          <w:sz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pStyle w:val="8"/>
        <w:spacing w:before="93"/>
        <w:rPr>
          <w:rFonts w:hAnsi="Calibri" w:cs="仿宋"/>
          <w:sz w:val="32"/>
          <w:szCs w:val="32"/>
        </w:rPr>
      </w:pPr>
    </w:p>
    <w:p>
      <w:pPr>
        <w:spacing w:line="600" w:lineRule="exact"/>
        <w:jc w:val="center"/>
        <w:outlineLvl w:val="0"/>
        <w:rPr>
          <w:rStyle w:val="29"/>
          <w:rFonts w:hint="eastAsia" w:ascii="黑体" w:hAnsi="黑体" w:eastAsia="黑体"/>
          <w:b w:val="0"/>
        </w:rPr>
      </w:pPr>
      <w:bookmarkStart w:id="87" w:name="_Toc870435286"/>
      <w:bookmarkStart w:id="88" w:name="_Toc400128925"/>
      <w:r>
        <w:rPr>
          <w:rFonts w:hint="eastAsia" w:ascii="黑体" w:hAnsi="黑体" w:eastAsia="黑体"/>
          <w:sz w:val="44"/>
          <w:szCs w:val="44"/>
        </w:rPr>
        <w:t>第</w:t>
      </w:r>
      <w:r>
        <w:rPr>
          <w:rStyle w:val="29"/>
          <w:rFonts w:hint="eastAsia" w:ascii="黑体" w:hAnsi="黑体" w:eastAsia="黑体"/>
          <w:b w:val="0"/>
        </w:rPr>
        <w:t>五部分 附表</w:t>
      </w:r>
      <w:bookmarkEnd w:id="83"/>
      <w:bookmarkEnd w:id="86"/>
      <w:bookmarkEnd w:id="87"/>
      <w:bookmarkEnd w:id="88"/>
      <w:bookmarkStart w:id="89" w:name="_Toc15396619"/>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rPr>
      </w:pPr>
      <w:bookmarkStart w:id="90" w:name="_Toc15396620"/>
      <w:bookmarkStart w:id="91" w:name="_Toc1184456136"/>
      <w:bookmarkStart w:id="92" w:name="_Toc394077813"/>
      <w:r>
        <w:rPr>
          <w:rFonts w:hint="eastAsia" w:ascii="仿宋" w:hAnsi="仿宋" w:eastAsia="仿宋"/>
          <w:b w:val="0"/>
        </w:rPr>
        <w:t>二、收</w:t>
      </w:r>
      <w:r>
        <w:rPr>
          <w:rStyle w:val="30"/>
          <w:rFonts w:hint="eastAsia" w:ascii="仿宋" w:hAnsi="仿宋" w:eastAsia="仿宋"/>
          <w:b w:val="0"/>
          <w:bCs w:val="0"/>
        </w:rPr>
        <w:t>入决算表</w:t>
      </w:r>
      <w:bookmarkEnd w:id="90"/>
      <w:bookmarkEnd w:id="91"/>
      <w:bookmarkEnd w:id="92"/>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rPr>
      </w:pPr>
      <w:bookmarkStart w:id="93" w:name="_Toc848060025"/>
      <w:bookmarkStart w:id="94" w:name="_Toc15396621"/>
      <w:bookmarkStart w:id="95" w:name="_Toc1015233355"/>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93"/>
      <w:bookmarkEnd w:id="94"/>
      <w:bookmarkEnd w:id="95"/>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b w:val="0"/>
        </w:rPr>
      </w:pPr>
      <w:bookmarkStart w:id="96" w:name="_Toc15396622"/>
      <w:bookmarkStart w:id="97" w:name="_Toc590577871"/>
      <w:bookmarkStart w:id="98" w:name="_Toc1837350966"/>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96"/>
      <w:bookmarkEnd w:id="97"/>
      <w:bookmarkEnd w:id="98"/>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Style w:val="30"/>
          <w:rFonts w:ascii="仿宋" w:hAnsi="仿宋" w:eastAsia="仿宋"/>
          <w:b w:val="0"/>
          <w:bCs w:val="0"/>
        </w:rPr>
      </w:pPr>
      <w:bookmarkStart w:id="99" w:name="_Toc1345388372"/>
      <w:bookmarkStart w:id="100" w:name="_Toc15396623"/>
      <w:bookmarkStart w:id="101" w:name="_Toc1209719698"/>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99"/>
      <w:bookmarkEnd w:id="100"/>
      <w:bookmarkEnd w:id="101"/>
      <w:bookmarkStart w:id="102" w:name="_Toc15396624"/>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rPr>
      </w:pPr>
      <w:bookmarkStart w:id="103" w:name="_Toc383884371"/>
      <w:bookmarkStart w:id="104" w:name="_Toc1518492296"/>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102"/>
      <w:bookmarkEnd w:id="103"/>
      <w:bookmarkEnd w:id="104"/>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rPr>
      </w:pPr>
      <w:bookmarkStart w:id="105" w:name="_Toc15396625"/>
      <w:bookmarkStart w:id="106" w:name="_Toc1963268482"/>
      <w:bookmarkStart w:id="107" w:name="_Toc170578945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105"/>
      <w:bookmarkEnd w:id="106"/>
      <w:bookmarkEnd w:id="107"/>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rPr>
      </w:pPr>
      <w:bookmarkStart w:id="108" w:name="_Toc488738384"/>
      <w:bookmarkStart w:id="109" w:name="_Toc15396626"/>
      <w:bookmarkStart w:id="110" w:name="_Toc333890097"/>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108"/>
      <w:bookmarkEnd w:id="109"/>
      <w:bookmarkEnd w:id="110"/>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rPr>
      </w:pPr>
      <w:bookmarkStart w:id="111" w:name="_Toc15396627"/>
      <w:bookmarkStart w:id="112" w:name="_Toc1647421083"/>
      <w:bookmarkStart w:id="113" w:name="_Toc787759865"/>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111"/>
      <w:bookmarkEnd w:id="112"/>
      <w:bookmarkEnd w:id="113"/>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lang w:eastAsia="zh-CN"/>
        </w:rPr>
      </w:pPr>
      <w:bookmarkStart w:id="114" w:name="_Toc15396628"/>
      <w:bookmarkStart w:id="115" w:name="_Toc1239837140"/>
      <w:bookmarkStart w:id="116" w:name="_Toc1803698930"/>
      <w:r>
        <w:rPr>
          <w:rStyle w:val="30"/>
          <w:rFonts w:hint="eastAsia" w:ascii="仿宋" w:hAnsi="仿宋" w:eastAsia="仿宋"/>
          <w:b w:val="0"/>
          <w:bCs w:val="0"/>
        </w:rPr>
        <w:t>十、</w:t>
      </w:r>
      <w:bookmarkEnd w:id="114"/>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15"/>
      <w:bookmarkEnd w:id="116"/>
      <w:r>
        <w:rPr>
          <w:rStyle w:val="30"/>
          <w:rFonts w:hint="eastAsia" w:ascii="仿宋" w:hAnsi="仿宋" w:eastAsia="仿宋"/>
          <w:b w:val="0"/>
          <w:bCs w:val="0"/>
          <w:lang w:eastAsia="zh-CN"/>
        </w:rPr>
        <w:t>（此表无数据）</w:t>
      </w:r>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rPr>
      </w:pPr>
      <w:bookmarkStart w:id="117" w:name="_Toc15396629"/>
      <w:bookmarkStart w:id="118" w:name="_Toc407013744"/>
      <w:bookmarkStart w:id="119" w:name="_Toc119880650"/>
      <w:r>
        <w:rPr>
          <w:rStyle w:val="30"/>
          <w:rFonts w:hint="eastAsia" w:ascii="仿宋" w:hAnsi="仿宋" w:eastAsia="仿宋"/>
          <w:b w:val="0"/>
          <w:bCs w:val="0"/>
        </w:rPr>
        <w:t>十一、</w:t>
      </w:r>
      <w:bookmarkEnd w:id="117"/>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18"/>
      <w:bookmarkEnd w:id="119"/>
      <w:r>
        <w:rPr>
          <w:rStyle w:val="30"/>
          <w:rFonts w:hint="eastAsia" w:ascii="仿宋" w:hAnsi="仿宋" w:eastAsia="仿宋"/>
          <w:b w:val="0"/>
          <w:bCs w:val="0"/>
          <w:lang w:eastAsia="zh-CN"/>
        </w:rPr>
        <w:t>（此表无数据）</w:t>
      </w:r>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rPr>
      </w:pPr>
      <w:bookmarkStart w:id="120" w:name="_Toc15396630"/>
      <w:bookmarkStart w:id="121" w:name="_Toc429287186"/>
      <w:bookmarkStart w:id="122" w:name="_Toc1964759356"/>
      <w:r>
        <w:rPr>
          <w:rStyle w:val="30"/>
          <w:rFonts w:hint="eastAsia" w:ascii="仿宋" w:hAnsi="仿宋" w:eastAsia="仿宋"/>
          <w:b w:val="0"/>
          <w:bCs w:val="0"/>
        </w:rPr>
        <w:t>十二、</w:t>
      </w:r>
      <w:bookmarkEnd w:id="120"/>
      <w:r>
        <w:rPr>
          <w:rStyle w:val="30"/>
          <w:rFonts w:hint="eastAsia" w:ascii="仿宋" w:hAnsi="仿宋" w:eastAsia="仿宋"/>
          <w:b w:val="0"/>
          <w:bCs w:val="0"/>
        </w:rPr>
        <w:t>国有资本经营预算财政拨款支出决算表</w:t>
      </w:r>
      <w:bookmarkEnd w:id="121"/>
      <w:bookmarkEnd w:id="122"/>
      <w:r>
        <w:rPr>
          <w:rStyle w:val="30"/>
          <w:rFonts w:hint="eastAsia" w:ascii="仿宋" w:hAnsi="仿宋" w:eastAsia="仿宋"/>
          <w:b w:val="0"/>
          <w:bCs w:val="0"/>
          <w:lang w:eastAsia="zh-CN"/>
        </w:rPr>
        <w:t>（此表无数据）</w:t>
      </w:r>
    </w:p>
    <w:p>
      <w:pPr>
        <w:pStyle w:val="6"/>
        <w:keepNext/>
        <w:keepLines/>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eastAsia="仿宋"/>
        </w:rPr>
      </w:pPr>
      <w:bookmarkStart w:id="123" w:name="_Toc15396631"/>
      <w:bookmarkStart w:id="124" w:name="_Toc1840306666"/>
      <w:bookmarkStart w:id="125" w:name="_Toc903403635"/>
      <w:r>
        <w:rPr>
          <w:rStyle w:val="30"/>
          <w:rFonts w:hint="eastAsia" w:ascii="仿宋" w:hAnsi="仿宋" w:eastAsia="仿宋"/>
          <w:b w:val="0"/>
          <w:bCs w:val="0"/>
        </w:rPr>
        <w:t>十三、</w:t>
      </w:r>
      <w:bookmarkEnd w:id="123"/>
      <w:r>
        <w:rPr>
          <w:rStyle w:val="30"/>
          <w:rFonts w:hint="eastAsia" w:ascii="仿宋" w:hAnsi="仿宋" w:eastAsia="仿宋"/>
          <w:b w:val="0"/>
          <w:bCs w:val="0"/>
        </w:rPr>
        <w:t>财政拨款“三公”经费支出决算表</w:t>
      </w:r>
      <w:bookmarkEnd w:id="124"/>
      <w:bookmarkEnd w:id="125"/>
    </w:p>
    <w:bookmarkEnd w:id="89"/>
    <w:p>
      <w:pPr>
        <w:pStyle w:val="6"/>
        <w:keepNext/>
        <w:keepLines/>
        <w:pageBreakBefore w:val="0"/>
        <w:widowControl w:val="0"/>
        <w:kinsoku/>
        <w:wordWrap/>
        <w:overflowPunct/>
        <w:topLinePunct w:val="0"/>
        <w:autoSpaceDE/>
        <w:autoSpaceDN/>
        <w:bidi w:val="0"/>
        <w:adjustRightInd/>
        <w:snapToGrid/>
        <w:spacing w:line="500" w:lineRule="exact"/>
        <w:ind w:firstLine="880" w:firstLineChars="200"/>
        <w:jc w:val="left"/>
        <w:textAlignment w:val="auto"/>
        <w:rPr>
          <w:rFonts w:hint="eastAsia" w:ascii="黑体" w:hAnsi="黑体" w:eastAsia="黑体" w:cs="黑体"/>
          <w:b w:val="0"/>
          <w:sz w:val="44"/>
          <w:szCs w:val="44"/>
          <w:lang w:val="en-US" w:eastAsia="zh-CN"/>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auto"/>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BFB85E"/>
    <w:rsid w:val="0FFED0E3"/>
    <w:rsid w:val="0FFFCF60"/>
    <w:rsid w:val="10BBBC6B"/>
    <w:rsid w:val="10C055FF"/>
    <w:rsid w:val="118107EC"/>
    <w:rsid w:val="11DD6519"/>
    <w:rsid w:val="16BB723D"/>
    <w:rsid w:val="18015F3F"/>
    <w:rsid w:val="19E50171"/>
    <w:rsid w:val="1B56B2BC"/>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76DCAFD"/>
    <w:rsid w:val="383D272C"/>
    <w:rsid w:val="39AE70AB"/>
    <w:rsid w:val="39FF6CE9"/>
    <w:rsid w:val="3A4DCE41"/>
    <w:rsid w:val="3BCB56FA"/>
    <w:rsid w:val="3C0C0783"/>
    <w:rsid w:val="3DCF977D"/>
    <w:rsid w:val="3EE7C2F4"/>
    <w:rsid w:val="3F371B56"/>
    <w:rsid w:val="3F5B18A0"/>
    <w:rsid w:val="3F792ED8"/>
    <w:rsid w:val="3F9F3A96"/>
    <w:rsid w:val="3FECA4B2"/>
    <w:rsid w:val="3FF58C48"/>
    <w:rsid w:val="42FF6694"/>
    <w:rsid w:val="48BF60AB"/>
    <w:rsid w:val="493C27E9"/>
    <w:rsid w:val="496F39ED"/>
    <w:rsid w:val="49FF41D3"/>
    <w:rsid w:val="4BE068DB"/>
    <w:rsid w:val="4BF6002B"/>
    <w:rsid w:val="4BFFC6BE"/>
    <w:rsid w:val="4EABD25B"/>
    <w:rsid w:val="4ECE2238"/>
    <w:rsid w:val="4FBF8BF7"/>
    <w:rsid w:val="4FF94FFC"/>
    <w:rsid w:val="51DB4B86"/>
    <w:rsid w:val="51F64DB0"/>
    <w:rsid w:val="53FBAA73"/>
    <w:rsid w:val="55333C3E"/>
    <w:rsid w:val="5535E926"/>
    <w:rsid w:val="56B9445C"/>
    <w:rsid w:val="58BD9985"/>
    <w:rsid w:val="5BF791B1"/>
    <w:rsid w:val="5CBF6A42"/>
    <w:rsid w:val="5EADA0BB"/>
    <w:rsid w:val="5F67802D"/>
    <w:rsid w:val="5F7DC4F2"/>
    <w:rsid w:val="5FB36814"/>
    <w:rsid w:val="5FBB8E56"/>
    <w:rsid w:val="5FFB5535"/>
    <w:rsid w:val="5FFDEAA9"/>
    <w:rsid w:val="637EAF24"/>
    <w:rsid w:val="64CA39A1"/>
    <w:rsid w:val="69630ADE"/>
    <w:rsid w:val="69BD5F13"/>
    <w:rsid w:val="69FB0B4B"/>
    <w:rsid w:val="6BFFE1FB"/>
    <w:rsid w:val="6C4A05C8"/>
    <w:rsid w:val="6D3B1A89"/>
    <w:rsid w:val="6D5F9403"/>
    <w:rsid w:val="6DB7D8A3"/>
    <w:rsid w:val="6EC78701"/>
    <w:rsid w:val="6F7A5481"/>
    <w:rsid w:val="6FD72646"/>
    <w:rsid w:val="6FFE07A9"/>
    <w:rsid w:val="71BF4EC2"/>
    <w:rsid w:val="72734D90"/>
    <w:rsid w:val="73E75B71"/>
    <w:rsid w:val="73EF4B1D"/>
    <w:rsid w:val="7412278C"/>
    <w:rsid w:val="75DDCDA9"/>
    <w:rsid w:val="75FF44B1"/>
    <w:rsid w:val="75FFD5B0"/>
    <w:rsid w:val="775FF7B8"/>
    <w:rsid w:val="77670518"/>
    <w:rsid w:val="777E9291"/>
    <w:rsid w:val="777FA627"/>
    <w:rsid w:val="77CDA0D1"/>
    <w:rsid w:val="77D930B7"/>
    <w:rsid w:val="77DF1B5F"/>
    <w:rsid w:val="77EF2D9D"/>
    <w:rsid w:val="793F554F"/>
    <w:rsid w:val="79E7B28D"/>
    <w:rsid w:val="7ACFF0C2"/>
    <w:rsid w:val="7AFB9108"/>
    <w:rsid w:val="7B7F0649"/>
    <w:rsid w:val="7B7FDB07"/>
    <w:rsid w:val="7BD525A9"/>
    <w:rsid w:val="7BD5340C"/>
    <w:rsid w:val="7BF365A9"/>
    <w:rsid w:val="7BFB19D2"/>
    <w:rsid w:val="7BFD1750"/>
    <w:rsid w:val="7BFDAA1B"/>
    <w:rsid w:val="7CCDFCB7"/>
    <w:rsid w:val="7CDF9A82"/>
    <w:rsid w:val="7CFFA1BD"/>
    <w:rsid w:val="7D2E3F7A"/>
    <w:rsid w:val="7DED9490"/>
    <w:rsid w:val="7DFF4872"/>
    <w:rsid w:val="7E7487E6"/>
    <w:rsid w:val="7E7C2A54"/>
    <w:rsid w:val="7EEEFD72"/>
    <w:rsid w:val="7EFC623C"/>
    <w:rsid w:val="7EFEF897"/>
    <w:rsid w:val="7F1D517C"/>
    <w:rsid w:val="7F3876FB"/>
    <w:rsid w:val="7F5DA057"/>
    <w:rsid w:val="7F5F6097"/>
    <w:rsid w:val="7F6C2237"/>
    <w:rsid w:val="7F773AA9"/>
    <w:rsid w:val="7F7F319B"/>
    <w:rsid w:val="7F7FCC6B"/>
    <w:rsid w:val="7F9F20EE"/>
    <w:rsid w:val="7FB949C1"/>
    <w:rsid w:val="7FBBE890"/>
    <w:rsid w:val="7FBC2ABD"/>
    <w:rsid w:val="7FBF5D48"/>
    <w:rsid w:val="7FCB104A"/>
    <w:rsid w:val="7FCCFC01"/>
    <w:rsid w:val="7FDD1748"/>
    <w:rsid w:val="7FE769C6"/>
    <w:rsid w:val="7FF787A1"/>
    <w:rsid w:val="7FF7958F"/>
    <w:rsid w:val="7FFD083E"/>
    <w:rsid w:val="7FFF9372"/>
    <w:rsid w:val="7FFFFA2F"/>
    <w:rsid w:val="84BF1F3B"/>
    <w:rsid w:val="8F55B106"/>
    <w:rsid w:val="95DF317D"/>
    <w:rsid w:val="97E77C70"/>
    <w:rsid w:val="97FB2658"/>
    <w:rsid w:val="9E3A10E2"/>
    <w:rsid w:val="9FB91FBD"/>
    <w:rsid w:val="9FD54998"/>
    <w:rsid w:val="A57F002A"/>
    <w:rsid w:val="A671883B"/>
    <w:rsid w:val="A7EFD17F"/>
    <w:rsid w:val="A7FFE43F"/>
    <w:rsid w:val="ABEC388A"/>
    <w:rsid w:val="ACFA2191"/>
    <w:rsid w:val="AFFF05F8"/>
    <w:rsid w:val="BDFEA317"/>
    <w:rsid w:val="BEF32CC6"/>
    <w:rsid w:val="BFDC70A4"/>
    <w:rsid w:val="BFF76764"/>
    <w:rsid w:val="BFF7D21B"/>
    <w:rsid w:val="C36FA44A"/>
    <w:rsid w:val="CD9BBABB"/>
    <w:rsid w:val="CEDECAB4"/>
    <w:rsid w:val="CF99F292"/>
    <w:rsid w:val="CFDA8427"/>
    <w:rsid w:val="D59B2531"/>
    <w:rsid w:val="D5DA60B3"/>
    <w:rsid w:val="D5FB5DCF"/>
    <w:rsid w:val="D77FB86F"/>
    <w:rsid w:val="D7C6F579"/>
    <w:rsid w:val="D7FA0A81"/>
    <w:rsid w:val="D8FECA92"/>
    <w:rsid w:val="DAFFBE66"/>
    <w:rsid w:val="DBBF522A"/>
    <w:rsid w:val="DCE98BEC"/>
    <w:rsid w:val="DD2C0BFE"/>
    <w:rsid w:val="DE3F332B"/>
    <w:rsid w:val="DE6F4A3D"/>
    <w:rsid w:val="DEEF931F"/>
    <w:rsid w:val="DF69F8B0"/>
    <w:rsid w:val="DF953CCD"/>
    <w:rsid w:val="DFC71555"/>
    <w:rsid w:val="DFF639B1"/>
    <w:rsid w:val="DFFC559C"/>
    <w:rsid w:val="DFFEDFAE"/>
    <w:rsid w:val="DFFFB5EB"/>
    <w:rsid w:val="E4B33E57"/>
    <w:rsid w:val="E5BF946A"/>
    <w:rsid w:val="EB39BD45"/>
    <w:rsid w:val="EBCF1FC2"/>
    <w:rsid w:val="EBD18F66"/>
    <w:rsid w:val="ECFE5EB6"/>
    <w:rsid w:val="ED17392C"/>
    <w:rsid w:val="ED9FFD9A"/>
    <w:rsid w:val="EDB7968B"/>
    <w:rsid w:val="EDEA3036"/>
    <w:rsid w:val="EDF63E42"/>
    <w:rsid w:val="EEF73F60"/>
    <w:rsid w:val="EFED9E42"/>
    <w:rsid w:val="EFFFB194"/>
    <w:rsid w:val="F2E1F9D4"/>
    <w:rsid w:val="F3C57173"/>
    <w:rsid w:val="F56DF284"/>
    <w:rsid w:val="F5FF7449"/>
    <w:rsid w:val="F6FF0874"/>
    <w:rsid w:val="F77EDEE7"/>
    <w:rsid w:val="F7880819"/>
    <w:rsid w:val="F7AF180D"/>
    <w:rsid w:val="F7BDBFA7"/>
    <w:rsid w:val="F7DE8F39"/>
    <w:rsid w:val="F7FAD68F"/>
    <w:rsid w:val="F7FB14CF"/>
    <w:rsid w:val="FB3FC69C"/>
    <w:rsid w:val="FB3FC7C0"/>
    <w:rsid w:val="FBBE01CE"/>
    <w:rsid w:val="FBCC7718"/>
    <w:rsid w:val="FBDFF225"/>
    <w:rsid w:val="FBF7AB63"/>
    <w:rsid w:val="FBFDE982"/>
    <w:rsid w:val="FC2F3373"/>
    <w:rsid w:val="FCF51535"/>
    <w:rsid w:val="FD3E5EB1"/>
    <w:rsid w:val="FD77F6B8"/>
    <w:rsid w:val="FDD69328"/>
    <w:rsid w:val="FDDDA449"/>
    <w:rsid w:val="FDDFEC0E"/>
    <w:rsid w:val="FDE58BDD"/>
    <w:rsid w:val="FDEC7001"/>
    <w:rsid w:val="FDEF5CC9"/>
    <w:rsid w:val="FEDFE87F"/>
    <w:rsid w:val="FEEFF998"/>
    <w:rsid w:val="FEF1D25B"/>
    <w:rsid w:val="FF2D2BCA"/>
    <w:rsid w:val="FF3EF90F"/>
    <w:rsid w:val="FF6B975D"/>
    <w:rsid w:val="FFA783CC"/>
    <w:rsid w:val="FFAF6081"/>
    <w:rsid w:val="FFBFF15C"/>
    <w:rsid w:val="FFEC8401"/>
    <w:rsid w:val="FFECCD8C"/>
    <w:rsid w:val="FFED60BD"/>
    <w:rsid w:val="FFEE08F0"/>
    <w:rsid w:val="FFEE7F9F"/>
    <w:rsid w:val="FFEEC2BF"/>
    <w:rsid w:val="FFFBBF2E"/>
    <w:rsid w:val="FFFD5694"/>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200"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5"/>
    <w:qFormat/>
    <w:uiPriority w:val="9"/>
    <w:rPr>
      <w:rFonts w:ascii="Times New Roman" w:hAnsi="Times New Roman"/>
      <w:b/>
      <w:bCs/>
      <w:kern w:val="44"/>
      <w:sz w:val="44"/>
      <w:szCs w:val="44"/>
    </w:rPr>
  </w:style>
  <w:style w:type="character" w:customStyle="1" w:styleId="30">
    <w:name w:val="标题 2 字符"/>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0"/>
    <w:semiHidden/>
    <w:qFormat/>
    <w:uiPriority w:val="99"/>
    <w:rPr>
      <w:rFonts w:ascii="Times New Roman" w:hAnsi="Times New Roman"/>
      <w:kern w:val="2"/>
      <w:sz w:val="18"/>
      <w:szCs w:val="18"/>
    </w:rPr>
  </w:style>
  <w:style w:type="character" w:customStyle="1" w:styleId="33">
    <w:name w:val="标题 3 字符"/>
    <w:basedOn w:val="17"/>
    <w:link w:val="7"/>
    <w:qFormat/>
    <w:uiPriority w:val="9"/>
    <w:rPr>
      <w:rFonts w:ascii="Times New Roman" w:hAnsi="Times New Roman"/>
      <w:b/>
      <w:bCs/>
      <w:kern w:val="2"/>
      <w:sz w:val="32"/>
      <w:szCs w:val="32"/>
    </w:rPr>
  </w:style>
  <w:style w:type="paragraph" w:customStyle="1" w:styleId="34">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Desktop/&#20915;&#31639;&#20844;&#24320;&#20570;&#34920;&#24213;&#31295;.e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0915;&#31639;&#20844;&#24320;&#20570;&#34920;&#24213;&#31295;.e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ome/user/Desktop/&#20915;&#31639;&#20844;&#24320;&#20570;&#34920;&#24213;&#31295;.e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Desktop/&#20915;&#31639;&#20844;&#24320;&#20570;&#34920;&#24213;&#31295;.et"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user/Desktop/&#20915;&#31639;&#20844;&#24320;&#20570;&#34920;&#24213;&#31295;.et"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Desktop/&#20915;&#31639;&#20844;&#24320;&#20570;&#34920;&#24213;&#31295;.et"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Desktop/&#20915;&#31639;&#20844;&#24320;&#20570;&#34920;&#24213;&#31295;.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[决算公开做表底稿.et]Sheet1!$B$2</c:f>
              <c:strCache>
                <c:ptCount val="1"/>
                <c:pt idx="0">
                  <c:v>收入（万元）</c:v>
                </c:pt>
              </c:strCache>
            </c:strRef>
          </c:tx>
          <c:spPr>
            <a:solidFill>
              <a:schemeClr val="accent1"/>
            </a:solidFill>
            <a:ln>
              <a:noFill/>
            </a:ln>
            <a:effectLst/>
          </c:spPr>
          <c:invertIfNegative val="false"/>
          <c:dLbls>
            <c:delete val="true"/>
          </c:dLbls>
          <c:cat>
            <c:strRef>
              <c:f>[决算公开做表底稿.et]Sheet1!$A$3:$A$6</c:f>
              <c:strCache>
                <c:ptCount val="4"/>
                <c:pt idx="0">
                  <c:v>2022年</c:v>
                </c:pt>
                <c:pt idx="1">
                  <c:v>2023年</c:v>
                </c:pt>
              </c:strCache>
            </c:strRef>
          </c:cat>
          <c:val>
            <c:numRef>
              <c:f>[决算公开做表底稿.et]Sheet1!$B$3:$B$6</c:f>
              <c:numCache>
                <c:formatCode>General</c:formatCode>
                <c:ptCount val="4"/>
                <c:pt idx="0">
                  <c:v>317.13</c:v>
                </c:pt>
                <c:pt idx="1">
                  <c:v>298.72</c:v>
                </c:pt>
              </c:numCache>
            </c:numRef>
          </c:val>
        </c:ser>
        <c:ser>
          <c:idx val="1"/>
          <c:order val="1"/>
          <c:tx>
            <c:strRef>
              <c:f>[决算公开做表底稿.et]Sheet1!$C$2</c:f>
              <c:strCache>
                <c:ptCount val="1"/>
                <c:pt idx="0">
                  <c:v>支出（万元）</c:v>
                </c:pt>
              </c:strCache>
            </c:strRef>
          </c:tx>
          <c:spPr>
            <a:solidFill>
              <a:schemeClr val="accent2"/>
            </a:solidFill>
            <a:ln>
              <a:noFill/>
            </a:ln>
            <a:effectLst/>
          </c:spPr>
          <c:invertIfNegative val="false"/>
          <c:dLbls>
            <c:delete val="true"/>
          </c:dLbls>
          <c:cat>
            <c:strRef>
              <c:f>[决算公开做表底稿.et]Sheet1!$A$3:$A$6</c:f>
              <c:strCache>
                <c:ptCount val="4"/>
                <c:pt idx="0">
                  <c:v>2022年</c:v>
                </c:pt>
                <c:pt idx="1">
                  <c:v>2023年</c:v>
                </c:pt>
              </c:strCache>
            </c:strRef>
          </c:cat>
          <c:val>
            <c:numRef>
              <c:f>[决算公开做表底稿.et]Sheet1!$C$3:$C$6</c:f>
              <c:numCache>
                <c:formatCode>General</c:formatCode>
                <c:ptCount val="4"/>
                <c:pt idx="0">
                  <c:v>336.15</c:v>
                </c:pt>
                <c:pt idx="1">
                  <c:v>298.72</c:v>
                </c:pt>
              </c:numCache>
            </c:numRef>
          </c:val>
        </c:ser>
        <c:dLbls>
          <c:showLegendKey val="false"/>
          <c:showVal val="false"/>
          <c:showCatName val="false"/>
          <c:showSerName val="false"/>
          <c:showPercent val="false"/>
          <c:showBubbleSize val="false"/>
        </c:dLbls>
        <c:gapWidth val="219"/>
        <c:overlap val="-27"/>
        <c:axId val="946552193"/>
        <c:axId val="187953710"/>
      </c:barChart>
      <c:catAx>
        <c:axId val="946552193"/>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7953710"/>
        <c:crosses val="autoZero"/>
        <c:auto val="true"/>
        <c:lblAlgn val="ctr"/>
        <c:lblOffset val="100"/>
        <c:noMultiLvlLbl val="false"/>
      </c:catAx>
      <c:valAx>
        <c:axId val="18795371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655219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2023</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年一般公共预算财政拨款收入</a:t>
            </a:r>
            <a:endParaRPr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pieChart>
        <c:varyColors val="true"/>
        <c:ser>
          <c:idx val="0"/>
          <c:order val="0"/>
          <c:spPr>
            <a:scene3d>
              <a:camera prst="orthographicFront"/>
              <a:lightRig rig="threePt" dir="t"/>
            </a:scene3d>
            <a:sp3d contourW="25400"/>
          </c:spPr>
          <c:explosion val="0"/>
          <c:dPt>
            <c:idx val="0"/>
            <c:bubble3D val="false"/>
            <c:explosion val="0"/>
            <c:spPr>
              <a:solidFill>
                <a:srgbClr val="4F81BD"/>
              </a:solidFill>
              <a:ln w="25400">
                <a:solidFill>
                  <a:srgbClr val="FFFFFF"/>
                </a:solidFill>
              </a:ln>
              <a:effectLst/>
              <a:scene3d>
                <a:camera prst="orthographicFront"/>
                <a:lightRig rig="threePt" dir="t"/>
              </a:scene3d>
              <a:sp3d contourW="25400"/>
            </c:spPr>
          </c:dPt>
          <c:dPt>
            <c:idx val="1"/>
            <c:bubble3D val="false"/>
            <c:explosion val="0"/>
            <c:spPr>
              <a:solidFill>
                <a:srgbClr val="C0504D"/>
              </a:solidFill>
              <a:ln w="25400">
                <a:solidFill>
                  <a:srgbClr val="FFFFFF"/>
                </a:solidFill>
              </a:ln>
              <a:effectLst/>
              <a:scene3d>
                <a:camera prst="orthographicFront"/>
                <a:lightRig rig="threePt" dir="t"/>
              </a:scene3d>
              <a:sp3d contourW="25400"/>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[决算公开做表底稿.et]Sheet1!$A$28:$B$28</c:f>
              <c:strCache>
                <c:ptCount val="2"/>
                <c:pt idx="0">
                  <c:v>一般公共预算财政拨款收入</c:v>
                </c:pt>
                <c:pt idx="1">
                  <c:v>金额（万元）</c:v>
                </c:pt>
              </c:strCache>
            </c:strRef>
          </c:cat>
          <c:val>
            <c:numRef>
              <c:f>[决算公开做表底稿.et]Sheet1!$A$29:$B$29</c:f>
              <c:numCache>
                <c:formatCode>General</c:formatCode>
                <c:ptCount val="2"/>
                <c:pt idx="1">
                  <c:v>298.72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2023</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年支出</a:t>
            </a:r>
            <a:endParaRPr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pieChart>
        <c:varyColors val="true"/>
        <c:ser>
          <c:idx val="0"/>
          <c:order val="0"/>
          <c:tx>
            <c:strRef>
              <c:f>[决算公开做表底稿.et]Sheet1!$G$3</c:f>
              <c:strCache>
                <c:ptCount val="1"/>
                <c:pt idx="0">
                  <c:v>金额（万元）</c:v>
                </c:pt>
              </c:strCache>
            </c:strRef>
          </c:tx>
          <c:spPr>
            <a:scene3d>
              <a:camera prst="orthographicFront"/>
              <a:lightRig rig="threePt" dir="t"/>
            </a:scene3d>
            <a:sp3d contourW="25400"/>
          </c:spPr>
          <c:explosion val="0"/>
          <c:dPt>
            <c:idx val="0"/>
            <c:bubble3D val="false"/>
            <c:explosion val="0"/>
            <c:spPr>
              <a:solidFill>
                <a:srgbClr val="4F81BD"/>
              </a:solidFill>
              <a:ln w="25400">
                <a:solidFill>
                  <a:srgbClr val="FFFFFF"/>
                </a:solidFill>
              </a:ln>
              <a:effectLst/>
              <a:scene3d>
                <a:camera prst="orthographicFront"/>
                <a:lightRig rig="threePt" dir="t"/>
              </a:scene3d>
              <a:sp3d contourW="25400"/>
            </c:spPr>
          </c:dPt>
          <c:dPt>
            <c:idx val="1"/>
            <c:bubble3D val="false"/>
            <c:explosion val="0"/>
            <c:spPr>
              <a:solidFill>
                <a:srgbClr val="C0504D"/>
              </a:solidFill>
              <a:ln w="25400">
                <a:solidFill>
                  <a:srgbClr val="FFFFFF"/>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[决算公开做表底稿.et]Sheet1!$F$4:$F$5</c:f>
              <c:strCache>
                <c:ptCount val="2"/>
                <c:pt idx="0">
                  <c:v>基本支出</c:v>
                </c:pt>
                <c:pt idx="1">
                  <c:v>项目支出</c:v>
                </c:pt>
              </c:strCache>
            </c:strRef>
          </c:cat>
          <c:val>
            <c:numRef>
              <c:f>[决算公开做表底稿.et]Sheet1!$G$4:$G$5</c:f>
              <c:numCache>
                <c:formatCode>General</c:formatCode>
                <c:ptCount val="2"/>
                <c:pt idx="0">
                  <c:v>282.82</c:v>
                </c:pt>
                <c:pt idx="1">
                  <c:v>15.9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[决算公开做表底稿.et]Sheet1!$F$29</c:f>
              <c:strCache>
                <c:ptCount val="1"/>
                <c:pt idx="0">
                  <c:v>2022年</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[决算公开做表底稿.et]Sheet1!$G$28:$J$28</c:f>
              <c:strCache>
                <c:ptCount val="4"/>
                <c:pt idx="0">
                  <c:v>财政拨款收入（万元）</c:v>
                </c:pt>
                <c:pt idx="1">
                  <c:v>财政拨款支出（万元）</c:v>
                </c:pt>
              </c:strCache>
            </c:strRef>
          </c:cat>
          <c:val>
            <c:numRef>
              <c:f>[决算公开做表底稿.et]Sheet1!$G$29:$J$29</c:f>
              <c:numCache>
                <c:formatCode>General</c:formatCode>
                <c:ptCount val="4"/>
                <c:pt idx="0">
                  <c:v>317.13</c:v>
                </c:pt>
                <c:pt idx="1">
                  <c:v>336.15</c:v>
                </c:pt>
              </c:numCache>
            </c:numRef>
          </c:val>
        </c:ser>
        <c:ser>
          <c:idx val="1"/>
          <c:order val="1"/>
          <c:tx>
            <c:strRef>
              <c:f>[决算公开做表底稿.et]Sheet1!$F$30</c:f>
              <c:strCache>
                <c:ptCount val="1"/>
                <c:pt idx="0">
                  <c:v>2023年</c:v>
                </c:pt>
              </c:strCache>
            </c:strRef>
          </c:tx>
          <c:spPr>
            <a:solidFill>
              <a:schemeClr val="accent2"/>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[决算公开做表底稿.et]Sheet1!$G$28:$J$28</c:f>
              <c:strCache>
                <c:ptCount val="4"/>
                <c:pt idx="0">
                  <c:v>财政拨款收入（万元）</c:v>
                </c:pt>
                <c:pt idx="1">
                  <c:v>财政拨款支出（万元）</c:v>
                </c:pt>
              </c:strCache>
            </c:strRef>
          </c:cat>
          <c:val>
            <c:numRef>
              <c:f>[决算公开做表底稿.et]Sheet1!$G$30:$J$30</c:f>
              <c:numCache>
                <c:formatCode>General</c:formatCode>
                <c:ptCount val="4"/>
                <c:pt idx="0">
                  <c:v>298.72</c:v>
                </c:pt>
                <c:pt idx="1">
                  <c:v>298.72</c:v>
                </c:pt>
              </c:numCache>
            </c:numRef>
          </c:val>
        </c:ser>
        <c:ser>
          <c:idx val="2"/>
          <c:order val="2"/>
          <c:tx>
            <c:strRef>
              <c:f>[决算公开做表底稿.et]Sheet1!$F$31</c:f>
              <c:strCache>
                <c:ptCount val="1"/>
                <c:pt idx="0">
                  <c:v/>
                </c:pt>
              </c:strCache>
            </c:strRef>
          </c:tx>
          <c:spPr>
            <a:solidFill>
              <a:schemeClr val="accent3"/>
            </a:solidFill>
            <a:ln>
              <a:noFill/>
            </a:ln>
            <a:effectLst/>
          </c:spPr>
          <c:invertIfNegative val="false"/>
          <c:dLbls>
            <c:delete val="true"/>
          </c:dLbls>
          <c:cat>
            <c:strRef>
              <c:f>[决算公开做表底稿.et]Sheet1!$G$28:$J$28</c:f>
              <c:strCache>
                <c:ptCount val="4"/>
                <c:pt idx="0">
                  <c:v>财政拨款收入（万元）</c:v>
                </c:pt>
                <c:pt idx="1">
                  <c:v>财政拨款支出（万元）</c:v>
                </c:pt>
              </c:strCache>
            </c:strRef>
          </c:cat>
          <c:val>
            <c:numRef>
              <c:f>[决算公开做表底稿.et]Sheet1!$G$31:$J$31</c:f>
              <c:numCache>
                <c:formatCode>General</c:formatCode>
                <c:ptCount val="4"/>
              </c:numCache>
            </c:numRef>
          </c:val>
        </c:ser>
        <c:dLbls>
          <c:showLegendKey val="false"/>
          <c:showVal val="false"/>
          <c:showCatName val="false"/>
          <c:showSerName val="false"/>
          <c:showPercent val="false"/>
          <c:showBubbleSize val="false"/>
        </c:dLbls>
        <c:gapWidth val="219"/>
        <c:overlap val="-27"/>
        <c:axId val="396063504"/>
        <c:axId val="515083921"/>
      </c:barChart>
      <c:catAx>
        <c:axId val="39606350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5083921"/>
        <c:crosses val="autoZero"/>
        <c:auto val="true"/>
        <c:lblAlgn val="ctr"/>
        <c:lblOffset val="100"/>
        <c:noMultiLvlLbl val="false"/>
      </c:catAx>
      <c:valAx>
        <c:axId val="515083921"/>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6350"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6063504"/>
        <c:crosses val="autoZero"/>
        <c:crossBetween val="between"/>
      </c:valAx>
      <c:spPr>
        <a:noFill/>
        <a:ln>
          <a:noFill/>
        </a:ln>
        <a:effectLst/>
      </c:spPr>
    </c:plotArea>
    <c:legend>
      <c:legendPos val="b"/>
      <c:layout>
        <c:manualLayout>
          <c:xMode val="edge"/>
          <c:yMode val="edge"/>
          <c:x val="0.548229166666667"/>
          <c:y val="0.853009259259259"/>
          <c:w val="0.148125"/>
          <c:h val="0.090277777777777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7559875043388"/>
          <c:y val="0.00716674629718108"/>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false"/>
    <c:plotArea>
      <c:layout/>
      <c:barChart>
        <c:barDir val="col"/>
        <c:grouping val="clustered"/>
        <c:varyColors val="false"/>
        <c:ser>
          <c:idx val="0"/>
          <c:order val="0"/>
          <c:tx>
            <c:strRef>
              <c:f>[决算公开做表底稿.et]Sheet1!$B$55</c:f>
              <c:strCache>
                <c:ptCount val="1"/>
                <c:pt idx="0">
                  <c:v>一般公共预算财政拨款支出（万元）</c:v>
                </c:pt>
              </c:strCache>
            </c:strRef>
          </c:tx>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[决算公开做表底稿.et]Sheet1!$A$56:$A$57</c:f>
              <c:strCache>
                <c:ptCount val="2"/>
                <c:pt idx="0">
                  <c:v>2022年</c:v>
                </c:pt>
                <c:pt idx="1">
                  <c:v>2023年</c:v>
                </c:pt>
              </c:strCache>
            </c:strRef>
          </c:cat>
          <c:val>
            <c:numRef>
              <c:f>[决算公开做表底稿.et]Sheet1!$B$56:$B$57</c:f>
              <c:numCache>
                <c:formatCode>General</c:formatCode>
                <c:ptCount val="2"/>
                <c:pt idx="0">
                  <c:v>336.15</c:v>
                </c:pt>
                <c:pt idx="1">
                  <c:v>298.72</c:v>
                </c:pt>
              </c:numCache>
            </c:numRef>
          </c:val>
        </c:ser>
        <c:dLbls>
          <c:showLegendKey val="false"/>
          <c:showVal val="true"/>
          <c:showCatName val="false"/>
          <c:showSerName val="false"/>
          <c:showPercent val="false"/>
          <c:showBubbleSize val="false"/>
        </c:dLbls>
        <c:gapWidth val="219"/>
        <c:overlap val="-27"/>
        <c:axId val="36476335"/>
        <c:axId val="716484481"/>
      </c:barChart>
      <c:catAx>
        <c:axId val="36476335"/>
        <c:scaling>
          <c:orientation val="minMax"/>
        </c:scaling>
        <c:delete val="false"/>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716484481"/>
        <c:crosses val="autoZero"/>
        <c:auto val="true"/>
        <c:lblAlgn val="ctr"/>
        <c:lblOffset val="100"/>
        <c:noMultiLvlLbl val="false"/>
      </c:catAx>
      <c:valAx>
        <c:axId val="716484481"/>
        <c:scaling>
          <c:orientation val="minMax"/>
        </c:scaling>
        <c:delete val="false"/>
        <c:axPos val="l"/>
        <c:majorGridlines>
          <c:spPr>
            <a:ln w="9525" cap="flat" cmpd="sng" algn="ctr">
              <a:solidFill>
                <a:srgbClr val="D9D9D9">
                  <a:lumMod val="15000"/>
                  <a:lumOff val="85000"/>
                </a:srgb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36476335"/>
        <c:crosses val="autoZero"/>
        <c:crossBetween val="between"/>
      </c:valAx>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2023</a:t>
            </a:r>
            <a:r>
              <a:rPr altLang="en-US"/>
              <a:t>年</a:t>
            </a:r>
            <a:r>
              <a:t>一般公共预算财政拨款支出(万元）</a:t>
            </a:r>
          </a:p>
        </c:rich>
      </c:tx>
      <c:layout>
        <c:manualLayout>
          <c:xMode val="edge"/>
          <c:yMode val="edge"/>
          <c:x val="0.155486111111111"/>
          <c:y val="0.0208333333333333"/>
        </c:manualLayout>
      </c:layout>
      <c:overlay val="false"/>
      <c:spPr>
        <a:noFill/>
        <a:ln>
          <a:noFill/>
        </a:ln>
        <a:effectLst/>
      </c:spPr>
    </c:title>
    <c:autoTitleDeleted val="false"/>
    <c:plotArea>
      <c:layout/>
      <c:pieChart>
        <c:varyColors val="true"/>
        <c:ser>
          <c:idx val="0"/>
          <c:order val="0"/>
          <c:tx>
            <c:strRef>
              <c:f>[决算公开做表底稿.et]Sheet1!$G$55</c:f>
              <c:strCache>
                <c:ptCount val="1"/>
                <c:pt idx="0">
                  <c:v>一般公共预算财政拨款支出(万元）</c:v>
                </c:pt>
              </c:strCache>
            </c:strRef>
          </c:tx>
          <c:spPr>
            <a:scene3d>
              <a:camera prst="orthographicFront"/>
              <a:lightRig rig="threePt" dir="t"/>
            </a:scene3d>
            <a:sp3d contourW="25400"/>
          </c:spPr>
          <c:explosion val="0"/>
          <c:dPt>
            <c:idx val="0"/>
            <c:bubble3D val="false"/>
            <c:spPr>
              <a:solidFill>
                <a:srgbClr val="4F81BD"/>
              </a:solidFill>
              <a:ln w="25400">
                <a:solidFill>
                  <a:srgbClr val="FFFFFF"/>
                </a:solidFill>
              </a:ln>
              <a:effectLst/>
              <a:scene3d>
                <a:camera prst="orthographicFront"/>
                <a:lightRig rig="threePt" dir="t"/>
              </a:scene3d>
              <a:sp3d contourW="25400"/>
            </c:spPr>
          </c:dPt>
          <c:dPt>
            <c:idx val="1"/>
            <c:bubble3D val="false"/>
            <c:spPr>
              <a:solidFill>
                <a:srgbClr val="C0504D"/>
              </a:solidFill>
              <a:ln w="25400">
                <a:solidFill>
                  <a:srgbClr val="FFFFFF"/>
                </a:solidFill>
              </a:ln>
              <a:effectLst/>
              <a:scene3d>
                <a:camera prst="orthographicFront"/>
                <a:lightRig rig="threePt" dir="t"/>
              </a:scene3d>
              <a:sp3d contourW="25400"/>
            </c:spPr>
          </c:dPt>
          <c:dPt>
            <c:idx val="2"/>
            <c:bubble3D val="false"/>
            <c:spPr>
              <a:solidFill>
                <a:srgbClr val="9BBB59"/>
              </a:solidFill>
              <a:ln w="25400">
                <a:solidFill>
                  <a:srgbClr val="FFFFFF"/>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[决算公开做表底稿.et]Sheet1!$F$56:$F$58</c:f>
              <c:strCache>
                <c:ptCount val="3"/>
                <c:pt idx="0">
                  <c:v>社会保障和就业支出</c:v>
                </c:pt>
                <c:pt idx="1">
                  <c:v>卫生健康支出</c:v>
                </c:pt>
                <c:pt idx="2">
                  <c:v>住房保障支出</c:v>
                </c:pt>
              </c:strCache>
            </c:strRef>
          </c:cat>
          <c:val>
            <c:numRef>
              <c:f>[决算公开做表底稿.et]Sheet1!$G$56:$G$58</c:f>
              <c:numCache>
                <c:formatCode>General</c:formatCode>
                <c:ptCount val="3"/>
                <c:pt idx="0">
                  <c:v>55.63</c:v>
                </c:pt>
                <c:pt idx="1">
                  <c:v>225.21</c:v>
                </c:pt>
                <c:pt idx="2">
                  <c:v>17.87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3525179856115"/>
          <c:y val="0.0251537171604248"/>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false"/>
    <c:plotArea>
      <c:layout/>
      <c:pieChart>
        <c:varyColors val="true"/>
        <c:ser>
          <c:idx val="0"/>
          <c:order val="0"/>
          <c:tx>
            <c:strRef>
              <c:f>[决算公开做表底稿.et]Sheet1!$B$80</c:f>
              <c:strCache>
                <c:ptCount val="1"/>
                <c:pt idx="0">
                  <c:v>2023年“三公”经费财政拨款支出（万元）</c:v>
                </c:pt>
              </c:strCache>
            </c:strRef>
          </c:tx>
          <c:spPr>
            <a:scene3d>
              <a:camera prst="orthographicFront"/>
              <a:lightRig rig="threePt" dir="t"/>
            </a:scene3d>
            <a:sp3d contourW="25400"/>
          </c:spPr>
          <c:explosion val="0"/>
          <c:dPt>
            <c:idx val="0"/>
            <c:bubble3D val="false"/>
            <c:spPr>
              <a:solidFill>
                <a:srgbClr val="4F81BD"/>
              </a:solidFill>
              <a:ln w="25400">
                <a:solidFill>
                  <a:srgbClr val="FFFFFF"/>
                </a:solidFill>
              </a:ln>
              <a:effectLst/>
              <a:scene3d>
                <a:camera prst="orthographicFront"/>
                <a:lightRig rig="threePt" dir="t"/>
              </a:scene3d>
              <a:sp3d contourW="25400"/>
            </c:spPr>
          </c:dPt>
          <c:dPt>
            <c:idx val="1"/>
            <c:bubble3D val="false"/>
            <c:spPr>
              <a:solidFill>
                <a:srgbClr val="C0504D"/>
              </a:solidFill>
              <a:ln w="25400">
                <a:solidFill>
                  <a:srgbClr val="FFFFFF"/>
                </a:solidFill>
              </a:ln>
              <a:effectLst/>
              <a:scene3d>
                <a:camera prst="orthographicFront"/>
                <a:lightRig rig="threePt" dir="t"/>
              </a:scene3d>
              <a:sp3d contourW="25400"/>
            </c:spPr>
          </c:dPt>
          <c:dPt>
            <c:idx val="2"/>
            <c:bubble3D val="false"/>
            <c:spPr>
              <a:solidFill>
                <a:srgbClr val="9BBB59"/>
              </a:solidFill>
              <a:ln w="25400">
                <a:solidFill>
                  <a:srgbClr val="FFFFFF"/>
                </a:solidFill>
              </a:ln>
              <a:effectLst/>
              <a:scene3d>
                <a:camera prst="orthographicFront"/>
                <a:lightRig rig="threePt" dir="t"/>
              </a:scene3d>
              <a:sp3d contourW="25400"/>
            </c:spPr>
          </c:dPt>
          <c:dPt>
            <c:idx val="3"/>
            <c:bubble3D val="false"/>
            <c:spPr>
              <a:solidFill>
                <a:srgbClr val="8064A2"/>
              </a:solidFill>
              <a:ln w="25400">
                <a:solidFill>
                  <a:srgbClr val="FFFFFF"/>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[决算公开做表底稿.et]Sheet1!$A$81:$A$84</c:f>
              <c:strCache>
                <c:ptCount val="4"/>
                <c:pt idx="0">
                  <c:v>因公出国（境）费支出</c:v>
                </c:pt>
                <c:pt idx="1">
                  <c:v>公务用车购置及运行维护费支出</c:v>
                </c:pt>
                <c:pt idx="2">
                  <c:v>公务接待费支出</c:v>
                </c:pt>
              </c:strCache>
            </c:strRef>
          </c:cat>
          <c:val>
            <c:numRef>
              <c:f>[决算公开做表底稿.et]Sheet1!$B$81:$B$84</c:f>
              <c:numCache>
                <c:formatCode>General</c:formatCode>
                <c:ptCount val="4"/>
                <c:pt idx="1">
                  <c:v>1.42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0</TotalTime>
  <ScaleCrop>false</ScaleCrop>
  <LinksUpToDate>false</LinksUpToDate>
  <CharactersWithSpaces>7641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2020-08-11T09:49:00Z</dcterms:created>
  <dc:creator>曹颖</dc:creator>
  <cp:lastModifiedBy>user</cp:lastModifiedBy>
  <cp:lastPrinted>2023-08-06T10:35:00Z</cp:lastPrinted>
  <dcterms:modified xsi:type="dcterms:W3CDTF">2024-09-18T09:39:20Z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26C559067A2848D76E64DA661B91A8D8</vt:lpwstr>
  </property>
</Properties>
</file>