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DAF8C">
      <w:pPr>
        <w:pStyle w:val="8"/>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2025年度攀枝花市第二人民医院</w:t>
      </w:r>
    </w:p>
    <w:p w14:paraId="7B61C555">
      <w:pPr>
        <w:pStyle w:val="8"/>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单位决算</w:t>
      </w:r>
    </w:p>
    <w:p w14:paraId="25B5FD6B">
      <w:pPr>
        <w:pStyle w:val="8"/>
        <w:jc w:val="center"/>
        <w:rPr>
          <w:rFonts w:hint="default" w:ascii="方正小标宋简体" w:hAnsi="宋体" w:eastAsia="方正小标宋简体" w:cs="Times New Roman"/>
          <w:color w:val="auto"/>
          <w:kern w:val="2"/>
          <w:sz w:val="44"/>
          <w:szCs w:val="44"/>
          <w:highlight w:val="none"/>
          <w:lang w:val="en-US" w:eastAsia="zh-CN" w:bidi="ar-SA"/>
        </w:rPr>
      </w:pPr>
    </w:p>
    <w:p w14:paraId="11F9AE74">
      <w:pPr>
        <w:widowControl/>
        <w:jc w:val="center"/>
        <w:rPr>
          <w:rFonts w:ascii="黑体" w:hAnsi="黑体" w:eastAsia="黑体"/>
          <w:color w:val="auto"/>
          <w:sz w:val="48"/>
          <w:szCs w:val="48"/>
          <w:highlight w:val="none"/>
        </w:rPr>
      </w:pPr>
      <w:r>
        <w:rPr>
          <w:rFonts w:hint="eastAsia" w:ascii="黑体" w:hAnsi="黑体" w:eastAsia="黑体"/>
          <w:color w:val="auto"/>
          <w:sz w:val="48"/>
          <w:szCs w:val="48"/>
          <w:highlight w:val="none"/>
        </w:rPr>
        <w:t>目录</w:t>
      </w:r>
    </w:p>
    <w:p w14:paraId="4F3AD1D5">
      <w:pPr>
        <w:widowControl/>
        <w:jc w:val="center"/>
        <w:rPr>
          <w:rFonts w:ascii="黑体" w:hAnsi="黑体" w:eastAsia="黑体" w:cs="Times New Roman"/>
          <w:color w:val="auto"/>
          <w:sz w:val="28"/>
          <w:szCs w:val="28"/>
          <w:highlight w:val="none"/>
        </w:rPr>
      </w:pPr>
    </w:p>
    <w:p w14:paraId="35B03855">
      <w:pPr>
        <w:pStyle w:val="13"/>
        <w:rPr>
          <w:color w:val="auto"/>
          <w:highlight w:val="none"/>
        </w:rPr>
      </w:pPr>
      <w:r>
        <w:rPr>
          <w:rFonts w:hint="eastAsia"/>
          <w:color w:val="auto"/>
          <w:highlight w:val="none"/>
        </w:rPr>
        <w:t>公开时间：20</w:t>
      </w:r>
      <w:r>
        <w:rPr>
          <w:rFonts w:hint="eastAsia"/>
          <w:color w:val="auto"/>
          <w:highlight w:val="none"/>
          <w:lang w:val="en-US" w:eastAsia="zh-CN"/>
        </w:rPr>
        <w:t>26</w:t>
      </w:r>
      <w:r>
        <w:rPr>
          <w:rFonts w:hint="eastAsia"/>
          <w:color w:val="auto"/>
          <w:highlight w:val="none"/>
        </w:rPr>
        <w:t>年</w:t>
      </w:r>
      <w:r>
        <w:rPr>
          <w:rFonts w:hint="eastAsia"/>
          <w:color w:val="auto"/>
          <w:highlight w:val="none"/>
          <w:lang w:val="en-US" w:eastAsia="zh-CN"/>
        </w:rPr>
        <w:t>9</w:t>
      </w:r>
      <w:r>
        <w:rPr>
          <w:rFonts w:hint="eastAsia"/>
          <w:color w:val="auto"/>
          <w:highlight w:val="none"/>
        </w:rPr>
        <w:t>月</w:t>
      </w:r>
      <w:r>
        <w:rPr>
          <w:rFonts w:hint="eastAsia"/>
          <w:color w:val="auto"/>
          <w:highlight w:val="none"/>
          <w:lang w:val="en-US" w:eastAsia="zh-CN"/>
        </w:rPr>
        <w:t>14</w:t>
      </w:r>
      <w:r>
        <w:rPr>
          <w:rFonts w:hint="eastAsia"/>
          <w:color w:val="auto"/>
          <w:highlight w:val="none"/>
        </w:rPr>
        <w:t>日</w:t>
      </w:r>
    </w:p>
    <w:p w14:paraId="51BB8E12">
      <w:pPr>
        <w:rPr>
          <w:rFonts w:ascii="Times New Roman" w:hAnsi="Times New Roman"/>
          <w:color w:val="auto"/>
          <w:highlight w:val="none"/>
        </w:rPr>
      </w:pPr>
    </w:p>
    <w:p w14:paraId="73A2318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5B0AFD7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06681D8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39C9314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5EFA293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0397503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192B97A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71C1288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3CF671D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1420EF8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1F6B0F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6C1BDE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3EEA792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4C27726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3581FC9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3B9B795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7299544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6A617FF3">
      <w:pPr>
        <w:pStyle w:val="14"/>
        <w:adjustRightInd w:val="0"/>
        <w:snapToGrid w:val="0"/>
        <w:spacing w:line="560" w:lineRule="exact"/>
        <w:ind w:left="0" w:leftChars="0" w:firstLine="640" w:firstLineChars="200"/>
        <w:jc w:val="left"/>
        <w:rPr>
          <w:rFonts w:eastAsia="仿宋_GB2312" w:cs="仿宋_GB2312"/>
          <w:sz w:val="32"/>
          <w:szCs w:val="32"/>
        </w:rPr>
      </w:pPr>
      <w:bookmarkStart w:id="0" w:name="_Toc15396599"/>
      <w:bookmarkStart w:id="1" w:name="_Toc15377196"/>
      <w:r>
        <w:rPr>
          <w:rFonts w:hint="eastAsia" w:eastAsia="仿宋_GB2312" w:cs="仿宋_GB2312"/>
          <w:sz w:val="32"/>
          <w:szCs w:val="32"/>
        </w:rPr>
        <w:t>一、收入支出决算总表</w:t>
      </w:r>
    </w:p>
    <w:p w14:paraId="0227D48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5F0624A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0C9E0A1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1059F57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0149D8A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3786E0C0">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1284601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4E26EC6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40EBE2F8">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1A6AE65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2A056C6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1EA90A0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143B916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7D8EA884">
      <w:pPr>
        <w:pStyle w:val="5"/>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0"/>
      <w:bookmarkEnd w:id="1"/>
    </w:p>
    <w:p w14:paraId="50503A33">
      <w:pPr>
        <w:widowControl/>
        <w:jc w:val="left"/>
        <w:rPr>
          <w:rFonts w:ascii="Times New Roman" w:hAnsi="Times New Roman" w:eastAsia="黑体"/>
          <w:color w:val="auto"/>
          <w:sz w:val="32"/>
          <w:szCs w:val="32"/>
          <w:highlight w:val="none"/>
        </w:rPr>
      </w:pPr>
    </w:p>
    <w:p w14:paraId="2438A230">
      <w:pPr>
        <w:pStyle w:val="6"/>
        <w:numPr>
          <w:ilvl w:val="0"/>
          <w:numId w:val="1"/>
        </w:numPr>
        <w:ind w:firstLine="640" w:firstLineChars="200"/>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4C9F292B">
      <w:pPr>
        <w:pStyle w:val="6"/>
        <w:numPr>
          <w:ilvl w:val="0"/>
          <w:numId w:val="0"/>
        </w:numPr>
        <w:ind w:firstLine="640" w:firstLineChars="20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仿宋" w:hAnsi="仿宋" w:eastAsia="仿宋" w:cs="仿宋"/>
          <w:b w:val="0"/>
          <w:color w:val="auto"/>
          <w:sz w:val="32"/>
          <w:szCs w:val="32"/>
        </w:rPr>
        <w:t>攀</w:t>
      </w:r>
      <w:r>
        <w:rPr>
          <w:rFonts w:hint="eastAsia" w:ascii="Times New Roman" w:hAnsi="Times New Roman" w:eastAsia="仿宋_GB2312" w:cs="仿宋_GB2312"/>
          <w:b w:val="0"/>
          <w:bCs w:val="0"/>
          <w:color w:val="auto"/>
          <w:kern w:val="2"/>
          <w:sz w:val="32"/>
          <w:szCs w:val="32"/>
          <w:highlight w:val="none"/>
          <w:lang w:val="en-US" w:eastAsia="zh-CN" w:bidi="ar-SA"/>
        </w:rPr>
        <w:t>枝花市第二人民医院是集医疗、教学、科研、预防、保健、康复、社区服务为一体的国家三级乙等综合医院。内设省政府确立的攀西职业病防治中心和市委市政府确立的攀西医养康复示范中心。编制床位800张，实际开放床位710张，另有医养床位206张。截至</w:t>
      </w:r>
      <w:bookmarkStart w:id="43" w:name="_GoBack"/>
      <w:bookmarkEnd w:id="43"/>
      <w:r>
        <w:rPr>
          <w:rFonts w:hint="eastAsia" w:ascii="Times New Roman" w:hAnsi="Times New Roman" w:eastAsia="仿宋_GB2312" w:cs="仿宋_GB2312"/>
          <w:b w:val="0"/>
          <w:bCs w:val="0"/>
          <w:color w:val="auto"/>
          <w:kern w:val="2"/>
          <w:sz w:val="32"/>
          <w:szCs w:val="32"/>
          <w:highlight w:val="none"/>
          <w:lang w:val="en-US" w:eastAsia="zh-CN" w:bidi="ar-SA"/>
        </w:rPr>
        <w:t>2025年12月在职职工654人（在编303人，聘用 351人）。专业技术人员591人（正高46人，副高92人，中级175人，初级278人）；硕士研究生13人，内设机构65个（临床医技49个，党政管理16个）。医院拥有1.5T核磁共振、多排螺旋CT、DSA数字血管造影机、乳腺X光机、脊柱内镜系统、DR、高压氧舱等先进医疗设备。</w:t>
      </w:r>
      <w:bookmarkStart w:id="2" w:name="_Toc15396601"/>
      <w:bookmarkStart w:id="3" w:name="_Toc15377200"/>
    </w:p>
    <w:p w14:paraId="2BC52DF1">
      <w:pPr>
        <w:pStyle w:val="6"/>
        <w:numPr>
          <w:ilvl w:val="0"/>
          <w:numId w:val="0"/>
        </w:numPr>
        <w:ind w:firstLine="640" w:firstLineChars="200"/>
        <w:rPr>
          <w:rStyle w:val="30"/>
          <w:rFonts w:ascii="Times New Roman" w:hAnsi="Times New Roman"/>
          <w:b w:val="0"/>
          <w:bCs w:val="0"/>
          <w:color w:val="auto"/>
          <w:highlight w:val="none"/>
        </w:rPr>
      </w:pPr>
      <w:r>
        <w:rPr>
          <w:rStyle w:val="30"/>
          <w:rFonts w:hint="eastAsia" w:eastAsia="黑体"/>
          <w:b w:val="0"/>
          <w:bCs w:val="0"/>
          <w:color w:val="auto"/>
          <w:highlight w:val="none"/>
          <w:lang w:val="en-US" w:eastAsia="zh-CN"/>
        </w:rPr>
        <w:t>二、机</w:t>
      </w:r>
      <w:r>
        <w:rPr>
          <w:rStyle w:val="30"/>
          <w:rFonts w:hint="eastAsia" w:ascii="Times New Roman" w:hAnsi="Times New Roman" w:eastAsia="黑体"/>
          <w:b w:val="0"/>
          <w:bCs w:val="0"/>
          <w:color w:val="auto"/>
          <w:highlight w:val="none"/>
        </w:rPr>
        <w:t>构设置</w:t>
      </w:r>
      <w:bookmarkEnd w:id="2"/>
      <w:bookmarkEnd w:id="3"/>
    </w:p>
    <w:p w14:paraId="6E7FCF2D">
      <w:pPr>
        <w:pBdr>
          <w:bottom w:val="single" w:color="FFFFFF" w:sz="4" w:space="31"/>
        </w:pBdr>
        <w:shd w:val="clear" w:color="auto" w:fill="FFFFFF"/>
        <w:tabs>
          <w:tab w:val="left" w:pos="1440"/>
        </w:tabs>
        <w:spacing w:line="600" w:lineRule="exact"/>
        <w:ind w:firstLine="640" w:firstLineChars="20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仿宋" w:hAnsi="仿宋" w:eastAsia="仿宋" w:cs="仿宋"/>
          <w:sz w:val="32"/>
          <w:szCs w:val="32"/>
        </w:rPr>
        <w:t>攀</w:t>
      </w:r>
      <w:r>
        <w:rPr>
          <w:rFonts w:hint="eastAsia" w:ascii="Times New Roman" w:hAnsi="Times New Roman" w:eastAsia="仿宋_GB2312" w:cs="仿宋_GB2312"/>
          <w:b w:val="0"/>
          <w:bCs w:val="0"/>
          <w:color w:val="auto"/>
          <w:kern w:val="2"/>
          <w:sz w:val="32"/>
          <w:szCs w:val="32"/>
          <w:highlight w:val="none"/>
          <w:lang w:val="en-US" w:eastAsia="zh-CN" w:bidi="ar-SA"/>
        </w:rPr>
        <w:t>枝花市第二人民医院属独立核算的事业单位，无下属单位。</w:t>
      </w:r>
      <w:bookmarkStart w:id="4" w:name="_Toc15396602"/>
      <w:bookmarkStart w:id="5" w:name="_Toc15377204"/>
    </w:p>
    <w:p w14:paraId="63F9FB59">
      <w:pPr>
        <w:pStyle w:val="5"/>
        <w:jc w:val="both"/>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4"/>
      <w:bookmarkEnd w:id="5"/>
    </w:p>
    <w:p w14:paraId="58BBCCC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6" w:name="_Toc15377205"/>
      <w:bookmarkStart w:id="7"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6"/>
      <w:bookmarkEnd w:id="7"/>
    </w:p>
    <w:p w14:paraId="23926A1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预算总收入</w:t>
      </w:r>
      <w:r>
        <w:rPr>
          <w:rFonts w:hint="eastAsia" w:eastAsia="仿宋_GB2312" w:cs="仿宋_GB2312"/>
          <w:color w:val="auto"/>
          <w:sz w:val="32"/>
          <w:szCs w:val="32"/>
          <w:highlight w:val="none"/>
          <w:lang w:val="en-US" w:eastAsia="zh-CN"/>
        </w:rPr>
        <w:t>23995.37</w:t>
      </w:r>
      <w:r>
        <w:rPr>
          <w:rFonts w:hint="eastAsia" w:ascii="Times New Roman" w:hAnsi="Times New Roman" w:eastAsia="仿宋_GB2312" w:cs="仿宋_GB2312"/>
          <w:color w:val="auto"/>
          <w:sz w:val="32"/>
          <w:szCs w:val="32"/>
          <w:highlight w:val="none"/>
        </w:rPr>
        <w:t>万元，决算数2</w:t>
      </w:r>
      <w:r>
        <w:rPr>
          <w:rFonts w:hint="eastAsia" w:eastAsia="仿宋_GB2312" w:cs="仿宋_GB2312"/>
          <w:color w:val="auto"/>
          <w:sz w:val="32"/>
          <w:szCs w:val="32"/>
          <w:highlight w:val="none"/>
          <w:lang w:val="en-US" w:eastAsia="zh-CN"/>
        </w:rPr>
        <w:t>3995.37</w:t>
      </w:r>
      <w:r>
        <w:rPr>
          <w:rFonts w:hint="eastAsia" w:ascii="Times New Roman" w:hAnsi="Times New Roman" w:eastAsia="仿宋_GB2312" w:cs="仿宋_GB2312"/>
          <w:color w:val="auto"/>
          <w:sz w:val="32"/>
          <w:szCs w:val="32"/>
          <w:highlight w:val="none"/>
        </w:rPr>
        <w:t>万元，预算收入完成率</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rPr>
        <w:t>%；预算总支出2</w:t>
      </w:r>
      <w:r>
        <w:rPr>
          <w:rFonts w:hint="eastAsia" w:eastAsia="仿宋_GB2312" w:cs="仿宋_GB2312"/>
          <w:color w:val="auto"/>
          <w:sz w:val="32"/>
          <w:szCs w:val="32"/>
          <w:highlight w:val="none"/>
          <w:lang w:val="en-US" w:eastAsia="zh-CN"/>
        </w:rPr>
        <w:t>3995.37</w:t>
      </w:r>
      <w:r>
        <w:rPr>
          <w:rFonts w:hint="eastAsia" w:ascii="Times New Roman" w:hAnsi="Times New Roman" w:eastAsia="仿宋_GB2312" w:cs="仿宋_GB2312"/>
          <w:color w:val="auto"/>
          <w:sz w:val="32"/>
          <w:szCs w:val="32"/>
          <w:highlight w:val="none"/>
        </w:rPr>
        <w:t>万元，决算数</w:t>
      </w:r>
      <w:r>
        <w:rPr>
          <w:rFonts w:hint="eastAsia" w:eastAsia="仿宋_GB2312" w:cs="仿宋_GB2312"/>
          <w:color w:val="auto"/>
          <w:sz w:val="32"/>
          <w:szCs w:val="32"/>
          <w:highlight w:val="none"/>
          <w:lang w:val="en-US" w:eastAsia="zh-CN"/>
        </w:rPr>
        <w:t>23768.6</w:t>
      </w:r>
      <w:r>
        <w:rPr>
          <w:rFonts w:hint="eastAsia" w:ascii="Times New Roman" w:hAnsi="Times New Roman" w:eastAsia="仿宋_GB2312" w:cs="仿宋_GB2312"/>
          <w:color w:val="auto"/>
          <w:sz w:val="32"/>
          <w:szCs w:val="32"/>
          <w:highlight w:val="none"/>
        </w:rPr>
        <w:t>万元，预算支出完成率</w:t>
      </w:r>
      <w:r>
        <w:rPr>
          <w:rFonts w:hint="eastAsia" w:eastAsia="仿宋_GB2312" w:cs="仿宋_GB2312"/>
          <w:color w:val="auto"/>
          <w:sz w:val="32"/>
          <w:szCs w:val="32"/>
          <w:highlight w:val="none"/>
          <w:lang w:val="en-US" w:eastAsia="zh-CN"/>
        </w:rPr>
        <w:t>99</w:t>
      </w:r>
      <w:r>
        <w:rPr>
          <w:rFonts w:hint="eastAsia" w:ascii="Times New Roman" w:hAnsi="Times New Roman" w:eastAsia="仿宋_GB2312" w:cs="仿宋_GB2312"/>
          <w:color w:val="auto"/>
          <w:sz w:val="32"/>
          <w:szCs w:val="32"/>
          <w:highlight w:val="none"/>
        </w:rPr>
        <w:t>%；收支结余</w:t>
      </w:r>
      <w:r>
        <w:rPr>
          <w:rFonts w:hint="eastAsia" w:eastAsia="仿宋_GB2312" w:cs="仿宋_GB2312"/>
          <w:color w:val="auto"/>
          <w:sz w:val="32"/>
          <w:szCs w:val="32"/>
          <w:highlight w:val="none"/>
          <w:lang w:val="en-US" w:eastAsia="zh-CN"/>
        </w:rPr>
        <w:t>226.77</w:t>
      </w:r>
      <w:r>
        <w:rPr>
          <w:rFonts w:hint="eastAsia" w:ascii="Times New Roman" w:hAnsi="Times New Roman" w:eastAsia="仿宋_GB2312" w:cs="仿宋_GB2312"/>
          <w:color w:val="auto"/>
          <w:sz w:val="32"/>
          <w:szCs w:val="32"/>
          <w:highlight w:val="none"/>
        </w:rPr>
        <w:t>万元。</w:t>
      </w:r>
    </w:p>
    <w:p w14:paraId="76D09FEE">
      <w:pPr>
        <w:keepNext w:val="0"/>
        <w:keepLines w:val="0"/>
        <w:pageBreakBefore w:val="0"/>
        <w:widowControl w:val="0"/>
        <w:kinsoku/>
        <w:wordWrap/>
        <w:overflowPunct/>
        <w:topLinePunct w:val="0"/>
        <w:autoSpaceDE/>
        <w:autoSpaceDN/>
        <w:bidi w:val="0"/>
        <w:adjustRightInd/>
        <w:snapToGrid/>
        <w:jc w:val="both"/>
        <w:textAlignment w:val="auto"/>
        <w:rPr>
          <w:rFonts w:hint="eastAsia" w:ascii="Times New Roman" w:hAnsi="Times New Roman" w:eastAsia="仿宋_GB2312" w:cs="仿宋_GB2312"/>
          <w:color w:val="auto"/>
          <w:sz w:val="32"/>
          <w:szCs w:val="32"/>
          <w:highlight w:val="none"/>
        </w:rPr>
      </w:pPr>
      <w:r>
        <w:rPr>
          <w:rFonts w:hint="eastAsia"/>
          <w:lang w:val="en-US" w:eastAsia="zh-CN"/>
        </w:rPr>
        <w:t xml:space="preserve"> </w:t>
      </w:r>
      <w:r>
        <w:drawing>
          <wp:inline distT="0" distB="0" distL="114300" distR="114300">
            <wp:extent cx="4826000" cy="2743200"/>
            <wp:effectExtent l="4445" t="4445" r="825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9ADF98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8" w:name="_Toc15377206"/>
      <w:bookmarkStart w:id="9" w:name="_Toc15396604"/>
      <w:r>
        <w:rPr>
          <w:rFonts w:hint="eastAsia" w:ascii="Times New Roman" w:hAnsi="Times New Roman" w:eastAsia="黑体"/>
          <w:color w:val="auto"/>
          <w:sz w:val="32"/>
          <w:szCs w:val="32"/>
          <w:highlight w:val="none"/>
          <w:lang w:eastAsia="zh-CN"/>
        </w:rPr>
        <w:t>二、收入决算情况说明</w:t>
      </w:r>
      <w:bookmarkEnd w:id="8"/>
      <w:bookmarkEnd w:id="9"/>
    </w:p>
    <w:p w14:paraId="69C6BD81">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年完成总收入</w:t>
      </w:r>
      <w:r>
        <w:rPr>
          <w:rFonts w:hint="eastAsia" w:ascii="Times New Roman" w:hAnsi="Times New Roman" w:eastAsia="仿宋_GB2312" w:cs="仿宋_GB2312"/>
          <w:color w:val="auto"/>
          <w:sz w:val="32"/>
          <w:szCs w:val="32"/>
          <w:highlight w:val="none"/>
        </w:rPr>
        <w:t>2</w:t>
      </w:r>
      <w:r>
        <w:rPr>
          <w:rFonts w:hint="eastAsia" w:eastAsia="仿宋_GB2312" w:cs="仿宋_GB2312"/>
          <w:color w:val="auto"/>
          <w:sz w:val="32"/>
          <w:szCs w:val="32"/>
          <w:highlight w:val="none"/>
          <w:lang w:val="en-US" w:eastAsia="zh-CN"/>
        </w:rPr>
        <w:t>3995.37</w:t>
      </w:r>
      <w:r>
        <w:rPr>
          <w:rFonts w:hint="eastAsia" w:ascii="Times New Roman" w:hAnsi="Times New Roman" w:eastAsia="仿宋_GB2312" w:cs="仿宋_GB2312"/>
          <w:color w:val="auto"/>
          <w:sz w:val="32"/>
          <w:szCs w:val="32"/>
          <w:highlight w:val="none"/>
          <w:lang w:eastAsia="zh-CN"/>
        </w:rPr>
        <w:t>万元，其中财政补助收入</w:t>
      </w:r>
      <w:r>
        <w:rPr>
          <w:rFonts w:hint="eastAsia" w:eastAsia="仿宋_GB2312" w:cs="仿宋_GB2312"/>
          <w:color w:val="auto"/>
          <w:sz w:val="32"/>
          <w:szCs w:val="32"/>
          <w:highlight w:val="none"/>
          <w:lang w:val="en-US" w:eastAsia="zh-CN"/>
        </w:rPr>
        <w:t>956.12</w:t>
      </w:r>
      <w:r>
        <w:rPr>
          <w:rFonts w:hint="eastAsia" w:ascii="Times New Roman" w:hAnsi="Times New Roman" w:eastAsia="仿宋_GB2312" w:cs="仿宋_GB2312"/>
          <w:color w:val="auto"/>
          <w:sz w:val="32"/>
          <w:szCs w:val="32"/>
          <w:highlight w:val="none"/>
          <w:lang w:eastAsia="zh-CN"/>
        </w:rPr>
        <w:t>万元</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占总收入的3.9%，</w:t>
      </w:r>
      <w:r>
        <w:rPr>
          <w:rFonts w:hint="eastAsia" w:ascii="Times New Roman" w:hAnsi="Times New Roman" w:eastAsia="仿宋_GB2312" w:cs="仿宋_GB2312"/>
          <w:color w:val="auto"/>
          <w:sz w:val="32"/>
          <w:szCs w:val="32"/>
          <w:highlight w:val="none"/>
          <w:lang w:eastAsia="zh-CN"/>
        </w:rPr>
        <w:t>医疗业务收入22053.82万元，占总收入的9</w:t>
      </w:r>
      <w:r>
        <w:rPr>
          <w:rFonts w:hint="eastAsia" w:eastAsia="仿宋_GB2312" w:cs="仿宋_GB2312"/>
          <w:color w:val="auto"/>
          <w:sz w:val="32"/>
          <w:szCs w:val="32"/>
          <w:highlight w:val="none"/>
          <w:lang w:val="en-US" w:eastAsia="zh-CN"/>
        </w:rPr>
        <w:t>1.9</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总收入</w:t>
      </w:r>
      <w:r>
        <w:rPr>
          <w:rFonts w:hint="eastAsia" w:ascii="Times New Roman" w:hAnsi="Times New Roman" w:eastAsia="仿宋_GB2312" w:cs="仿宋_GB2312"/>
          <w:color w:val="auto"/>
          <w:sz w:val="32"/>
          <w:szCs w:val="32"/>
          <w:highlight w:val="none"/>
          <w:lang w:eastAsia="zh-CN"/>
        </w:rPr>
        <w:t>比去年同期增加</w:t>
      </w:r>
      <w:r>
        <w:rPr>
          <w:rFonts w:hint="eastAsia" w:eastAsia="仿宋_GB2312" w:cs="仿宋_GB2312"/>
          <w:color w:val="auto"/>
          <w:sz w:val="32"/>
          <w:szCs w:val="32"/>
          <w:highlight w:val="none"/>
          <w:lang w:val="en-US" w:eastAsia="zh-CN"/>
        </w:rPr>
        <w:t>1061.55</w:t>
      </w:r>
      <w:r>
        <w:rPr>
          <w:rFonts w:hint="eastAsia" w:ascii="Times New Roman" w:hAnsi="Times New Roman" w:eastAsia="仿宋_GB2312" w:cs="仿宋_GB2312"/>
          <w:color w:val="auto"/>
          <w:sz w:val="32"/>
          <w:szCs w:val="32"/>
          <w:highlight w:val="none"/>
          <w:lang w:eastAsia="zh-CN"/>
        </w:rPr>
        <w:t>万元，增长</w:t>
      </w:r>
      <w:r>
        <w:rPr>
          <w:rFonts w:hint="eastAsia" w:eastAsia="仿宋_GB2312" w:cs="仿宋_GB2312"/>
          <w:color w:val="auto"/>
          <w:sz w:val="32"/>
          <w:szCs w:val="32"/>
          <w:highlight w:val="none"/>
          <w:lang w:val="en-US" w:eastAsia="zh-CN"/>
        </w:rPr>
        <w:t>4.6</w:t>
      </w:r>
      <w:r>
        <w:rPr>
          <w:rFonts w:hint="eastAsia" w:ascii="Times New Roman" w:hAnsi="Times New Roman" w:eastAsia="仿宋_GB2312" w:cs="仿宋_GB2312"/>
          <w:color w:val="auto"/>
          <w:sz w:val="32"/>
          <w:szCs w:val="32"/>
          <w:highlight w:val="none"/>
          <w:lang w:eastAsia="zh-CN"/>
        </w:rPr>
        <w:t>%，主要是今年医疗收入</w:t>
      </w:r>
      <w:r>
        <w:rPr>
          <w:rFonts w:hint="eastAsia" w:eastAsia="仿宋_GB2312" w:cs="仿宋_GB2312"/>
          <w:color w:val="auto"/>
          <w:sz w:val="32"/>
          <w:szCs w:val="32"/>
          <w:highlight w:val="none"/>
          <w:lang w:val="en-US" w:eastAsia="zh-CN"/>
        </w:rPr>
        <w:t>和财政补助收入都有所增长</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985.44</w:t>
      </w:r>
      <w:r>
        <w:rPr>
          <w:rFonts w:hint="eastAsia" w:ascii="Times New Roman" w:hAnsi="Times New Roman" w:eastAsia="仿宋_GB2312" w:cs="仿宋_GB2312"/>
          <w:color w:val="auto"/>
          <w:sz w:val="32"/>
          <w:szCs w:val="32"/>
          <w:highlight w:val="none"/>
          <w:lang w:eastAsia="zh-CN"/>
        </w:rPr>
        <w:t>万元，比去年</w:t>
      </w:r>
      <w:r>
        <w:rPr>
          <w:rFonts w:hint="eastAsia" w:eastAsia="仿宋_GB2312" w:cs="仿宋_GB2312"/>
          <w:color w:val="auto"/>
          <w:sz w:val="32"/>
          <w:szCs w:val="32"/>
          <w:highlight w:val="none"/>
          <w:lang w:val="en-US" w:eastAsia="zh-CN"/>
        </w:rPr>
        <w:t>增加104.2</w:t>
      </w:r>
      <w:r>
        <w:rPr>
          <w:rFonts w:hint="eastAsia" w:ascii="Times New Roman" w:hAnsi="Times New Roman" w:eastAsia="仿宋_GB2312" w:cs="仿宋_GB2312"/>
          <w:color w:val="auto"/>
          <w:sz w:val="32"/>
          <w:szCs w:val="32"/>
          <w:highlight w:val="none"/>
          <w:lang w:eastAsia="zh-CN"/>
        </w:rPr>
        <w:t>万元，</w:t>
      </w:r>
      <w:r>
        <w:rPr>
          <w:rFonts w:hint="eastAsia" w:eastAsia="仿宋_GB2312" w:cs="仿宋_GB2312"/>
          <w:color w:val="auto"/>
          <w:sz w:val="32"/>
          <w:szCs w:val="32"/>
          <w:highlight w:val="none"/>
          <w:lang w:val="en-US" w:eastAsia="zh-CN"/>
        </w:rPr>
        <w:t>提高11.8</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增加</w:t>
      </w:r>
      <w:r>
        <w:rPr>
          <w:rFonts w:hint="eastAsia" w:ascii="Times New Roman" w:hAnsi="Times New Roman" w:eastAsia="仿宋_GB2312" w:cs="仿宋_GB2312"/>
          <w:color w:val="auto"/>
          <w:sz w:val="32"/>
          <w:szCs w:val="32"/>
          <w:highlight w:val="none"/>
          <w:lang w:eastAsia="zh-CN"/>
        </w:rPr>
        <w:t>部份主要</w:t>
      </w:r>
      <w:r>
        <w:rPr>
          <w:rFonts w:hint="eastAsia" w:eastAsia="仿宋_GB2312" w:cs="仿宋_GB2312"/>
          <w:color w:val="auto"/>
          <w:sz w:val="32"/>
          <w:szCs w:val="32"/>
          <w:highlight w:val="none"/>
          <w:lang w:val="en-US" w:eastAsia="zh-CN"/>
        </w:rPr>
        <w:t>原因</w:t>
      </w:r>
      <w:r>
        <w:rPr>
          <w:rFonts w:hint="eastAsia" w:ascii="Times New Roman" w:hAnsi="Times New Roman" w:eastAsia="仿宋_GB2312" w:cs="仿宋_GB2312"/>
          <w:color w:val="auto"/>
          <w:sz w:val="32"/>
          <w:szCs w:val="32"/>
          <w:highlight w:val="none"/>
          <w:lang w:eastAsia="zh-CN"/>
        </w:rPr>
        <w:t>是本年康养收入</w:t>
      </w:r>
      <w:r>
        <w:rPr>
          <w:rFonts w:hint="eastAsia" w:eastAsia="仿宋_GB2312" w:cs="仿宋_GB2312"/>
          <w:color w:val="auto"/>
          <w:sz w:val="32"/>
          <w:szCs w:val="32"/>
          <w:highlight w:val="none"/>
          <w:lang w:val="en-US" w:eastAsia="zh-CN"/>
        </w:rPr>
        <w:t>486.85万元，</w:t>
      </w:r>
      <w:r>
        <w:rPr>
          <w:rFonts w:hint="eastAsia" w:ascii="Times New Roman" w:hAnsi="Times New Roman" w:eastAsia="仿宋_GB2312" w:cs="仿宋_GB2312"/>
          <w:color w:val="auto"/>
          <w:sz w:val="32"/>
          <w:szCs w:val="32"/>
          <w:highlight w:val="none"/>
          <w:lang w:eastAsia="zh-CN"/>
        </w:rPr>
        <w:t>比上年增加</w:t>
      </w:r>
      <w:r>
        <w:rPr>
          <w:rFonts w:hint="eastAsia" w:eastAsia="仿宋_GB2312" w:cs="仿宋_GB2312"/>
          <w:color w:val="auto"/>
          <w:sz w:val="32"/>
          <w:szCs w:val="32"/>
          <w:highlight w:val="none"/>
          <w:lang w:val="en-US" w:eastAsia="zh-CN"/>
        </w:rPr>
        <w:t>43.05</w:t>
      </w:r>
      <w:r>
        <w:rPr>
          <w:rFonts w:hint="eastAsia" w:ascii="Times New Roman" w:hAnsi="Times New Roman" w:eastAsia="仿宋_GB2312" w:cs="仿宋_GB2312"/>
          <w:color w:val="auto"/>
          <w:sz w:val="32"/>
          <w:szCs w:val="32"/>
          <w:highlight w:val="none"/>
          <w:lang w:eastAsia="zh-CN"/>
        </w:rPr>
        <w:t>万元，本年委托物业公司代收房租及对外停车场收入</w:t>
      </w:r>
      <w:r>
        <w:rPr>
          <w:rFonts w:hint="eastAsia" w:eastAsia="仿宋_GB2312" w:cs="仿宋_GB2312"/>
          <w:color w:val="auto"/>
          <w:sz w:val="32"/>
          <w:szCs w:val="32"/>
          <w:highlight w:val="none"/>
          <w:lang w:val="en-US" w:eastAsia="zh-CN"/>
        </w:rPr>
        <w:t>146.82</w:t>
      </w:r>
      <w:r>
        <w:rPr>
          <w:rFonts w:hint="eastAsia" w:ascii="Times New Roman" w:hAnsi="Times New Roman" w:eastAsia="仿宋_GB2312" w:cs="仿宋_GB2312"/>
          <w:color w:val="auto"/>
          <w:sz w:val="32"/>
          <w:szCs w:val="32"/>
          <w:highlight w:val="none"/>
          <w:lang w:eastAsia="zh-CN"/>
        </w:rPr>
        <w:t>万元</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比上年增加40.32万元</w:t>
      </w:r>
      <w:r>
        <w:rPr>
          <w:rFonts w:hint="eastAsia" w:ascii="Times New Roman" w:hAnsi="Times New Roman" w:eastAsia="仿宋_GB2312" w:cs="仿宋_GB2312"/>
          <w:color w:val="auto"/>
          <w:sz w:val="32"/>
          <w:szCs w:val="32"/>
          <w:highlight w:val="none"/>
          <w:lang w:eastAsia="zh-CN"/>
        </w:rPr>
        <w:t>。</w:t>
      </w:r>
    </w:p>
    <w:p w14:paraId="4F5FE60D">
      <w:pPr>
        <w:pStyle w:val="8"/>
      </w:pPr>
      <w:r>
        <w:drawing>
          <wp:inline distT="0" distB="0" distL="114300" distR="114300">
            <wp:extent cx="4826000" cy="2743200"/>
            <wp:effectExtent l="4445" t="4445" r="8255" b="1460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4F5FDB7">
      <w:pPr>
        <w:rPr>
          <w:rFonts w:hint="eastAsia"/>
          <w:lang w:eastAsia="zh-CN"/>
        </w:rPr>
      </w:pPr>
    </w:p>
    <w:p w14:paraId="62484B0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0" w:name="_Toc15377207"/>
      <w:bookmarkStart w:id="1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0"/>
      <w:bookmarkEnd w:id="11"/>
    </w:p>
    <w:p w14:paraId="22B9D8A5">
      <w:pPr>
        <w:ind w:firstLine="800" w:firstLineChars="250"/>
        <w:rPr>
          <w:rFonts w:hint="eastAsia"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完成总支出</w:t>
      </w:r>
      <w:r>
        <w:rPr>
          <w:rFonts w:hint="eastAsia" w:ascii="Times New Roman" w:hAnsi="Times New Roman" w:eastAsia="仿宋_GB2312" w:cs="仿宋_GB2312"/>
          <w:color w:val="auto"/>
          <w:sz w:val="32"/>
          <w:szCs w:val="32"/>
          <w:highlight w:val="none"/>
          <w:lang w:val="en-US" w:eastAsia="zh-CN"/>
        </w:rPr>
        <w:t>23768.6</w:t>
      </w:r>
      <w:r>
        <w:rPr>
          <w:rFonts w:hint="eastAsia" w:ascii="Times New Roman" w:hAnsi="Times New Roman" w:eastAsia="仿宋_GB2312" w:cs="仿宋_GB2312"/>
          <w:color w:val="auto"/>
          <w:sz w:val="32"/>
          <w:szCs w:val="32"/>
          <w:highlight w:val="none"/>
          <w:lang w:eastAsia="zh-CN"/>
        </w:rPr>
        <w:t>万元，其中财政</w:t>
      </w:r>
      <w:r>
        <w:rPr>
          <w:rFonts w:hint="eastAsia" w:ascii="Times New Roman" w:hAnsi="Times New Roman" w:eastAsia="仿宋_GB2312" w:cs="仿宋_GB2312"/>
          <w:color w:val="auto"/>
          <w:sz w:val="32"/>
          <w:szCs w:val="32"/>
          <w:highlight w:val="none"/>
          <w:lang w:val="en-US" w:eastAsia="zh-CN"/>
        </w:rPr>
        <w:t>拨款</w:t>
      </w:r>
      <w:r>
        <w:rPr>
          <w:rFonts w:hint="eastAsia" w:ascii="Times New Roman" w:hAnsi="Times New Roman" w:eastAsia="仿宋_GB2312" w:cs="仿宋_GB2312"/>
          <w:color w:val="auto"/>
          <w:sz w:val="32"/>
          <w:szCs w:val="32"/>
          <w:highlight w:val="none"/>
          <w:lang w:eastAsia="zh-CN"/>
        </w:rPr>
        <w:t>支出</w:t>
      </w:r>
      <w:r>
        <w:rPr>
          <w:rFonts w:hint="eastAsia" w:eastAsia="仿宋_GB2312" w:cs="仿宋_GB2312"/>
          <w:color w:val="auto"/>
          <w:sz w:val="32"/>
          <w:szCs w:val="32"/>
          <w:highlight w:val="none"/>
          <w:lang w:val="en-US" w:eastAsia="zh-CN"/>
        </w:rPr>
        <w:t>956.12</w:t>
      </w:r>
      <w:r>
        <w:rPr>
          <w:rFonts w:hint="eastAsia" w:ascii="Times New Roman" w:hAnsi="Times New Roman" w:eastAsia="仿宋_GB2312" w:cs="仿宋_GB2312"/>
          <w:color w:val="auto"/>
          <w:sz w:val="32"/>
          <w:szCs w:val="32"/>
          <w:highlight w:val="none"/>
          <w:lang w:eastAsia="zh-CN"/>
        </w:rPr>
        <w:t>万元。</w:t>
      </w:r>
      <w:r>
        <w:rPr>
          <w:rFonts w:hint="eastAsia" w:eastAsia="仿宋_GB2312" w:cs="仿宋_GB2312"/>
          <w:color w:val="auto"/>
          <w:sz w:val="32"/>
          <w:szCs w:val="32"/>
          <w:highlight w:val="none"/>
          <w:lang w:val="en-US" w:eastAsia="zh-CN"/>
        </w:rPr>
        <w:t>业务活动费支出21910.76</w:t>
      </w:r>
      <w:r>
        <w:rPr>
          <w:rFonts w:hint="eastAsia" w:ascii="Times New Roman" w:hAnsi="Times New Roman" w:eastAsia="仿宋_GB2312" w:cs="仿宋_GB2312"/>
          <w:color w:val="auto"/>
          <w:sz w:val="32"/>
          <w:szCs w:val="32"/>
          <w:highlight w:val="none"/>
          <w:lang w:eastAsia="zh-CN"/>
        </w:rPr>
        <w:t>万元，占总支出的</w:t>
      </w:r>
      <w:r>
        <w:rPr>
          <w:rFonts w:hint="eastAsia" w:ascii="Times New Roman" w:hAnsi="Times New Roman" w:eastAsia="仿宋_GB2312" w:cs="仿宋_GB2312"/>
          <w:color w:val="auto"/>
          <w:sz w:val="32"/>
          <w:szCs w:val="32"/>
          <w:highlight w:val="none"/>
          <w:lang w:val="en-US" w:eastAsia="zh-CN"/>
        </w:rPr>
        <w:t>9</w:t>
      </w:r>
      <w:r>
        <w:rPr>
          <w:rFonts w:hint="eastAsia"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lang w:eastAsia="zh-CN"/>
        </w:rPr>
        <w:t>%，比去年</w:t>
      </w:r>
      <w:r>
        <w:rPr>
          <w:rFonts w:hint="eastAsia" w:ascii="Times New Roman" w:hAnsi="Times New Roman" w:eastAsia="仿宋_GB2312" w:cs="仿宋_GB2312"/>
          <w:color w:val="auto"/>
          <w:sz w:val="32"/>
          <w:szCs w:val="32"/>
          <w:highlight w:val="none"/>
          <w:lang w:val="en-US" w:eastAsia="zh-CN"/>
        </w:rPr>
        <w:t>减少</w:t>
      </w:r>
      <w:r>
        <w:rPr>
          <w:rFonts w:hint="eastAsia" w:eastAsia="仿宋_GB2312" w:cs="仿宋_GB2312"/>
          <w:color w:val="auto"/>
          <w:sz w:val="32"/>
          <w:szCs w:val="32"/>
          <w:highlight w:val="none"/>
          <w:lang w:val="en-US" w:eastAsia="zh-CN"/>
        </w:rPr>
        <w:t>202.89</w:t>
      </w:r>
      <w:r>
        <w:rPr>
          <w:rFonts w:hint="eastAsia" w:ascii="Times New Roman" w:hAnsi="Times New Roman" w:eastAsia="仿宋_GB2312" w:cs="仿宋_GB2312"/>
          <w:color w:val="auto"/>
          <w:sz w:val="32"/>
          <w:szCs w:val="32"/>
          <w:highlight w:val="none"/>
          <w:lang w:eastAsia="zh-CN"/>
        </w:rPr>
        <w:t>万元，</w:t>
      </w:r>
      <w:r>
        <w:rPr>
          <w:rFonts w:hint="eastAsia" w:ascii="Times New Roman" w:hAnsi="Times New Roman" w:eastAsia="仿宋_GB2312" w:cs="仿宋_GB2312"/>
          <w:color w:val="auto"/>
          <w:sz w:val="32"/>
          <w:szCs w:val="32"/>
          <w:highlight w:val="none"/>
          <w:lang w:val="en-US" w:eastAsia="zh-CN"/>
        </w:rPr>
        <w:t>下降0</w:t>
      </w:r>
      <w:r>
        <w:rPr>
          <w:rFonts w:hint="eastAsia"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lang w:eastAsia="zh-CN"/>
        </w:rPr>
        <w:t>%；管理费用</w:t>
      </w:r>
      <w:r>
        <w:rPr>
          <w:rFonts w:hint="eastAsia" w:ascii="Times New Roman" w:hAnsi="Times New Roman" w:eastAsia="仿宋_GB2312" w:cs="仿宋_GB2312"/>
          <w:color w:val="auto"/>
          <w:sz w:val="32"/>
          <w:szCs w:val="32"/>
          <w:highlight w:val="none"/>
          <w:lang w:val="en-US" w:eastAsia="zh-CN"/>
        </w:rPr>
        <w:t>16</w:t>
      </w:r>
      <w:r>
        <w:rPr>
          <w:rFonts w:hint="eastAsia" w:eastAsia="仿宋_GB2312" w:cs="仿宋_GB2312"/>
          <w:color w:val="auto"/>
          <w:sz w:val="32"/>
          <w:szCs w:val="32"/>
          <w:highlight w:val="none"/>
          <w:lang w:val="en-US" w:eastAsia="zh-CN"/>
        </w:rPr>
        <w:t>52.79</w:t>
      </w:r>
      <w:r>
        <w:rPr>
          <w:rFonts w:hint="eastAsia" w:ascii="Times New Roman" w:hAnsi="Times New Roman" w:eastAsia="仿宋_GB2312" w:cs="仿宋_GB2312"/>
          <w:color w:val="auto"/>
          <w:sz w:val="32"/>
          <w:szCs w:val="32"/>
          <w:highlight w:val="none"/>
          <w:lang w:eastAsia="zh-CN"/>
        </w:rPr>
        <w:t>万元，占总支出的</w:t>
      </w:r>
      <w:r>
        <w:rPr>
          <w:rFonts w:hint="eastAsia" w:ascii="Times New Roman" w:hAnsi="Times New Roman" w:eastAsia="仿宋_GB2312" w:cs="仿宋_GB2312"/>
          <w:color w:val="auto"/>
          <w:sz w:val="32"/>
          <w:szCs w:val="32"/>
          <w:highlight w:val="none"/>
          <w:lang w:val="en-US" w:eastAsia="zh-CN"/>
        </w:rPr>
        <w:t>6.</w:t>
      </w:r>
      <w:r>
        <w:rPr>
          <w:rFonts w:hint="eastAsia"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lang w:eastAsia="zh-CN"/>
        </w:rPr>
        <w:t>%，比去年</w:t>
      </w:r>
      <w:r>
        <w:rPr>
          <w:rFonts w:hint="eastAsia" w:ascii="Times New Roman" w:hAnsi="Times New Roman" w:eastAsia="仿宋_GB2312" w:cs="仿宋_GB2312"/>
          <w:color w:val="auto"/>
          <w:sz w:val="32"/>
          <w:szCs w:val="32"/>
          <w:highlight w:val="none"/>
          <w:lang w:val="en-US" w:eastAsia="zh-CN"/>
        </w:rPr>
        <w:t>减少</w:t>
      </w:r>
      <w:r>
        <w:rPr>
          <w:rFonts w:hint="eastAsia" w:eastAsia="仿宋_GB2312" w:cs="仿宋_GB2312"/>
          <w:color w:val="auto"/>
          <w:sz w:val="32"/>
          <w:szCs w:val="32"/>
          <w:highlight w:val="none"/>
          <w:lang w:val="en-US" w:eastAsia="zh-CN"/>
        </w:rPr>
        <w:t>7.12</w:t>
      </w:r>
      <w:r>
        <w:rPr>
          <w:rFonts w:hint="eastAsia" w:ascii="Times New Roman" w:hAnsi="Times New Roman" w:eastAsia="仿宋_GB2312" w:cs="仿宋_GB2312"/>
          <w:color w:val="auto"/>
          <w:sz w:val="32"/>
          <w:szCs w:val="32"/>
          <w:highlight w:val="none"/>
          <w:lang w:eastAsia="zh-CN"/>
        </w:rPr>
        <w:t>万元，</w:t>
      </w:r>
      <w:r>
        <w:rPr>
          <w:rFonts w:hint="eastAsia" w:ascii="Times New Roman" w:hAnsi="Times New Roman" w:eastAsia="仿宋_GB2312" w:cs="仿宋_GB2312"/>
          <w:color w:val="auto"/>
          <w:sz w:val="32"/>
          <w:szCs w:val="32"/>
          <w:highlight w:val="none"/>
          <w:lang w:val="en-US" w:eastAsia="zh-CN"/>
        </w:rPr>
        <w:t>下降</w:t>
      </w:r>
      <w:r>
        <w:rPr>
          <w:rFonts w:hint="eastAsia" w:eastAsia="仿宋_GB2312" w:cs="仿宋_GB2312"/>
          <w:color w:val="auto"/>
          <w:sz w:val="32"/>
          <w:szCs w:val="32"/>
          <w:highlight w:val="none"/>
          <w:lang w:val="en-US" w:eastAsia="zh-CN"/>
        </w:rPr>
        <w:t>0.4</w:t>
      </w:r>
      <w:r>
        <w:rPr>
          <w:rFonts w:hint="eastAsia" w:ascii="Times New Roman" w:hAnsi="Times New Roman" w:eastAsia="仿宋_GB2312" w:cs="仿宋_GB2312"/>
          <w:color w:val="auto"/>
          <w:sz w:val="32"/>
          <w:szCs w:val="32"/>
          <w:highlight w:val="none"/>
          <w:lang w:eastAsia="zh-CN"/>
        </w:rPr>
        <w:t>%；其他支出</w:t>
      </w:r>
      <w:r>
        <w:rPr>
          <w:rFonts w:hint="eastAsia" w:eastAsia="仿宋_GB2312" w:cs="仿宋_GB2312"/>
          <w:color w:val="auto"/>
          <w:sz w:val="32"/>
          <w:szCs w:val="32"/>
          <w:highlight w:val="none"/>
          <w:lang w:val="en-US" w:eastAsia="zh-CN"/>
        </w:rPr>
        <w:t>205.05万元</w:t>
      </w:r>
      <w:r>
        <w:rPr>
          <w:rFonts w:hint="eastAsia" w:ascii="Times New Roman" w:hAnsi="Times New Roman" w:eastAsia="仿宋_GB2312" w:cs="仿宋_GB2312"/>
          <w:color w:val="auto"/>
          <w:sz w:val="32"/>
          <w:szCs w:val="32"/>
          <w:highlight w:val="none"/>
          <w:lang w:eastAsia="zh-CN"/>
        </w:rPr>
        <w:t>。总支出中人员经费</w:t>
      </w:r>
      <w:r>
        <w:rPr>
          <w:rFonts w:hint="eastAsia" w:eastAsia="仿宋_GB2312" w:cs="仿宋_GB2312"/>
          <w:color w:val="auto"/>
          <w:sz w:val="32"/>
          <w:szCs w:val="32"/>
          <w:highlight w:val="none"/>
          <w:lang w:val="en-US" w:eastAsia="zh-CN"/>
        </w:rPr>
        <w:t>11534.86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总支出</w:t>
      </w:r>
      <w:r>
        <w:rPr>
          <w:rFonts w:hint="eastAsia" w:ascii="Times New Roman" w:hAnsi="Times New Roman" w:eastAsia="仿宋_GB2312" w:cs="仿宋_GB2312"/>
          <w:color w:val="auto"/>
          <w:sz w:val="32"/>
          <w:szCs w:val="32"/>
          <w:highlight w:val="none"/>
          <w:lang w:val="en-US" w:eastAsia="zh-CN"/>
        </w:rPr>
        <w:t>4</w:t>
      </w:r>
      <w:r>
        <w:rPr>
          <w:rFonts w:hint="eastAsia" w:eastAsia="仿宋_GB2312" w:cs="仿宋_GB2312"/>
          <w:color w:val="auto"/>
          <w:sz w:val="32"/>
          <w:szCs w:val="32"/>
          <w:highlight w:val="none"/>
          <w:lang w:val="en-US" w:eastAsia="zh-CN"/>
        </w:rPr>
        <w:t>8.5</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14:paraId="46F67105">
      <w:pPr>
        <w:pStyle w:val="8"/>
        <w:jc w:val="center"/>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2743200"/>
            <wp:effectExtent l="4445" t="4445" r="8255"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3454801">
      <w:pPr>
        <w:spacing w:line="600" w:lineRule="exact"/>
        <w:ind w:firstLine="640" w:firstLineChars="200"/>
        <w:outlineLvl w:val="1"/>
        <w:rPr>
          <w:rStyle w:val="30"/>
          <w:rFonts w:ascii="Times New Roman" w:hAnsi="Times New Roman" w:eastAsia="黑体"/>
          <w:b w:val="0"/>
          <w:color w:val="auto"/>
          <w:highlight w:val="none"/>
        </w:rPr>
      </w:pPr>
      <w:bookmarkStart w:id="12" w:name="_Toc15377208"/>
      <w:bookmarkStart w:id="13"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2"/>
      <w:bookmarkEnd w:id="13"/>
    </w:p>
    <w:p w14:paraId="712105B2">
      <w:pPr>
        <w:ind w:firstLine="800" w:firstLineChars="250"/>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年度财政拨款收入、支出总计均为</w:t>
      </w:r>
      <w:r>
        <w:rPr>
          <w:rFonts w:hint="eastAsia" w:eastAsia="仿宋_GB2312" w:cs="仿宋_GB2312"/>
          <w:color w:val="auto"/>
          <w:sz w:val="32"/>
          <w:szCs w:val="32"/>
          <w:highlight w:val="none"/>
          <w:lang w:val="en-US" w:eastAsia="zh-CN"/>
        </w:rPr>
        <w:t>956.12</w:t>
      </w:r>
      <w:r>
        <w:rPr>
          <w:rFonts w:hint="eastAsia" w:ascii="Times New Roman" w:hAnsi="Times New Roman" w:eastAsia="仿宋_GB2312" w:cs="仿宋_GB2312"/>
          <w:color w:val="auto"/>
          <w:sz w:val="32"/>
          <w:szCs w:val="32"/>
          <w:highlight w:val="none"/>
          <w:lang w:val="en-US" w:eastAsia="zh-CN"/>
        </w:rPr>
        <w:t>万元。</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lang w:eastAsia="zh-CN"/>
        </w:rPr>
        <w:t>年度财政拨款收、支总计均为</w:t>
      </w:r>
      <w:r>
        <w:rPr>
          <w:rFonts w:hint="eastAsia" w:eastAsia="仿宋_GB2312" w:cs="仿宋_GB2312"/>
          <w:color w:val="auto"/>
          <w:sz w:val="32"/>
          <w:szCs w:val="32"/>
          <w:highlight w:val="none"/>
          <w:lang w:val="en-US" w:eastAsia="zh-CN"/>
        </w:rPr>
        <w:t>782.6</w:t>
      </w:r>
      <w:r>
        <w:rPr>
          <w:rFonts w:hint="eastAsia" w:ascii="Times New Roman" w:hAnsi="Times New Roman" w:eastAsia="仿宋_GB2312" w:cs="仿宋_GB2312"/>
          <w:color w:val="auto"/>
          <w:sz w:val="32"/>
          <w:szCs w:val="32"/>
          <w:highlight w:val="none"/>
          <w:lang w:eastAsia="zh-CN"/>
        </w:rPr>
        <w:t>万元。</w:t>
      </w:r>
      <w:r>
        <w:rPr>
          <w:rFonts w:hint="eastAsia" w:ascii="Times New Roman" w:hAnsi="Times New Roman" w:eastAsia="仿宋_GB2312" w:cs="仿宋_GB2312"/>
          <w:color w:val="auto"/>
          <w:sz w:val="32"/>
          <w:szCs w:val="32"/>
          <w:highlight w:val="none"/>
          <w:lang w:val="en-US" w:eastAsia="zh-CN"/>
        </w:rPr>
        <w:t>与202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lang w:val="en-US" w:eastAsia="zh-CN"/>
        </w:rPr>
        <w:t>年度相比，财政拨款收入总计、支出总计各</w:t>
      </w:r>
      <w:r>
        <w:rPr>
          <w:rFonts w:hint="eastAsia" w:eastAsia="仿宋_GB2312" w:cs="仿宋_GB2312"/>
          <w:color w:val="auto"/>
          <w:sz w:val="32"/>
          <w:szCs w:val="32"/>
          <w:highlight w:val="none"/>
          <w:lang w:val="en-US" w:eastAsia="zh-CN"/>
        </w:rPr>
        <w:t>增加173.52</w:t>
      </w:r>
      <w:r>
        <w:rPr>
          <w:rFonts w:hint="eastAsia" w:ascii="Times New Roman" w:hAnsi="Times New Roman" w:eastAsia="仿宋_GB2312" w:cs="仿宋_GB2312"/>
          <w:color w:val="auto"/>
          <w:sz w:val="32"/>
          <w:szCs w:val="32"/>
          <w:highlight w:val="none"/>
          <w:lang w:val="en-US" w:eastAsia="zh-CN"/>
        </w:rPr>
        <w:t>万元。其中，基本</w:t>
      </w:r>
      <w:r>
        <w:rPr>
          <w:rFonts w:hint="eastAsia" w:eastAsia="仿宋_GB2312" w:cs="仿宋_GB2312"/>
          <w:color w:val="auto"/>
          <w:sz w:val="32"/>
          <w:szCs w:val="32"/>
          <w:highlight w:val="none"/>
          <w:lang w:val="en-US" w:eastAsia="zh-CN"/>
        </w:rPr>
        <w:t>支出</w:t>
      </w:r>
      <w:r>
        <w:rPr>
          <w:rFonts w:hint="eastAsia" w:ascii="Times New Roman" w:hAnsi="Times New Roman" w:eastAsia="仿宋_GB2312" w:cs="仿宋_GB2312"/>
          <w:color w:val="auto"/>
          <w:sz w:val="32"/>
          <w:szCs w:val="32"/>
          <w:highlight w:val="none"/>
          <w:lang w:val="en-US" w:eastAsia="zh-CN"/>
        </w:rPr>
        <w:t>拨款</w:t>
      </w:r>
      <w:r>
        <w:rPr>
          <w:rFonts w:hint="eastAsia" w:eastAsia="仿宋_GB2312" w:cs="仿宋_GB2312"/>
          <w:color w:val="auto"/>
          <w:sz w:val="32"/>
          <w:szCs w:val="32"/>
          <w:highlight w:val="none"/>
          <w:lang w:val="en-US" w:eastAsia="zh-CN"/>
        </w:rPr>
        <w:t>比</w:t>
      </w:r>
      <w:r>
        <w:rPr>
          <w:rFonts w:hint="eastAsia" w:ascii="Times New Roman" w:hAnsi="Times New Roman" w:eastAsia="仿宋_GB2312" w:cs="仿宋_GB2312"/>
          <w:color w:val="auto"/>
          <w:sz w:val="32"/>
          <w:szCs w:val="32"/>
          <w:highlight w:val="none"/>
          <w:lang w:val="en-US" w:eastAsia="zh-CN"/>
        </w:rPr>
        <w:t>上年</w:t>
      </w:r>
      <w:r>
        <w:rPr>
          <w:rFonts w:hint="eastAsia" w:eastAsia="仿宋_GB2312" w:cs="仿宋_GB2312"/>
          <w:color w:val="auto"/>
          <w:sz w:val="32"/>
          <w:szCs w:val="32"/>
          <w:highlight w:val="none"/>
          <w:lang w:val="en-US" w:eastAsia="zh-CN"/>
        </w:rPr>
        <w:t>减少134.64万元（主要是事业单位离退休经费补助减少）</w:t>
      </w:r>
      <w:r>
        <w:rPr>
          <w:rFonts w:hint="eastAsia" w:ascii="Times New Roman" w:hAnsi="Times New Roman" w:eastAsia="仿宋_GB2312" w:cs="仿宋_GB2312"/>
          <w:color w:val="auto"/>
          <w:sz w:val="32"/>
          <w:szCs w:val="32"/>
          <w:highlight w:val="none"/>
          <w:lang w:val="en-US" w:eastAsia="zh-CN"/>
        </w:rPr>
        <w:t>，项目</w:t>
      </w:r>
      <w:r>
        <w:rPr>
          <w:rFonts w:hint="eastAsia" w:eastAsia="仿宋_GB2312" w:cs="仿宋_GB2312"/>
          <w:color w:val="auto"/>
          <w:sz w:val="32"/>
          <w:szCs w:val="32"/>
          <w:highlight w:val="none"/>
          <w:lang w:val="en-US" w:eastAsia="zh-CN"/>
        </w:rPr>
        <w:t>支出</w:t>
      </w:r>
      <w:r>
        <w:rPr>
          <w:rFonts w:hint="eastAsia" w:ascii="Times New Roman" w:hAnsi="Times New Roman" w:eastAsia="仿宋_GB2312" w:cs="仿宋_GB2312"/>
          <w:color w:val="auto"/>
          <w:sz w:val="32"/>
          <w:szCs w:val="32"/>
          <w:highlight w:val="none"/>
          <w:lang w:val="en-US" w:eastAsia="zh-CN"/>
        </w:rPr>
        <w:t>拨款</w:t>
      </w:r>
      <w:r>
        <w:rPr>
          <w:rFonts w:hint="eastAsia" w:eastAsia="仿宋_GB2312" w:cs="仿宋_GB2312"/>
          <w:color w:val="auto"/>
          <w:sz w:val="32"/>
          <w:szCs w:val="32"/>
          <w:highlight w:val="none"/>
          <w:lang w:val="en-US" w:eastAsia="zh-CN"/>
        </w:rPr>
        <w:t>增加308.16万元</w:t>
      </w:r>
      <w:r>
        <w:rPr>
          <w:rFonts w:hint="eastAsia" w:ascii="Times New Roman" w:hAnsi="Times New Roman" w:eastAsia="仿宋_GB2312" w:cs="仿宋_GB2312"/>
          <w:color w:val="auto"/>
          <w:sz w:val="32"/>
          <w:szCs w:val="32"/>
          <w:highlight w:val="none"/>
          <w:lang w:val="en-US" w:eastAsia="zh-CN"/>
        </w:rPr>
        <w:t>，主要原因是</w:t>
      </w:r>
      <w:r>
        <w:rPr>
          <w:rFonts w:hint="eastAsia" w:eastAsia="仿宋_GB2312" w:cs="仿宋_GB2312"/>
          <w:color w:val="auto"/>
          <w:sz w:val="32"/>
          <w:szCs w:val="32"/>
          <w:highlight w:val="none"/>
          <w:lang w:val="en-US" w:eastAsia="zh-CN"/>
        </w:rPr>
        <w:t>本年增加了紧缺人才培训项目18万元、新并入基本公共卫生服务项目14.13万元，另外，取消药品加成项目本年拨付了70.6万元，上年未拨付，代管社区分流人员本年拨付了150万元，上年未拨付。</w:t>
      </w:r>
    </w:p>
    <w:p w14:paraId="1085A292">
      <w:pPr>
        <w:pStyle w:val="8"/>
        <w:jc w:val="center"/>
        <w:rPr>
          <w:rFonts w:hint="eastAsia"/>
          <w:lang w:val="en-US" w:eastAsia="zh-CN"/>
        </w:rPr>
      </w:pPr>
      <w:r>
        <w:drawing>
          <wp:inline distT="0" distB="0" distL="114300" distR="114300">
            <wp:extent cx="3945255" cy="1815465"/>
            <wp:effectExtent l="4445" t="4445" r="12700" b="889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4A43750">
      <w:pPr>
        <w:spacing w:line="600" w:lineRule="exact"/>
        <w:ind w:firstLine="640" w:firstLineChars="200"/>
        <w:outlineLvl w:val="1"/>
        <w:rPr>
          <w:rStyle w:val="30"/>
          <w:rFonts w:ascii="Times New Roman" w:hAnsi="Times New Roman" w:eastAsia="黑体"/>
          <w:b w:val="0"/>
          <w:color w:val="auto"/>
          <w:highlight w:val="none"/>
        </w:rPr>
      </w:pPr>
      <w:bookmarkStart w:id="14" w:name="_Toc15396607"/>
      <w:bookmarkStart w:id="15"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14"/>
      <w:bookmarkEnd w:id="15"/>
    </w:p>
    <w:p w14:paraId="7DF24CB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16"/>
    </w:p>
    <w:p w14:paraId="3A54EAF3">
      <w:pPr>
        <w:ind w:firstLine="800" w:firstLineChars="250"/>
        <w:rPr>
          <w:rFonts w:hint="default"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2025年度一般公共预算财政拨款支出956.12万元，占本年支出合计的4%。与2024年度相比，一般公共预算财政拨款支出增加173.52万元，</w:t>
      </w:r>
      <w:r>
        <w:rPr>
          <w:rFonts w:hint="eastAsia" w:ascii="Times New Roman" w:hAnsi="Times New Roman" w:eastAsia="仿宋_GB2312" w:cs="仿宋_GB2312"/>
          <w:color w:val="auto"/>
          <w:sz w:val="32"/>
          <w:szCs w:val="32"/>
          <w:highlight w:val="none"/>
          <w:lang w:val="en-US" w:eastAsia="zh-CN"/>
        </w:rPr>
        <w:t>其中，基本</w:t>
      </w:r>
      <w:r>
        <w:rPr>
          <w:rFonts w:hint="eastAsia" w:eastAsia="仿宋_GB2312" w:cs="仿宋_GB2312"/>
          <w:color w:val="auto"/>
          <w:sz w:val="32"/>
          <w:szCs w:val="32"/>
          <w:highlight w:val="none"/>
          <w:lang w:val="en-US" w:eastAsia="zh-CN"/>
        </w:rPr>
        <w:t>支出</w:t>
      </w:r>
      <w:r>
        <w:rPr>
          <w:rFonts w:hint="eastAsia" w:ascii="Times New Roman" w:hAnsi="Times New Roman" w:eastAsia="仿宋_GB2312" w:cs="仿宋_GB2312"/>
          <w:color w:val="auto"/>
          <w:sz w:val="32"/>
          <w:szCs w:val="32"/>
          <w:highlight w:val="none"/>
          <w:lang w:val="en-US" w:eastAsia="zh-CN"/>
        </w:rPr>
        <w:t>拨款</w:t>
      </w:r>
      <w:r>
        <w:rPr>
          <w:rFonts w:hint="eastAsia" w:eastAsia="仿宋_GB2312" w:cs="仿宋_GB2312"/>
          <w:color w:val="auto"/>
          <w:sz w:val="32"/>
          <w:szCs w:val="32"/>
          <w:highlight w:val="none"/>
          <w:lang w:val="en-US" w:eastAsia="zh-CN"/>
        </w:rPr>
        <w:t>比</w:t>
      </w:r>
      <w:r>
        <w:rPr>
          <w:rFonts w:hint="eastAsia" w:ascii="Times New Roman" w:hAnsi="Times New Roman" w:eastAsia="仿宋_GB2312" w:cs="仿宋_GB2312"/>
          <w:color w:val="auto"/>
          <w:sz w:val="32"/>
          <w:szCs w:val="32"/>
          <w:highlight w:val="none"/>
          <w:lang w:val="en-US" w:eastAsia="zh-CN"/>
        </w:rPr>
        <w:t>上年</w:t>
      </w:r>
      <w:r>
        <w:rPr>
          <w:rFonts w:hint="eastAsia" w:eastAsia="仿宋_GB2312" w:cs="仿宋_GB2312"/>
          <w:color w:val="auto"/>
          <w:sz w:val="32"/>
          <w:szCs w:val="32"/>
          <w:highlight w:val="none"/>
          <w:lang w:val="en-US" w:eastAsia="zh-CN"/>
        </w:rPr>
        <w:t>减少134.64万元（主要是事业单位离退休经费补助减少）</w:t>
      </w:r>
      <w:r>
        <w:rPr>
          <w:rFonts w:hint="eastAsia" w:ascii="Times New Roman" w:hAnsi="Times New Roman" w:eastAsia="仿宋_GB2312" w:cs="仿宋_GB2312"/>
          <w:color w:val="auto"/>
          <w:sz w:val="32"/>
          <w:szCs w:val="32"/>
          <w:highlight w:val="none"/>
          <w:lang w:val="en-US" w:eastAsia="zh-CN"/>
        </w:rPr>
        <w:t>，项目</w:t>
      </w:r>
      <w:r>
        <w:rPr>
          <w:rFonts w:hint="eastAsia" w:eastAsia="仿宋_GB2312" w:cs="仿宋_GB2312"/>
          <w:color w:val="auto"/>
          <w:sz w:val="32"/>
          <w:szCs w:val="32"/>
          <w:highlight w:val="none"/>
          <w:lang w:val="en-US" w:eastAsia="zh-CN"/>
        </w:rPr>
        <w:t>支出</w:t>
      </w:r>
      <w:r>
        <w:rPr>
          <w:rFonts w:hint="eastAsia" w:ascii="Times New Roman" w:hAnsi="Times New Roman" w:eastAsia="仿宋_GB2312" w:cs="仿宋_GB2312"/>
          <w:color w:val="auto"/>
          <w:sz w:val="32"/>
          <w:szCs w:val="32"/>
          <w:highlight w:val="none"/>
          <w:lang w:val="en-US" w:eastAsia="zh-CN"/>
        </w:rPr>
        <w:t>拨款</w:t>
      </w:r>
      <w:r>
        <w:rPr>
          <w:rFonts w:hint="eastAsia" w:eastAsia="仿宋_GB2312" w:cs="仿宋_GB2312"/>
          <w:color w:val="auto"/>
          <w:sz w:val="32"/>
          <w:szCs w:val="32"/>
          <w:highlight w:val="none"/>
          <w:lang w:val="en-US" w:eastAsia="zh-CN"/>
        </w:rPr>
        <w:t>增加308.16万元</w:t>
      </w:r>
      <w:r>
        <w:rPr>
          <w:rFonts w:hint="eastAsia" w:ascii="Times New Roman" w:hAnsi="Times New Roman" w:eastAsia="仿宋_GB2312" w:cs="仿宋_GB2312"/>
          <w:color w:val="auto"/>
          <w:sz w:val="32"/>
          <w:szCs w:val="32"/>
          <w:highlight w:val="none"/>
          <w:lang w:val="en-US" w:eastAsia="zh-CN"/>
        </w:rPr>
        <w:t>，主要原因是</w:t>
      </w:r>
      <w:r>
        <w:rPr>
          <w:rFonts w:hint="eastAsia" w:eastAsia="仿宋_GB2312" w:cs="仿宋_GB2312"/>
          <w:color w:val="auto"/>
          <w:sz w:val="32"/>
          <w:szCs w:val="32"/>
          <w:highlight w:val="none"/>
          <w:lang w:val="en-US" w:eastAsia="zh-CN"/>
        </w:rPr>
        <w:t>本年增加了紧缺人才培训项目18万元、新并入基本公共卫生服务项目14.13万元，另外，取消药品加成项目本年拨付了70.6万元，上年未拨付，代管社区分流人员本年拨付了150万元，上年未拨付。</w:t>
      </w:r>
    </w:p>
    <w:p w14:paraId="69FD9BF0">
      <w:pPr>
        <w:spacing w:line="240" w:lineRule="auto"/>
        <w:ind w:firstLine="0"/>
        <w:jc w:val="cente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650105" cy="2132330"/>
            <wp:effectExtent l="5080" t="4445" r="12065" b="15875"/>
            <wp:docPr id="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552FFB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17"/>
    </w:p>
    <w:p w14:paraId="07D8D2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956.12</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2.66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516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437.46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45.7</w:t>
      </w:r>
      <w:r>
        <w:rPr>
          <w:rFonts w:hint="eastAsia" w:ascii="Times New Roman" w:hAnsi="Times New Roman" w:eastAsia="仿宋_GB2312" w:cs="仿宋_GB2312"/>
          <w:color w:val="auto"/>
          <w:kern w:val="2"/>
          <w:sz w:val="32"/>
          <w:szCs w:val="32"/>
          <w:highlight w:val="none"/>
          <w:lang w:val="en-US" w:eastAsia="zh-CN" w:bidi="ar-SA"/>
        </w:rPr>
        <w:t>%；</w:t>
      </w:r>
    </w:p>
    <w:p w14:paraId="3648FD8B">
      <w:pPr>
        <w:pStyle w:val="8"/>
        <w:jc w:val="center"/>
        <w:rPr>
          <w:rFonts w:hint="eastAsia"/>
          <w:lang w:val="en-US" w:eastAsia="zh-CN"/>
        </w:rPr>
      </w:pPr>
      <w:r>
        <w:drawing>
          <wp:inline distT="0" distB="0" distL="114300" distR="114300">
            <wp:extent cx="4497070" cy="2061210"/>
            <wp:effectExtent l="5080" t="4445" r="12700" b="1079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72EAC1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18"/>
    </w:p>
    <w:p w14:paraId="252DBC24">
      <w:pPr>
        <w:spacing w:line="240" w:lineRule="auto"/>
        <w:ind w:firstLine="640" w:firstLineChars="200"/>
        <w:rPr>
          <w:rFonts w:hint="eastAsia" w:ascii="Times New Roman" w:hAnsi="Times New Roman" w:eastAsia="仿宋_GB2312" w:cs="仿宋_GB2312"/>
          <w:color w:val="auto"/>
          <w:kern w:val="2"/>
          <w:sz w:val="32"/>
          <w:szCs w:val="32"/>
          <w:highlight w:val="none"/>
          <w:lang w:val="en-US" w:eastAsia="zh-CN" w:bidi="ar-SA"/>
        </w:rPr>
      </w:pPr>
      <w:bookmarkStart w:id="19" w:name="_Toc15377444"/>
      <w:bookmarkStart w:id="20" w:name="_Toc15378460"/>
      <w:bookmarkStart w:id="21" w:name="_Toc15377213"/>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eastAsia="仿宋_GB2312" w:cs="仿宋_GB2312"/>
          <w:color w:val="auto"/>
          <w:kern w:val="2"/>
          <w:sz w:val="32"/>
          <w:szCs w:val="32"/>
          <w:highlight w:val="none"/>
          <w:lang w:val="en-US" w:eastAsia="zh-CN" w:bidi="ar-SA"/>
        </w:rPr>
        <w:t>956.12万元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19"/>
      <w:bookmarkEnd w:id="20"/>
      <w:bookmarkEnd w:id="21"/>
    </w:p>
    <w:p w14:paraId="1BBB8153">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支出决算2.66万元：主要用于市级挂职干部补助</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2.66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53AB89A">
      <w:pPr>
        <w:numPr>
          <w:ilvl w:val="0"/>
          <w:numId w:val="2"/>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决算</w:t>
      </w:r>
      <w:r>
        <w:rPr>
          <w:rFonts w:hint="eastAsia" w:eastAsia="仿宋_GB2312" w:cs="仿宋_GB2312"/>
          <w:color w:val="auto"/>
          <w:kern w:val="2"/>
          <w:sz w:val="32"/>
          <w:szCs w:val="32"/>
          <w:highlight w:val="none"/>
          <w:lang w:val="en-US" w:eastAsia="zh-CN" w:bidi="ar-SA"/>
        </w:rPr>
        <w:t>516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：主要用于事业单位离退休支出500.39万元，死亡抚恤支出15.61万元，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5AF2388">
      <w:pPr>
        <w:numPr>
          <w:ilvl w:val="0"/>
          <w:numId w:val="2"/>
        </w:num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决算</w:t>
      </w:r>
      <w:r>
        <w:rPr>
          <w:rFonts w:hint="eastAsia" w:eastAsia="仿宋_GB2312" w:cs="仿宋_GB2312"/>
          <w:color w:val="auto"/>
          <w:kern w:val="2"/>
          <w:sz w:val="32"/>
          <w:szCs w:val="32"/>
          <w:highlight w:val="none"/>
          <w:lang w:val="en-US" w:eastAsia="zh-CN" w:bidi="ar-SA"/>
        </w:rPr>
        <w:t>437.46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：主要用于取消药品加成项目支出70.6万元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基本公共生服务项目支出1.09万元，新并入基本公共卫生服务-按人口因素分配项目支出13.23万元，新并入基本公共卫生服务-职业病防治项目支出0.9万元，艾滋病防治（专项）项目支出5.5万元，重点传染病及健康危害因素监测（专项）项目支出1.3万元，代管社区分流人员项目支出150万元，医疗服务与保障能力提升（公立医院综合改革）项目支出52万元，医疗服务与保障能力提升（医疗卫生机构能力建设）项目支出50万元，紧缺人才培训项目支出14.47万元，医疗卫生辅助岗项目支出2万元，人才专项经费（全市）项目支出76.36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0890D58">
      <w:pPr>
        <w:tabs>
          <w:tab w:val="right" w:pos="8306"/>
        </w:tabs>
        <w:spacing w:line="600" w:lineRule="exact"/>
        <w:ind w:firstLine="640" w:firstLineChars="200"/>
        <w:outlineLvl w:val="1"/>
        <w:rPr>
          <w:rStyle w:val="30"/>
          <w:rFonts w:ascii="Times New Roman" w:hAnsi="Times New Roman"/>
          <w:color w:val="auto"/>
          <w:highlight w:val="none"/>
        </w:rPr>
      </w:pPr>
      <w:bookmarkStart w:id="22" w:name="_Toc15377214"/>
      <w:bookmarkStart w:id="23"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2"/>
      <w:bookmarkEnd w:id="23"/>
      <w:r>
        <w:rPr>
          <w:rStyle w:val="30"/>
          <w:rFonts w:ascii="Times New Roman" w:hAnsi="Times New Roman" w:eastAsia="黑体"/>
          <w:b w:val="0"/>
          <w:color w:val="auto"/>
          <w:highlight w:val="none"/>
        </w:rPr>
        <w:tab/>
      </w:r>
    </w:p>
    <w:p w14:paraId="2F2B69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eastAsia="仿宋_GB2312" w:cs="仿宋_GB2312"/>
          <w:color w:val="auto"/>
          <w:kern w:val="2"/>
          <w:sz w:val="32"/>
          <w:szCs w:val="32"/>
          <w:highlight w:val="none"/>
          <w:lang w:val="en-US" w:eastAsia="zh-CN" w:bidi="ar-SA"/>
        </w:rPr>
        <w:t>516</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5F8841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人员经费511.42万元，</w:t>
      </w:r>
      <w:r>
        <w:rPr>
          <w:rFonts w:hint="eastAsia" w:ascii="Times New Roman" w:hAnsi="Times New Roman" w:eastAsia="仿宋_GB2312" w:cs="仿宋_GB2312"/>
          <w:color w:val="auto"/>
          <w:kern w:val="2"/>
          <w:sz w:val="32"/>
          <w:szCs w:val="32"/>
          <w:highlight w:val="none"/>
          <w:lang w:val="en-US" w:eastAsia="zh-CN" w:bidi="ar-SA"/>
        </w:rPr>
        <w:t>主要包括：</w:t>
      </w:r>
      <w:r>
        <w:rPr>
          <w:rFonts w:hint="eastAsia" w:eastAsia="仿宋_GB2312" w:cs="仿宋_GB2312"/>
          <w:color w:val="auto"/>
          <w:kern w:val="2"/>
          <w:sz w:val="32"/>
          <w:szCs w:val="32"/>
          <w:highlight w:val="none"/>
          <w:lang w:val="en-US" w:eastAsia="zh-CN" w:bidi="ar-SA"/>
        </w:rPr>
        <w:t>支付</w:t>
      </w:r>
      <w:r>
        <w:rPr>
          <w:rFonts w:hint="eastAsia" w:ascii="Times New Roman" w:hAnsi="Times New Roman" w:eastAsia="仿宋_GB2312" w:cs="仿宋_GB2312"/>
          <w:color w:val="auto"/>
          <w:kern w:val="2"/>
          <w:sz w:val="32"/>
          <w:szCs w:val="32"/>
          <w:highlight w:val="none"/>
          <w:lang w:val="en-US" w:eastAsia="zh-CN" w:bidi="ar-SA"/>
        </w:rPr>
        <w:t>抚恤金</w:t>
      </w:r>
      <w:r>
        <w:rPr>
          <w:rFonts w:hint="eastAsia" w:eastAsia="仿宋_GB2312" w:cs="仿宋_GB2312"/>
          <w:color w:val="auto"/>
          <w:kern w:val="2"/>
          <w:sz w:val="32"/>
          <w:szCs w:val="32"/>
          <w:highlight w:val="none"/>
          <w:lang w:val="en-US" w:eastAsia="zh-CN" w:bidi="ar-SA"/>
        </w:rPr>
        <w:t>15.61万元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支付退休</w:t>
      </w:r>
      <w:r>
        <w:rPr>
          <w:rFonts w:hint="eastAsia" w:ascii="Times New Roman" w:hAnsi="Times New Roman" w:eastAsia="仿宋_GB2312" w:cs="仿宋_GB2312"/>
          <w:color w:val="auto"/>
          <w:kern w:val="2"/>
          <w:sz w:val="32"/>
          <w:szCs w:val="32"/>
          <w:highlight w:val="none"/>
          <w:lang w:val="en-US" w:eastAsia="zh-CN" w:bidi="ar-SA"/>
        </w:rPr>
        <w:t>生活补助</w:t>
      </w:r>
      <w:r>
        <w:rPr>
          <w:rFonts w:hint="eastAsia" w:eastAsia="仿宋_GB2312" w:cs="仿宋_GB2312"/>
          <w:color w:val="auto"/>
          <w:kern w:val="2"/>
          <w:sz w:val="32"/>
          <w:szCs w:val="32"/>
          <w:highlight w:val="none"/>
          <w:lang w:val="en-US" w:eastAsia="zh-CN" w:bidi="ar-SA"/>
        </w:rPr>
        <w:t>464.1万元</w:t>
      </w:r>
      <w:r>
        <w:rPr>
          <w:rFonts w:hint="eastAsia" w:ascii="Times New Roman" w:hAnsi="Times New Roman" w:eastAsia="仿宋_GB2312" w:cs="仿宋_GB2312"/>
          <w:color w:val="auto"/>
          <w:kern w:val="2"/>
          <w:sz w:val="32"/>
          <w:szCs w:val="32"/>
          <w:highlight w:val="none"/>
          <w:lang w:val="en-US" w:eastAsia="zh-CN" w:bidi="ar-SA"/>
        </w:rPr>
        <w:t>、医疗费补助</w:t>
      </w:r>
      <w:r>
        <w:rPr>
          <w:rFonts w:hint="eastAsia" w:eastAsia="仿宋_GB2312" w:cs="仿宋_GB2312"/>
          <w:color w:val="auto"/>
          <w:kern w:val="2"/>
          <w:sz w:val="32"/>
          <w:szCs w:val="32"/>
          <w:highlight w:val="none"/>
          <w:lang w:val="en-US" w:eastAsia="zh-CN" w:bidi="ar-SA"/>
        </w:rPr>
        <w:t>31.71万元。</w:t>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4.58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w:t>
      </w:r>
      <w:r>
        <w:rPr>
          <w:rFonts w:hint="eastAsia" w:eastAsia="仿宋_GB2312" w:cs="仿宋_GB2312"/>
          <w:color w:val="auto"/>
          <w:kern w:val="2"/>
          <w:sz w:val="32"/>
          <w:szCs w:val="32"/>
          <w:highlight w:val="none"/>
          <w:lang w:val="en-US" w:eastAsia="zh-CN" w:bidi="ar-SA"/>
        </w:rPr>
        <w:t>是离退休公用经费4.58万元</w:t>
      </w:r>
      <w:r>
        <w:rPr>
          <w:rFonts w:hint="eastAsia" w:ascii="Times New Roman" w:hAnsi="Times New Roman" w:eastAsia="仿宋_GB2312" w:cs="仿宋_GB2312"/>
          <w:color w:val="auto"/>
          <w:kern w:val="2"/>
          <w:sz w:val="32"/>
          <w:szCs w:val="32"/>
          <w:highlight w:val="none"/>
          <w:lang w:val="en-US" w:eastAsia="zh-CN" w:bidi="ar-SA"/>
        </w:rPr>
        <w:t>。</w:t>
      </w:r>
    </w:p>
    <w:p w14:paraId="7215153F">
      <w:pPr>
        <w:spacing w:line="600" w:lineRule="exact"/>
        <w:ind w:firstLine="640"/>
        <w:outlineLvl w:val="1"/>
        <w:rPr>
          <w:rStyle w:val="30"/>
          <w:rFonts w:ascii="Times New Roman" w:hAnsi="Times New Roman" w:eastAsia="黑体"/>
          <w:b w:val="0"/>
          <w:color w:val="auto"/>
          <w:highlight w:val="none"/>
        </w:rPr>
      </w:pPr>
      <w:bookmarkStart w:id="24" w:name="_Toc15377215"/>
      <w:bookmarkStart w:id="25"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24"/>
      <w:bookmarkEnd w:id="25"/>
    </w:p>
    <w:p w14:paraId="12AE1C1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26"/>
    </w:p>
    <w:p w14:paraId="6277D9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 w:hAnsi="仿宋" w:eastAsia="仿宋"/>
          <w:color w:val="auto"/>
          <w:sz w:val="32"/>
          <w:szCs w:val="32"/>
          <w:highlight w:val="none"/>
          <w:lang w:val="en-US" w:eastAsia="zh-CN"/>
        </w:rPr>
        <w:t>2025年未安排</w:t>
      </w:r>
      <w:r>
        <w:rPr>
          <w:rFonts w:hint="eastAsia" w:ascii="仿宋" w:hAnsi="仿宋" w:eastAsia="仿宋"/>
          <w:color w:val="auto"/>
          <w:sz w:val="32"/>
          <w:szCs w:val="32"/>
          <w:highlight w:val="none"/>
        </w:rPr>
        <w:t>“三公”经费财政拨款支出</w:t>
      </w:r>
      <w:r>
        <w:rPr>
          <w:rFonts w:hint="eastAsia" w:ascii="仿宋" w:hAnsi="仿宋" w:eastAsia="仿宋"/>
          <w:color w:val="auto"/>
          <w:sz w:val="32"/>
          <w:szCs w:val="32"/>
          <w:highlight w:val="none"/>
          <w:lang w:val="en-US" w:eastAsia="zh-CN"/>
        </w:rPr>
        <w:t>预算</w:t>
      </w:r>
      <w:r>
        <w:rPr>
          <w:rFonts w:hint="eastAsia" w:ascii="仿宋" w:hAnsi="仿宋" w:eastAsia="仿宋"/>
          <w:color w:val="auto"/>
          <w:sz w:val="32"/>
          <w:szCs w:val="32"/>
          <w:highlight w:val="none"/>
        </w:rPr>
        <w:t>。</w:t>
      </w:r>
    </w:p>
    <w:p w14:paraId="60A7309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7"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27"/>
    </w:p>
    <w:p w14:paraId="71650B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17FB03FC">
      <w:pPr>
        <w:numPr>
          <w:ilvl w:val="0"/>
          <w:numId w:val="3"/>
        </w:num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57088AA8">
      <w:pPr>
        <w:numPr>
          <w:ilvl w:val="0"/>
          <w:numId w:val="0"/>
        </w:numPr>
        <w:spacing w:line="600" w:lineRule="exact"/>
        <w:rPr>
          <w:rFonts w:ascii="仿宋_GB2312" w:eastAsia="仿宋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rPr>
        <w:t>因公出国（境）支出决算</w:t>
      </w:r>
      <w:r>
        <w:rPr>
          <w:rFonts w:hint="eastAsia" w:ascii="仿宋_GB2312" w:eastAsia="仿宋_GB2312"/>
          <w:color w:val="auto"/>
          <w:sz w:val="32"/>
          <w:szCs w:val="32"/>
          <w:highlight w:val="none"/>
          <w:lang w:val="en-US" w:eastAsia="zh-CN"/>
        </w:rPr>
        <w:t>与</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持平</w:t>
      </w:r>
      <w:r>
        <w:rPr>
          <w:rFonts w:hint="eastAsia" w:ascii="仿宋_GB2312" w:eastAsia="仿宋_GB2312"/>
          <w:color w:val="auto"/>
          <w:sz w:val="32"/>
          <w:szCs w:val="32"/>
          <w:highlight w:val="none"/>
        </w:rPr>
        <w:t>。</w:t>
      </w:r>
    </w:p>
    <w:p w14:paraId="7AA87F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29CA2DC">
      <w:pPr>
        <w:numPr>
          <w:ilvl w:val="0"/>
          <w:numId w:val="0"/>
        </w:numPr>
        <w:spacing w:line="600" w:lineRule="exact"/>
        <w:ind w:left="640" w:leftChars="0"/>
        <w:jc w:val="left"/>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42DEB691">
      <w:pPr>
        <w:numPr>
          <w:ilvl w:val="0"/>
          <w:numId w:val="0"/>
        </w:numPr>
        <w:spacing w:line="600" w:lineRule="exact"/>
        <w:ind w:left="640" w:leftChars="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bookmarkStart w:id="28" w:name="_Toc15396610"/>
      <w:bookmarkStart w:id="29" w:name="_Toc15377218"/>
    </w:p>
    <w:p w14:paraId="6A36BF99">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28"/>
      <w:bookmarkEnd w:id="29"/>
    </w:p>
    <w:p w14:paraId="10A25C8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万元。与2024年度持平。</w:t>
      </w:r>
    </w:p>
    <w:p w14:paraId="46C00686">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0" w:name="_Toc15396611"/>
      <w:bookmarkStart w:id="31"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0"/>
      <w:bookmarkEnd w:id="31"/>
    </w:p>
    <w:p w14:paraId="1F7E9B1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持平。</w:t>
      </w:r>
    </w:p>
    <w:p w14:paraId="394E1C41">
      <w:pPr>
        <w:numPr>
          <w:ilvl w:val="0"/>
          <w:numId w:val="0"/>
        </w:numPr>
        <w:spacing w:line="600" w:lineRule="exact"/>
        <w:ind w:firstLine="640" w:firstLineChars="200"/>
        <w:outlineLvl w:val="1"/>
        <w:rPr>
          <w:rStyle w:val="30"/>
          <w:rFonts w:hint="eastAsia" w:ascii="Times New Roman" w:hAnsi="Times New Roman" w:eastAsia="黑体"/>
          <w:b w:val="0"/>
          <w:color w:val="auto"/>
          <w:highlight w:val="none"/>
        </w:rPr>
      </w:pPr>
      <w:bookmarkStart w:id="32" w:name="_Toc15377221"/>
      <w:bookmarkStart w:id="33"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2"/>
      <w:bookmarkEnd w:id="33"/>
    </w:p>
    <w:p w14:paraId="124030C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22"/>
      <w:r>
        <w:rPr>
          <w:rFonts w:hint="eastAsia" w:ascii="Times New Roman" w:hAnsi="Times New Roman" w:eastAsia="楷体_GB2312" w:cs="楷体_GB2312"/>
          <w:b/>
          <w:color w:val="auto"/>
          <w:sz w:val="32"/>
          <w:szCs w:val="32"/>
          <w:highlight w:val="none"/>
        </w:rPr>
        <w:t>（一）机关运行经费支出情况</w:t>
      </w:r>
      <w:bookmarkEnd w:id="34"/>
    </w:p>
    <w:p w14:paraId="7C247B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攀枝花市第二人民医院</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ascii="仿宋_GB2312" w:eastAsia="仿宋_GB2312"/>
          <w:color w:val="auto"/>
          <w:sz w:val="32"/>
          <w:szCs w:val="32"/>
          <w:highlight w:val="none"/>
        </w:rPr>
        <w:t>与</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年决算数持平</w:t>
      </w:r>
      <w:r>
        <w:rPr>
          <w:rFonts w:hint="eastAsia" w:ascii="仿宋_GB2312" w:eastAsia="仿宋_GB2312"/>
          <w:color w:val="auto"/>
          <w:sz w:val="32"/>
          <w:szCs w:val="32"/>
          <w:highlight w:val="none"/>
          <w:lang w:eastAsia="zh-CN"/>
        </w:rPr>
        <w:t>。</w:t>
      </w:r>
    </w:p>
    <w:p w14:paraId="404153E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23"/>
      <w:r>
        <w:rPr>
          <w:rFonts w:hint="eastAsia" w:ascii="Times New Roman" w:hAnsi="Times New Roman" w:eastAsia="楷体_GB2312" w:cs="楷体_GB2312"/>
          <w:b/>
          <w:color w:val="auto"/>
          <w:sz w:val="32"/>
          <w:szCs w:val="32"/>
          <w:highlight w:val="none"/>
        </w:rPr>
        <w:t>（二）政府采购支出情况</w:t>
      </w:r>
      <w:bookmarkEnd w:id="35"/>
    </w:p>
    <w:p w14:paraId="668C4E0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rPr>
        <w:t>攀枝花市第二人民医院</w:t>
      </w:r>
      <w:r>
        <w:rPr>
          <w:rFonts w:hint="eastAsia" w:ascii="仿宋_GB2312" w:hAnsi="仿宋_GB2312" w:eastAsia="仿宋_GB2312" w:cs="仿宋_GB2312"/>
          <w:color w:val="auto"/>
          <w:kern w:val="2"/>
          <w:sz w:val="32"/>
          <w:szCs w:val="32"/>
          <w:highlight w:val="none"/>
          <w:lang w:val="en-US" w:eastAsia="zh-CN" w:bidi="ar-SA"/>
        </w:rPr>
        <w:t>政府采购支出总额339.78万元，其中：政府采购货物支出289.78万元、政府采购工程支出</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color w:val="auto"/>
          <w:kern w:val="2"/>
          <w:sz w:val="32"/>
          <w:szCs w:val="32"/>
          <w:highlight w:val="none"/>
          <w:lang w:val="en-US" w:eastAsia="zh-CN" w:bidi="ar-SA"/>
        </w:rPr>
        <w:t>万元、政府采购服务支出50万元。</w:t>
      </w:r>
      <w:r>
        <w:rPr>
          <w:rFonts w:hint="eastAsia" w:ascii="仿宋_GB2312" w:eastAsia="仿宋_GB2312"/>
          <w:color w:val="auto"/>
          <w:sz w:val="32"/>
          <w:szCs w:val="32"/>
          <w:highlight w:val="none"/>
        </w:rPr>
        <w:t>主要用于</w:t>
      </w:r>
      <w:r>
        <w:rPr>
          <w:rFonts w:hint="default" w:ascii="Times New Roman" w:hAnsi="Times New Roman" w:cs="Times New Roman"/>
          <w:sz w:val="30"/>
          <w:szCs w:val="30"/>
          <w:highlight w:val="none"/>
        </w:rPr>
        <w:t>主</w:t>
      </w:r>
      <w:r>
        <w:rPr>
          <w:rFonts w:hint="default" w:ascii="仿宋_GB2312" w:hAnsi="仿宋_GB2312" w:eastAsia="仿宋_GB2312" w:cs="仿宋_GB2312"/>
          <w:color w:val="auto"/>
          <w:kern w:val="2"/>
          <w:sz w:val="32"/>
          <w:szCs w:val="32"/>
          <w:highlight w:val="none"/>
          <w:lang w:val="en-US" w:eastAsia="zh-CN" w:bidi="ar-SA"/>
        </w:rPr>
        <w:t>要用于医疗设备和办公设备购置</w:t>
      </w:r>
      <w:r>
        <w:rPr>
          <w:rFonts w:hint="eastAsia" w:ascii="仿宋_GB2312" w:hAnsi="仿宋_GB2312" w:eastAsia="仿宋_GB2312" w:cs="仿宋_GB2312"/>
          <w:color w:val="auto"/>
          <w:kern w:val="2"/>
          <w:sz w:val="32"/>
          <w:szCs w:val="32"/>
          <w:highlight w:val="none"/>
          <w:lang w:val="en-US" w:eastAsia="zh-CN" w:bidi="ar-SA"/>
        </w:rPr>
        <w:t>。授予中小企业合同金额282.35万元，占政府采购支出总额的83.1%，其中：授予小微企业合同金额102.35万元，占政府采购支出总额的30.1%。</w:t>
      </w:r>
    </w:p>
    <w:p w14:paraId="70BD3AB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24"/>
      <w:r>
        <w:rPr>
          <w:rFonts w:hint="eastAsia" w:ascii="Times New Roman" w:hAnsi="Times New Roman" w:eastAsia="楷体_GB2312" w:cs="楷体_GB2312"/>
          <w:b/>
          <w:color w:val="auto"/>
          <w:sz w:val="32"/>
          <w:szCs w:val="32"/>
          <w:highlight w:val="none"/>
        </w:rPr>
        <w:t>（三）国有资产占有使用情况</w:t>
      </w:r>
      <w:bookmarkEnd w:id="36"/>
    </w:p>
    <w:p w14:paraId="3FC30C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攀枝花市第二人民医院</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7</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辆、特种专业技术用车5辆，主要是用于</w:t>
      </w:r>
      <w:r>
        <w:rPr>
          <w:rFonts w:hint="default" w:ascii="仿宋_GB2312" w:hAnsi="仿宋_GB2312" w:eastAsia="仿宋_GB2312" w:cs="仿宋_GB2312"/>
          <w:color w:val="auto"/>
          <w:kern w:val="2"/>
          <w:sz w:val="32"/>
          <w:szCs w:val="32"/>
          <w:highlight w:val="none"/>
          <w:lang w:val="en-US" w:eastAsia="zh-CN" w:bidi="ar-SA"/>
        </w:rPr>
        <w:t>医疗救护</w:t>
      </w:r>
      <w:r>
        <w:rPr>
          <w:rFonts w:hint="eastAsia" w:ascii="仿宋_GB2312" w:hAnsi="仿宋_GB2312" w:eastAsia="仿宋_GB2312" w:cs="仿宋_GB2312"/>
          <w:color w:val="auto"/>
          <w:kern w:val="2"/>
          <w:sz w:val="32"/>
          <w:szCs w:val="32"/>
          <w:highlight w:val="none"/>
          <w:lang w:val="en-US" w:eastAsia="zh-CN" w:bidi="ar-SA"/>
        </w:rPr>
        <w:t>，其他用车2辆，主要用于</w:t>
      </w:r>
      <w:r>
        <w:rPr>
          <w:rFonts w:hint="default" w:ascii="仿宋_GB2312" w:hAnsi="仿宋_GB2312" w:eastAsia="仿宋_GB2312" w:cs="仿宋_GB2312"/>
          <w:color w:val="auto"/>
          <w:kern w:val="2"/>
          <w:sz w:val="32"/>
          <w:szCs w:val="32"/>
          <w:highlight w:val="none"/>
          <w:lang w:val="en-US" w:eastAsia="zh-CN" w:bidi="ar-SA"/>
        </w:rPr>
        <w:t>公务使用。</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45C2B74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1CC22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在2025年度预算编制阶段，组织对医疗服务与保障能力提升（公立医院综合改革）、医疗服务与保障能力提升（医疗卫生机构能力建设）、紧缺人才培训、新并入基本公共卫生服务-按人口因素分配等13个项目开展了预算事前绩效评估，对13个项目编制了绩效目标，预算执行过程中，选取13个项目开展绩效监控，组织对13个项目开展绩效自评，绩效自评表详见第四部分附件。</w:t>
      </w:r>
    </w:p>
    <w:p w14:paraId="348B91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0EA70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37" w:name="_Toc15377225"/>
      <w:bookmarkStart w:id="38"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37"/>
      <w:bookmarkEnd w:id="38"/>
    </w:p>
    <w:p w14:paraId="73D1E197">
      <w:pPr>
        <w:spacing w:line="600" w:lineRule="exact"/>
        <w:jc w:val="left"/>
        <w:rPr>
          <w:rFonts w:ascii="Times New Roman" w:hAnsi="Times New Roman"/>
          <w:b/>
          <w:color w:val="auto"/>
          <w:sz w:val="44"/>
          <w:szCs w:val="44"/>
          <w:highlight w:val="none"/>
        </w:rPr>
      </w:pPr>
    </w:p>
    <w:p w14:paraId="7BF9ECB6">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bookmarkStart w:id="39"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1.财政拨款收入：指单位从同级财政部门取得的财政预算资金，包括基本拨款收入和项目拨款收入。</w:t>
      </w:r>
    </w:p>
    <w:p w14:paraId="028E19A2">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2.事业收入：指事业单位开展专业业务活动及辅助活动取得的收入。不包括从同级政府部门取得的各类财政拨款，如医疗收入等。</w:t>
      </w:r>
    </w:p>
    <w:p w14:paraId="1005FA16">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3.其他收入：指单位取得的除上述收入以外的各项收入。主要是捐赠收入、利息收入、康养收入等。 </w:t>
      </w:r>
    </w:p>
    <w:p w14:paraId="3B304DF0">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4.使用非财政拨款结余（含专用结余）：指事业单位使用以前年度积累的非财政拨款结余弥补当年收支差额的金额。 </w:t>
      </w:r>
    </w:p>
    <w:p w14:paraId="3AAD4054">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5.年初结转和结余：指以前年度尚未完成、结转到本年按有关规定继续使用的资金。 </w:t>
      </w:r>
    </w:p>
    <w:p w14:paraId="6B26D488">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6.结余分配：指事业单位按照会计制度规定缴纳的所得税、提取的专用结余以及转入非财政拨款结余的金额等。</w:t>
      </w:r>
    </w:p>
    <w:p w14:paraId="735AD6F8">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7.年末结转和结余：指单位按有关规定结转到下年或以后年度继续使用的资金。</w:t>
      </w:r>
    </w:p>
    <w:p w14:paraId="1AFD4112">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.一般公共服务（类）组织事务（款）其他组织事务支出（项）：指其他用于中国共产党组织部门的事务支出。。</w:t>
      </w:r>
    </w:p>
    <w:p w14:paraId="4CE012A9">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.社会保障和就业（类）人力资源和社会保障管理事务（款）其他人力资源和社会保障管理事务支出（项）：指人力资源和社会保障管理事务支出。</w:t>
      </w:r>
    </w:p>
    <w:p w14:paraId="0D8FD63E">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.社会保障和就业（类）行政事业单位养老支出（款）事业单位离退休（项）:指事业单位开支的离退休经费。</w:t>
      </w:r>
    </w:p>
    <w:p w14:paraId="25C2C401">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.社会保障和就业（类）行政事业单位养老支出（款）机关事业单位基本养老保险缴费支出（项）:指机关事业单位实施养老保险制度由单位缴纳的基本养老保险费支出。</w:t>
      </w:r>
    </w:p>
    <w:p w14:paraId="1CA55D02">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.社会保障和就业（类）抚恤（款）死亡抚恤（项）:指按规定用于烈士和牺牲、病故人员家属的一次性和定期抚恤金以及丧葬补助费。</w:t>
      </w:r>
    </w:p>
    <w:p w14:paraId="2EAD7D2D">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.社会保障和就业（类）社会福利（款）其他社会福利支出（项）：指其他用于社会福利方面的支出。</w:t>
      </w:r>
    </w:p>
    <w:p w14:paraId="656CBC4A">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.卫生健康（类）公立医院（款）综合医院（项）:指卫生健康、中医部门所属的城市综合性医院、独立门诊、教学医院、疗养院和县医院的支出。</w:t>
      </w:r>
    </w:p>
    <w:p w14:paraId="764AB2F9">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.卫生健康（类）公立医院（款）其他公立医院支出（项）:指其他用于公立医院方面的支出。</w:t>
      </w:r>
    </w:p>
    <w:p w14:paraId="0F3475F8">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.卫生健康（类）公共卫生（款）基本公共卫生服务（项）:指基本公共卫生服务支出。</w:t>
      </w:r>
    </w:p>
    <w:p w14:paraId="56A26938">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.卫生健康（类）公共卫生（款）重大公共卫生服务（项）:指重大疾病预防控制等重大公共卫生服务项目支出。</w:t>
      </w:r>
    </w:p>
    <w:p w14:paraId="1AADF601">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.卫生健康（类）其他卫生健康支出（款）其他卫生健康支出（项）:指其他用于卫生健康方面的支出。</w:t>
      </w:r>
    </w:p>
    <w:p w14:paraId="6395F604">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.农林水（类）农业农村（款）其他农业农村支出（项）：指用于其他农村方面的支出。</w:t>
      </w:r>
    </w:p>
    <w:p w14:paraId="30AAD813">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492A9DB7">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0211503F">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B5BD7B1">
      <w:pPr>
        <w:spacing w:line="600" w:lineRule="exact"/>
        <w:jc w:val="left"/>
        <w:rPr>
          <w:rStyle w:val="29"/>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仿宋_GB2312"/>
          <w:color w:val="auto"/>
          <w:kern w:val="2"/>
          <w:sz w:val="32"/>
          <w:szCs w:val="32"/>
          <w:highlight w:val="none"/>
          <w:lang w:val="en-US" w:eastAsia="zh-CN" w:bidi="ar-SA"/>
        </w:rPr>
        <w:br w:type="page"/>
      </w:r>
      <w:bookmarkStart w:id="4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0"/>
    </w:p>
    <w:p w14:paraId="776984BA">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1C885CBA">
      <w:pPr>
        <w:keepNext w:val="0"/>
        <w:keepLines w:val="0"/>
        <w:pageBreakBefore w:val="0"/>
        <w:kinsoku/>
        <w:wordWrap/>
        <w:overflowPunct/>
        <w:topLinePunct w:val="0"/>
        <w:autoSpaceDE/>
        <w:autoSpaceDN/>
        <w:bidi w:val="0"/>
        <w:spacing w:line="572" w:lineRule="exact"/>
        <w:ind w:firstLine="640" w:firstLineChars="200"/>
        <w:jc w:val="left"/>
        <w:textAlignment w:val="auto"/>
        <w:outlineLvl w:val="0"/>
        <w:rPr>
          <w:rFonts w:hint="eastAsia" w:ascii="Times New Roman" w:hAnsi="Times New Roman" w:cs="Times New Roman"/>
          <w:sz w:val="32"/>
          <w:szCs w:val="32"/>
          <w:highlight w:val="yellow"/>
          <w:lang w:val="zh-CN" w:eastAsia="zh-CN"/>
        </w:rPr>
      </w:pPr>
      <w:r>
        <w:rPr>
          <w:rFonts w:hint="eastAsia" w:ascii="Times New Roman" w:hAnsi="Times New Roman" w:eastAsia="仿宋_GB2312" w:cs="Times New Roman"/>
          <w:kern w:val="2"/>
          <w:sz w:val="32"/>
          <w:szCs w:val="32"/>
          <w:u w:val="none"/>
          <w:lang w:val="en-US" w:eastAsia="zh-CN" w:bidi="ar"/>
        </w:rPr>
        <w:t>部门预算项目支出绩效自评表（202</w:t>
      </w:r>
      <w:r>
        <w:rPr>
          <w:rFonts w:hint="eastAsia" w:ascii="Times New Roman" w:eastAsia="仿宋_GB2312" w:cs="Times New Roman"/>
          <w:kern w:val="2"/>
          <w:sz w:val="32"/>
          <w:szCs w:val="32"/>
          <w:u w:val="none"/>
          <w:lang w:val="en-US" w:eastAsia="zh-CN" w:bidi="ar"/>
        </w:rPr>
        <w:t>5</w:t>
      </w:r>
      <w:r>
        <w:rPr>
          <w:rFonts w:hint="eastAsia" w:ascii="Times New Roman" w:hAnsi="Times New Roman" w:eastAsia="仿宋_GB2312" w:cs="Times New Roman"/>
          <w:kern w:val="2"/>
          <w:sz w:val="32"/>
          <w:szCs w:val="32"/>
          <w:u w:val="none"/>
          <w:lang w:val="en-US" w:eastAsia="zh-CN" w:bidi="ar"/>
        </w:rPr>
        <w:t>年度）</w:t>
      </w:r>
    </w:p>
    <w:p w14:paraId="253A0CC2">
      <w:pPr>
        <w:pStyle w:val="8"/>
        <w:rPr>
          <w:rFonts w:hint="eastAsia" w:ascii="Times New Roman" w:hAnsi="Times New Roman" w:cs="宋体"/>
          <w:color w:val="FF0000"/>
          <w:kern w:val="0"/>
          <w:sz w:val="32"/>
          <w:szCs w:val="32"/>
          <w:highlight w:val="yellow"/>
          <w:shd w:val="clear" w:color="auto" w:fill="FFFFFF"/>
          <w:lang w:val="zh-CN"/>
        </w:rPr>
      </w:pPr>
    </w:p>
    <w:p w14:paraId="29E02C4E">
      <w:pPr>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黑体" w:cs="黑体"/>
          <w:color w:val="auto"/>
          <w:kern w:val="0"/>
          <w:sz w:val="32"/>
          <w:szCs w:val="32"/>
          <w:highlight w:val="none"/>
          <w:shd w:val="clear" w:color="auto" w:fill="FFFFFF"/>
          <w:lang w:val="zh-CN"/>
        </w:rPr>
        <w:br w:type="page"/>
      </w:r>
    </w:p>
    <w:p w14:paraId="1ACADBB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30B4318">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仿宋"/>
          <w:b w:val="0"/>
          <w:color w:val="auto"/>
          <w:highlight w:val="none"/>
        </w:rPr>
      </w:pPr>
      <w:bookmarkStart w:id="41"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39"/>
      <w:bookmarkEnd w:id="41"/>
      <w:bookmarkStart w:id="42" w:name="_Toc15396619"/>
    </w:p>
    <w:p w14:paraId="092874E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bookmarkEnd w:id="42"/>
    <w:p w14:paraId="15F6480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56D79FF8">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35AD69B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26ECFE7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4646ED1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1F9D862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2294EBA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6A7AFEB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267700A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2065DB4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587183B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733A33F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4DD7F3A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1C3BEE8B">
      <w:pPr>
        <w:rPr>
          <w:rFonts w:hint="eastAsia" w:ascii="Times New Roman" w:hAnsi="Times New Roman"/>
          <w:lang w:eastAsia="zh-CN"/>
        </w:rPr>
      </w:pPr>
    </w:p>
    <w:sectPr>
      <w:headerReference r:id="rId4" w:type="first"/>
      <w:headerReference r:id="rId3" w:type="default"/>
      <w:footerReference r:id="rId5"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00" w:usb3="00000000" w:csb0="0000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ED3C7">
    <w:pPr>
      <w:pStyle w:val="11"/>
      <w:jc w:val="center"/>
    </w:pPr>
  </w:p>
  <w:p w14:paraId="39350294">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B917F">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6A360">
    <w:pPr>
      <w:pStyle w:val="12"/>
      <w:pBdr>
        <w:bottom w:val="none" w:color="auto" w:sz="0" w:space="1"/>
      </w:pBdr>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251E81"/>
    <w:multiLevelType w:val="singleLevel"/>
    <w:tmpl w:val="E3251E81"/>
    <w:lvl w:ilvl="0" w:tentative="0">
      <w:start w:val="1"/>
      <w:numFmt w:val="chineseCounting"/>
      <w:suff w:val="nothing"/>
      <w:lvlText w:val="%1、"/>
      <w:lvlJc w:val="left"/>
      <w:rPr>
        <w:rFonts w:hint="eastAsia"/>
      </w:rPr>
    </w:lvl>
  </w:abstractNum>
  <w:abstractNum w:abstractNumId="1">
    <w:nsid w:val="E389CEA4"/>
    <w:multiLevelType w:val="singleLevel"/>
    <w:tmpl w:val="E389CEA4"/>
    <w:lvl w:ilvl="0" w:tentative="0">
      <w:start w:val="1"/>
      <w:numFmt w:val="decimal"/>
      <w:lvlText w:val="%1."/>
      <w:lvlJc w:val="left"/>
      <w:pPr>
        <w:tabs>
          <w:tab w:val="left" w:pos="312"/>
        </w:tabs>
      </w:pPr>
    </w:lvl>
  </w:abstractNum>
  <w:abstractNum w:abstractNumId="2">
    <w:nsid w:val="30814011"/>
    <w:multiLevelType w:val="singleLevel"/>
    <w:tmpl w:val="30814011"/>
    <w:lvl w:ilvl="0" w:tentative="0">
      <w:start w:val="1"/>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42B7"/>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20C8"/>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5E1E"/>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13744"/>
    <w:rsid w:val="015975B8"/>
    <w:rsid w:val="02693733"/>
    <w:rsid w:val="027C3466"/>
    <w:rsid w:val="02FEBE30"/>
    <w:rsid w:val="037405E1"/>
    <w:rsid w:val="03BB6210"/>
    <w:rsid w:val="04221DEB"/>
    <w:rsid w:val="048359AB"/>
    <w:rsid w:val="04916F1E"/>
    <w:rsid w:val="061E35DE"/>
    <w:rsid w:val="06434784"/>
    <w:rsid w:val="066E0107"/>
    <w:rsid w:val="06856661"/>
    <w:rsid w:val="07996F6E"/>
    <w:rsid w:val="07DFD8BA"/>
    <w:rsid w:val="07ED0962"/>
    <w:rsid w:val="0858227F"/>
    <w:rsid w:val="086637E0"/>
    <w:rsid w:val="09867E8F"/>
    <w:rsid w:val="0A2032A3"/>
    <w:rsid w:val="0AB563F1"/>
    <w:rsid w:val="0B894194"/>
    <w:rsid w:val="0BE8391A"/>
    <w:rsid w:val="0CA8290A"/>
    <w:rsid w:val="0D35B1ED"/>
    <w:rsid w:val="0E254B6B"/>
    <w:rsid w:val="0F356C64"/>
    <w:rsid w:val="0F98263C"/>
    <w:rsid w:val="101860EC"/>
    <w:rsid w:val="101F47CC"/>
    <w:rsid w:val="10C055FF"/>
    <w:rsid w:val="10C85AC8"/>
    <w:rsid w:val="10EA7E34"/>
    <w:rsid w:val="11694EBD"/>
    <w:rsid w:val="11772AA4"/>
    <w:rsid w:val="118107EC"/>
    <w:rsid w:val="1255782F"/>
    <w:rsid w:val="12750005"/>
    <w:rsid w:val="12E24EE2"/>
    <w:rsid w:val="13C6209D"/>
    <w:rsid w:val="13D50BC4"/>
    <w:rsid w:val="13E175CD"/>
    <w:rsid w:val="13E62E35"/>
    <w:rsid w:val="14994BCF"/>
    <w:rsid w:val="14B17F78"/>
    <w:rsid w:val="16481B85"/>
    <w:rsid w:val="165E0673"/>
    <w:rsid w:val="16B831D5"/>
    <w:rsid w:val="16BB723D"/>
    <w:rsid w:val="16FA09A5"/>
    <w:rsid w:val="1703785A"/>
    <w:rsid w:val="176C3651"/>
    <w:rsid w:val="17E50567"/>
    <w:rsid w:val="181141F9"/>
    <w:rsid w:val="186504BB"/>
    <w:rsid w:val="19A445FC"/>
    <w:rsid w:val="1BE8440E"/>
    <w:rsid w:val="1CB6711D"/>
    <w:rsid w:val="1D155CEE"/>
    <w:rsid w:val="1D1638FE"/>
    <w:rsid w:val="1D9A2EAC"/>
    <w:rsid w:val="1E312DEB"/>
    <w:rsid w:val="1E740ACF"/>
    <w:rsid w:val="1E7820B5"/>
    <w:rsid w:val="1EE14925"/>
    <w:rsid w:val="1FF35744"/>
    <w:rsid w:val="1FF6BC77"/>
    <w:rsid w:val="2186353C"/>
    <w:rsid w:val="22CF718A"/>
    <w:rsid w:val="23860B96"/>
    <w:rsid w:val="240371BF"/>
    <w:rsid w:val="244F3473"/>
    <w:rsid w:val="24C97D99"/>
    <w:rsid w:val="25A718F0"/>
    <w:rsid w:val="25BB59F6"/>
    <w:rsid w:val="260F557C"/>
    <w:rsid w:val="2650413E"/>
    <w:rsid w:val="26970054"/>
    <w:rsid w:val="27F21951"/>
    <w:rsid w:val="281408E2"/>
    <w:rsid w:val="282E6701"/>
    <w:rsid w:val="284B1061"/>
    <w:rsid w:val="293F655C"/>
    <w:rsid w:val="29CA5856"/>
    <w:rsid w:val="29FD04D3"/>
    <w:rsid w:val="2B852ADC"/>
    <w:rsid w:val="2BFF7BC6"/>
    <w:rsid w:val="2C4B7881"/>
    <w:rsid w:val="2C8A61B5"/>
    <w:rsid w:val="2D2D51D9"/>
    <w:rsid w:val="2DF04E50"/>
    <w:rsid w:val="2E586DFA"/>
    <w:rsid w:val="2F040D46"/>
    <w:rsid w:val="2F38663A"/>
    <w:rsid w:val="2F51659D"/>
    <w:rsid w:val="2F6B035B"/>
    <w:rsid w:val="2F723377"/>
    <w:rsid w:val="2FAE5751"/>
    <w:rsid w:val="2FB1A395"/>
    <w:rsid w:val="2FC260AC"/>
    <w:rsid w:val="2FD9A7D8"/>
    <w:rsid w:val="2FDBF714"/>
    <w:rsid w:val="304F36B8"/>
    <w:rsid w:val="30AB6865"/>
    <w:rsid w:val="30EF1355"/>
    <w:rsid w:val="310E5321"/>
    <w:rsid w:val="31564DD8"/>
    <w:rsid w:val="318F27FC"/>
    <w:rsid w:val="319F7F4E"/>
    <w:rsid w:val="31BE0AF5"/>
    <w:rsid w:val="31DD5420"/>
    <w:rsid w:val="324A05DB"/>
    <w:rsid w:val="32BD1EF1"/>
    <w:rsid w:val="3304709D"/>
    <w:rsid w:val="33372678"/>
    <w:rsid w:val="33A773CB"/>
    <w:rsid w:val="349D6851"/>
    <w:rsid w:val="3652180C"/>
    <w:rsid w:val="36AA5135"/>
    <w:rsid w:val="36BE0DA7"/>
    <w:rsid w:val="376B6AA6"/>
    <w:rsid w:val="376D39B2"/>
    <w:rsid w:val="37E16F03"/>
    <w:rsid w:val="37F53A3B"/>
    <w:rsid w:val="38325D99"/>
    <w:rsid w:val="389B6C89"/>
    <w:rsid w:val="38D469F0"/>
    <w:rsid w:val="38EE1CC0"/>
    <w:rsid w:val="390A4620"/>
    <w:rsid w:val="39627CCD"/>
    <w:rsid w:val="397BAF1F"/>
    <w:rsid w:val="3A053765"/>
    <w:rsid w:val="3AB79AF3"/>
    <w:rsid w:val="3AE834C0"/>
    <w:rsid w:val="3B7EF35A"/>
    <w:rsid w:val="3B9FDB6C"/>
    <w:rsid w:val="3BF5BC2F"/>
    <w:rsid w:val="3C5B40BF"/>
    <w:rsid w:val="3CEBA265"/>
    <w:rsid w:val="3D98207C"/>
    <w:rsid w:val="3D9B7F3D"/>
    <w:rsid w:val="3DEE7CF3"/>
    <w:rsid w:val="3E740A63"/>
    <w:rsid w:val="3E78745D"/>
    <w:rsid w:val="3EE17838"/>
    <w:rsid w:val="3F55381A"/>
    <w:rsid w:val="3F7F7599"/>
    <w:rsid w:val="3FD55988"/>
    <w:rsid w:val="3FDF4CAD"/>
    <w:rsid w:val="3FE32D99"/>
    <w:rsid w:val="3FF4CAE0"/>
    <w:rsid w:val="3FF7B227"/>
    <w:rsid w:val="40416B7A"/>
    <w:rsid w:val="40925627"/>
    <w:rsid w:val="40D33811"/>
    <w:rsid w:val="410468D1"/>
    <w:rsid w:val="41474664"/>
    <w:rsid w:val="42022339"/>
    <w:rsid w:val="439416B6"/>
    <w:rsid w:val="44E268DA"/>
    <w:rsid w:val="450D13D7"/>
    <w:rsid w:val="45506656"/>
    <w:rsid w:val="45806396"/>
    <w:rsid w:val="486A6C7A"/>
    <w:rsid w:val="4A1A5506"/>
    <w:rsid w:val="4A627F82"/>
    <w:rsid w:val="4A80761D"/>
    <w:rsid w:val="4B0E749A"/>
    <w:rsid w:val="4B2477C4"/>
    <w:rsid w:val="4B4F25DA"/>
    <w:rsid w:val="4BAE5A53"/>
    <w:rsid w:val="4BE068DB"/>
    <w:rsid w:val="4C312198"/>
    <w:rsid w:val="4C815929"/>
    <w:rsid w:val="4CBB4158"/>
    <w:rsid w:val="4D577224"/>
    <w:rsid w:val="4DBF1CEB"/>
    <w:rsid w:val="4DF0007C"/>
    <w:rsid w:val="4E30647F"/>
    <w:rsid w:val="4EAB630A"/>
    <w:rsid w:val="4ECE2238"/>
    <w:rsid w:val="4F6A09E9"/>
    <w:rsid w:val="4F833267"/>
    <w:rsid w:val="4FE9BD67"/>
    <w:rsid w:val="4FFB052F"/>
    <w:rsid w:val="50B93C59"/>
    <w:rsid w:val="5164091A"/>
    <w:rsid w:val="51D7076C"/>
    <w:rsid w:val="537E6D0A"/>
    <w:rsid w:val="53F74C96"/>
    <w:rsid w:val="54527E97"/>
    <w:rsid w:val="55170BA8"/>
    <w:rsid w:val="553218C9"/>
    <w:rsid w:val="55937A20"/>
    <w:rsid w:val="5612303A"/>
    <w:rsid w:val="567E1AA5"/>
    <w:rsid w:val="56E47B74"/>
    <w:rsid w:val="57175D52"/>
    <w:rsid w:val="57454D4A"/>
    <w:rsid w:val="57BD3DD4"/>
    <w:rsid w:val="59A26483"/>
    <w:rsid w:val="5AF92295"/>
    <w:rsid w:val="5B250254"/>
    <w:rsid w:val="5BDD79E6"/>
    <w:rsid w:val="5BF561CA"/>
    <w:rsid w:val="5BFF5DFC"/>
    <w:rsid w:val="5C602626"/>
    <w:rsid w:val="5C734A4A"/>
    <w:rsid w:val="5CD01559"/>
    <w:rsid w:val="5CD71FC4"/>
    <w:rsid w:val="5D1F11B5"/>
    <w:rsid w:val="5D695134"/>
    <w:rsid w:val="5DAE1B18"/>
    <w:rsid w:val="5DE7D9E5"/>
    <w:rsid w:val="5EB033F0"/>
    <w:rsid w:val="5ECEC941"/>
    <w:rsid w:val="5F5D4BFA"/>
    <w:rsid w:val="5FBF9FF3"/>
    <w:rsid w:val="5FCD4E2C"/>
    <w:rsid w:val="5FEF394A"/>
    <w:rsid w:val="5FF67715"/>
    <w:rsid w:val="60DA29A7"/>
    <w:rsid w:val="61D513C0"/>
    <w:rsid w:val="62BF3928"/>
    <w:rsid w:val="63B3701E"/>
    <w:rsid w:val="647F5392"/>
    <w:rsid w:val="64907D0F"/>
    <w:rsid w:val="65E66580"/>
    <w:rsid w:val="65F25ED2"/>
    <w:rsid w:val="664B1D71"/>
    <w:rsid w:val="664B4E8E"/>
    <w:rsid w:val="669F3F68"/>
    <w:rsid w:val="67277B67"/>
    <w:rsid w:val="67AA3209"/>
    <w:rsid w:val="68490412"/>
    <w:rsid w:val="68BB5E0A"/>
    <w:rsid w:val="695928D6"/>
    <w:rsid w:val="698D0931"/>
    <w:rsid w:val="69D501AF"/>
    <w:rsid w:val="6A0C7949"/>
    <w:rsid w:val="6A6B466F"/>
    <w:rsid w:val="6A7FE5F3"/>
    <w:rsid w:val="6AC63F9C"/>
    <w:rsid w:val="6B053271"/>
    <w:rsid w:val="6B1C1E0E"/>
    <w:rsid w:val="6BDD78B3"/>
    <w:rsid w:val="6C4A05C8"/>
    <w:rsid w:val="6C8742B8"/>
    <w:rsid w:val="6CF532CC"/>
    <w:rsid w:val="6DBF5E93"/>
    <w:rsid w:val="6DFF077E"/>
    <w:rsid w:val="6E4C47B8"/>
    <w:rsid w:val="6E714EF0"/>
    <w:rsid w:val="6E7E3605"/>
    <w:rsid w:val="6E7FDCC7"/>
    <w:rsid w:val="6ED6A62E"/>
    <w:rsid w:val="6EE00B15"/>
    <w:rsid w:val="6F6FB3EB"/>
    <w:rsid w:val="6F8731EA"/>
    <w:rsid w:val="6FCE6052"/>
    <w:rsid w:val="6FD57C00"/>
    <w:rsid w:val="6FEFFFD8"/>
    <w:rsid w:val="6FF5CC65"/>
    <w:rsid w:val="6FFB47EC"/>
    <w:rsid w:val="6FFF034A"/>
    <w:rsid w:val="70484440"/>
    <w:rsid w:val="70767BE2"/>
    <w:rsid w:val="712A28F1"/>
    <w:rsid w:val="715C0E4B"/>
    <w:rsid w:val="71632544"/>
    <w:rsid w:val="71763576"/>
    <w:rsid w:val="71992E7C"/>
    <w:rsid w:val="72037883"/>
    <w:rsid w:val="72233669"/>
    <w:rsid w:val="7231619E"/>
    <w:rsid w:val="72734D90"/>
    <w:rsid w:val="72C37B9C"/>
    <w:rsid w:val="72E954BD"/>
    <w:rsid w:val="73160E6D"/>
    <w:rsid w:val="7332FE48"/>
    <w:rsid w:val="73AB61DA"/>
    <w:rsid w:val="73AD73D5"/>
    <w:rsid w:val="73B6EB34"/>
    <w:rsid w:val="73FA497D"/>
    <w:rsid w:val="744731E5"/>
    <w:rsid w:val="7480340D"/>
    <w:rsid w:val="74BBD01D"/>
    <w:rsid w:val="74BD640F"/>
    <w:rsid w:val="74ED5379"/>
    <w:rsid w:val="75DEEEC2"/>
    <w:rsid w:val="75E32345"/>
    <w:rsid w:val="76157B85"/>
    <w:rsid w:val="762D3121"/>
    <w:rsid w:val="76CA6BC2"/>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95154C"/>
    <w:rsid w:val="7BBFBED0"/>
    <w:rsid w:val="7BC3E394"/>
    <w:rsid w:val="7BEE6EAE"/>
    <w:rsid w:val="7C1F3737"/>
    <w:rsid w:val="7CAF64D8"/>
    <w:rsid w:val="7CBFC87B"/>
    <w:rsid w:val="7CF60710"/>
    <w:rsid w:val="7CFE0F48"/>
    <w:rsid w:val="7D00095B"/>
    <w:rsid w:val="7D272ABC"/>
    <w:rsid w:val="7D7EC23E"/>
    <w:rsid w:val="7D9D6DDE"/>
    <w:rsid w:val="7E8ADEBF"/>
    <w:rsid w:val="7EEF11D3"/>
    <w:rsid w:val="7EFE4840"/>
    <w:rsid w:val="7F0971A6"/>
    <w:rsid w:val="7F1D62E7"/>
    <w:rsid w:val="7F3F679B"/>
    <w:rsid w:val="7F4FC4EF"/>
    <w:rsid w:val="7F5E4D54"/>
    <w:rsid w:val="7F6E0135"/>
    <w:rsid w:val="7F79F205"/>
    <w:rsid w:val="7F7D0C7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默认"/>
    <w:basedOn w:val="1"/>
    <w:next w:val="1"/>
    <w:qFormat/>
    <w:uiPriority w:val="0"/>
    <w:pPr>
      <w:widowControl/>
    </w:pPr>
    <w:rPr>
      <w:rFonts w:ascii="Helvetica Neue" w:hAnsi="Helvetica Neue"/>
      <w:color w:val="000000"/>
      <w:sz w:val="22"/>
      <w:lang w:bidi="ar-SA"/>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6"/>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6"/>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6"/>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6"/>
    <w:link w:val="5"/>
    <w:qFormat/>
    <w:uiPriority w:val="9"/>
    <w:rPr>
      <w:rFonts w:ascii="Times New Roman" w:hAnsi="Times New Roman"/>
      <w:b/>
      <w:bCs/>
      <w:kern w:val="44"/>
      <w:sz w:val="44"/>
      <w:szCs w:val="44"/>
    </w:rPr>
  </w:style>
  <w:style w:type="character" w:customStyle="1" w:styleId="30">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6"/>
    <w:link w:val="10"/>
    <w:semiHidden/>
    <w:qFormat/>
    <w:uiPriority w:val="99"/>
    <w:rPr>
      <w:rFonts w:ascii="Times New Roman" w:hAnsi="Times New Roman"/>
      <w:kern w:val="2"/>
      <w:sz w:val="18"/>
      <w:szCs w:val="18"/>
    </w:rPr>
  </w:style>
  <w:style w:type="character" w:customStyle="1" w:styleId="33">
    <w:name w:val="标题 3 Char"/>
    <w:basedOn w:val="16"/>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正文-公1"/>
    <w:basedOn w:val="37"/>
    <w:next w:val="1"/>
    <w:qFormat/>
    <w:uiPriority w:val="0"/>
    <w:pPr>
      <w:ind w:firstLine="200" w:firstLineChars="200"/>
    </w:pPr>
  </w:style>
  <w:style w:type="paragraph" w:customStyle="1" w:styleId="3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6"/>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5&#24180;&#20915;&#31639;&#20844;&#24320;\2025&#24180;&#39044;&#31639;&#20844;&#24320;&#30456;&#20851;&#22270;&#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25&#24180;&#20915;&#31639;&#20844;&#24320;\2025&#24180;&#39044;&#31639;&#20844;&#24320;&#30456;&#20851;&#22270;&#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25&#24180;&#20915;&#31639;&#20844;&#24320;\2025&#24180;&#39044;&#31639;&#20844;&#24320;&#30456;&#20851;&#22270;&#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5&#24180;&#20915;&#31639;&#20844;&#24320;\2025&#24180;&#39044;&#31639;&#20844;&#24320;&#30456;&#20851;&#22270;&#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25&#24180;&#20915;&#31639;&#20844;&#24320;\2025&#24180;&#39044;&#31639;&#20844;&#24320;&#30456;&#20851;&#22270;&#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25&#24180;&#20915;&#31639;&#20844;&#24320;\2025&#24180;&#39044;&#31639;&#20844;&#24320;&#30456;&#20851;&#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收入支出情况对比</a:t>
            </a:r>
          </a:p>
        </c:rich>
      </c:tx>
      <c:layout/>
      <c:overlay val="0"/>
      <c:spPr>
        <a:noFill/>
        <a:ln>
          <a:noFill/>
        </a:ln>
        <a:effectLst/>
      </c:spPr>
    </c:title>
    <c:autoTitleDeleted val="0"/>
    <c:plotArea>
      <c:layout/>
      <c:barChart>
        <c:barDir val="col"/>
        <c:grouping val="clustered"/>
        <c:varyColors val="0"/>
        <c:ser>
          <c:idx val="0"/>
          <c:order val="0"/>
          <c:tx>
            <c:strRef>
              <c:f>[2025年预算公开相关图表.xlsx]Sheet1!$B$3</c:f>
              <c:strCache>
                <c:ptCount val="1"/>
                <c:pt idx="0">
                  <c:v>2025年</c:v>
                </c:pt>
              </c:strCache>
            </c:strRef>
          </c:tx>
          <c:spPr>
            <a:solidFill>
              <a:schemeClr val="accent1"/>
            </a:solidFill>
            <a:ln>
              <a:noFill/>
            </a:ln>
            <a:effectLst/>
          </c:spPr>
          <c:invertIfNegative val="0"/>
          <c:dLbls>
            <c:delete val="1"/>
          </c:dLbls>
          <c:cat>
            <c:strRef>
              <c:f>[2025年预算公开相关图表.xlsx]Sheet1!$C$2:$E$2</c:f>
              <c:strCache>
                <c:ptCount val="3"/>
                <c:pt idx="0">
                  <c:v>预算总收入</c:v>
                </c:pt>
                <c:pt idx="1">
                  <c:v>预算总支出</c:v>
                </c:pt>
                <c:pt idx="2">
                  <c:v>收支结余</c:v>
                </c:pt>
              </c:strCache>
            </c:strRef>
          </c:cat>
          <c:val>
            <c:numRef>
              <c:f>[2025年预算公开相关图表.xlsx]Sheet1!$C$3:$E$3</c:f>
              <c:numCache>
                <c:formatCode>General</c:formatCode>
                <c:ptCount val="3"/>
                <c:pt idx="0">
                  <c:v>23995.37</c:v>
                </c:pt>
                <c:pt idx="1">
                  <c:v>23768.6</c:v>
                </c:pt>
                <c:pt idx="2">
                  <c:v>226.77</c:v>
                </c:pt>
              </c:numCache>
            </c:numRef>
          </c:val>
        </c:ser>
        <c:ser>
          <c:idx val="1"/>
          <c:order val="1"/>
          <c:tx>
            <c:strRef>
              <c:f>[2025年预算公开相关图表.xlsx]Sheet1!$B$4</c:f>
              <c:strCache>
                <c:ptCount val="1"/>
                <c:pt idx="0">
                  <c:v>2024年</c:v>
                </c:pt>
              </c:strCache>
            </c:strRef>
          </c:tx>
          <c:spPr>
            <a:solidFill>
              <a:schemeClr val="accent2"/>
            </a:solidFill>
            <a:ln>
              <a:noFill/>
            </a:ln>
            <a:effectLst/>
          </c:spPr>
          <c:invertIfNegative val="0"/>
          <c:dLbls>
            <c:delete val="1"/>
          </c:dLbls>
          <c:cat>
            <c:strRef>
              <c:f>[2025年预算公开相关图表.xlsx]Sheet1!$C$2:$E$2</c:f>
              <c:strCache>
                <c:ptCount val="3"/>
                <c:pt idx="0">
                  <c:v>预算总收入</c:v>
                </c:pt>
                <c:pt idx="1">
                  <c:v>预算总支出</c:v>
                </c:pt>
                <c:pt idx="2">
                  <c:v>收支结余</c:v>
                </c:pt>
              </c:strCache>
            </c:strRef>
          </c:cat>
          <c:val>
            <c:numRef>
              <c:f>[2025年预算公开相关图表.xlsx]Sheet1!$C$4:$E$4</c:f>
              <c:numCache>
                <c:formatCode>General</c:formatCode>
                <c:ptCount val="3"/>
                <c:pt idx="0">
                  <c:v>22933.82</c:v>
                </c:pt>
                <c:pt idx="1">
                  <c:v>23969.95</c:v>
                </c:pt>
                <c:pt idx="2">
                  <c:v>-1036.13</c:v>
                </c:pt>
              </c:numCache>
            </c:numRef>
          </c:val>
        </c:ser>
        <c:dLbls>
          <c:showLegendKey val="0"/>
          <c:showVal val="0"/>
          <c:showCatName val="0"/>
          <c:showSerName val="0"/>
          <c:showPercent val="0"/>
          <c:showBubbleSize val="0"/>
        </c:dLbls>
        <c:gapWidth val="246"/>
        <c:overlap val="-28"/>
        <c:axId val="635069675"/>
        <c:axId val="159300037"/>
      </c:barChart>
      <c:catAx>
        <c:axId val="6350696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9300037"/>
        <c:crosses val="autoZero"/>
        <c:auto val="1"/>
        <c:lblAlgn val="ctr"/>
        <c:lblOffset val="100"/>
        <c:noMultiLvlLbl val="0"/>
      </c:catAx>
      <c:valAx>
        <c:axId val="15930003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506967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6981439-726b-43b7-a12d-c14ec8eae7f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2025</a:t>
            </a:r>
            <a:r>
              <a:rPr altLang="en-US"/>
              <a:t>年总收入情况</a:t>
            </a:r>
            <a:endParaRPr lang="en-US" altLang="zh-CN"/>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[2025年预算公开相关图表.xlsx]Sheet1!$B$27:$B$30</c:f>
              <c:strCache>
                <c:ptCount val="4"/>
                <c:pt idx="0">
                  <c:v>财政拨款收入</c:v>
                </c:pt>
                <c:pt idx="1">
                  <c:v>事业收入</c:v>
                </c:pt>
                <c:pt idx="2">
                  <c:v>其他收入</c:v>
                </c:pt>
                <c:pt idx="3">
                  <c:v>总收入</c:v>
                </c:pt>
              </c:strCache>
            </c:strRef>
          </c:cat>
          <c:val>
            <c:numRef>
              <c:f>[2025年预算公开相关图表.xlsx]Sheet1!$C$27:$C$30</c:f>
              <c:numCache>
                <c:formatCode>General</c:formatCode>
                <c:ptCount val="4"/>
                <c:pt idx="0">
                  <c:v>956.12</c:v>
                </c:pt>
                <c:pt idx="1">
                  <c:v>22053.82</c:v>
                </c:pt>
                <c:pt idx="2">
                  <c:v>985.44</c:v>
                </c:pt>
                <c:pt idx="3">
                  <c:v>23995.37</c:v>
                </c:pt>
              </c:numCache>
            </c:numRef>
          </c:val>
        </c:ser>
        <c:ser>
          <c:idx val="1"/>
          <c:order val="1"/>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[2025年预算公开相关图表.xlsx]Sheet1!$B$27:$B$30</c:f>
              <c:strCache>
                <c:ptCount val="4"/>
                <c:pt idx="0">
                  <c:v>财政拨款收入</c:v>
                </c:pt>
                <c:pt idx="1">
                  <c:v>事业收入</c:v>
                </c:pt>
                <c:pt idx="2">
                  <c:v>其他收入</c:v>
                </c:pt>
                <c:pt idx="3">
                  <c:v>总收入</c:v>
                </c:pt>
              </c:strCache>
            </c:strRef>
          </c:cat>
          <c:val>
            <c:numRef>
              <c:f>[2025年预算公开相关图表.xlsx]Sheet1!$D$27:$D$30</c:f>
              <c:numCache>
                <c:formatCode>General</c:formatCode>
                <c:ptCount val="4"/>
              </c:numCache>
            </c:numRef>
          </c:val>
        </c:ser>
        <c:ser>
          <c:idx val="2"/>
          <c:order val="2"/>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[2025年预算公开相关图表.xlsx]Sheet1!$B$27:$B$30</c:f>
              <c:strCache>
                <c:ptCount val="4"/>
                <c:pt idx="0">
                  <c:v>财政拨款收入</c:v>
                </c:pt>
                <c:pt idx="1">
                  <c:v>事业收入</c:v>
                </c:pt>
                <c:pt idx="2">
                  <c:v>其他收入</c:v>
                </c:pt>
                <c:pt idx="3">
                  <c:v>总收入</c:v>
                </c:pt>
              </c:strCache>
            </c:strRef>
          </c:cat>
          <c:val>
            <c:numRef>
              <c:f>[2025年预算公开相关图表.xlsx]Sheet1!$E$27:$E$30</c:f>
              <c:numCache>
                <c:formatCode>General</c:formatCode>
                <c:ptCount val="4"/>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e6422fe-67f5-48fd-92c1-46cbeb86cc9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2025</a:t>
            </a:r>
            <a:r>
              <a:rPr altLang="en-US"/>
              <a:t>年支出情况</a:t>
            </a:r>
            <a:endParaRPr lang="en-US" altLang="zh-CN"/>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156854148973855"/>
                  <c:y val="0.0053538438482058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39304880655102"/>
                  <c:y val="-0.18496690588431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64866109208693"/>
                  <c:y val="0.033057891070932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44801139182316"/>
                  <c:y val="-0.025876802247399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[2025年预算公开相关图表.xlsx]Sheet1!$B$54:$B$57</c:f>
              <c:strCache>
                <c:ptCount val="4"/>
                <c:pt idx="0">
                  <c:v>财政拨款支出</c:v>
                </c:pt>
                <c:pt idx="1">
                  <c:v>业务活动费</c:v>
                </c:pt>
                <c:pt idx="2">
                  <c:v>管理费</c:v>
                </c:pt>
                <c:pt idx="3">
                  <c:v>其他支出</c:v>
                </c:pt>
              </c:strCache>
            </c:strRef>
          </c:cat>
          <c:val>
            <c:numRef>
              <c:f>[2025年预算公开相关图表.xlsx]Sheet1!$C$54:$C$57</c:f>
              <c:numCache>
                <c:formatCode>General</c:formatCode>
                <c:ptCount val="4"/>
                <c:pt idx="0">
                  <c:v>956.12</c:v>
                </c:pt>
                <c:pt idx="1">
                  <c:v>21910.76</c:v>
                </c:pt>
                <c:pt idx="2">
                  <c:v>1652.79</c:v>
                </c:pt>
                <c:pt idx="3">
                  <c:v>205.05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50ebdf9-2d58-4f77-bf34-961eef1752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财政拨款资金（万元）</a:t>
            </a:r>
          </a:p>
        </c:rich>
      </c:tx>
      <c:layout/>
      <c:overlay val="0"/>
      <c:spPr>
        <a:noFill/>
        <a:ln>
          <a:noFill/>
        </a:ln>
        <a:effectLst/>
      </c:spPr>
    </c:title>
    <c:autoTitleDeleted val="0"/>
    <c:plotArea>
      <c:layout/>
      <c:barChart>
        <c:barDir val="col"/>
        <c:grouping val="clustered"/>
        <c:varyColors val="0"/>
        <c:ser>
          <c:idx val="0"/>
          <c:order val="0"/>
          <c:tx>
            <c:strRef>
              <c:f>[2025年预算公开相关图表.xlsx]Sheet1!$C$75</c:f>
              <c:strCache>
                <c:ptCount val="1"/>
                <c:pt idx="0">
                  <c:v>金额</c:v>
                </c:pt>
              </c:strCache>
            </c:strRef>
          </c:tx>
          <c:spPr>
            <a:solidFill>
              <a:schemeClr val="accent1"/>
            </a:solidFill>
            <a:ln>
              <a:noFill/>
            </a:ln>
            <a:effectLst/>
          </c:spPr>
          <c:invertIfNegative val="0"/>
          <c:dLbls>
            <c:delete val="1"/>
          </c:dLbls>
          <c:cat>
            <c:strRef>
              <c:f>[2025年预算公开相关图表.xlsx]Sheet1!$B$76:$B$77</c:f>
              <c:strCache>
                <c:ptCount val="2"/>
                <c:pt idx="0">
                  <c:v>2024年</c:v>
                </c:pt>
                <c:pt idx="1">
                  <c:v>2025年</c:v>
                </c:pt>
              </c:strCache>
            </c:strRef>
          </c:cat>
          <c:val>
            <c:numRef>
              <c:f>[2025年预算公开相关图表.xlsx]Sheet1!$C$76:$C$77</c:f>
              <c:numCache>
                <c:formatCode>General</c:formatCode>
                <c:ptCount val="2"/>
                <c:pt idx="0">
                  <c:v>782.6</c:v>
                </c:pt>
                <c:pt idx="1">
                  <c:v>956.12</c:v>
                </c:pt>
              </c:numCache>
            </c:numRef>
          </c:val>
        </c:ser>
        <c:dLbls>
          <c:showLegendKey val="0"/>
          <c:showVal val="0"/>
          <c:showCatName val="0"/>
          <c:showSerName val="0"/>
          <c:showPercent val="0"/>
          <c:showBubbleSize val="0"/>
        </c:dLbls>
        <c:gapWidth val="246"/>
        <c:overlap val="-28"/>
        <c:axId val="596529437"/>
        <c:axId val="24002782"/>
      </c:barChart>
      <c:catAx>
        <c:axId val="59652943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002782"/>
        <c:crosses val="autoZero"/>
        <c:auto val="1"/>
        <c:lblAlgn val="ctr"/>
        <c:lblOffset val="100"/>
        <c:noMultiLvlLbl val="0"/>
      </c:catAx>
      <c:valAx>
        <c:axId val="2400278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65294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d1e5909-8288-4e4b-ac86-e80097a519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财政拨款资金（万元）</a:t>
            </a:r>
          </a:p>
        </c:rich>
      </c:tx>
      <c:layout/>
      <c:overlay val="0"/>
      <c:spPr>
        <a:noFill/>
        <a:ln>
          <a:noFill/>
        </a:ln>
        <a:effectLst/>
      </c:spPr>
    </c:title>
    <c:autoTitleDeleted val="0"/>
    <c:plotArea>
      <c:layout/>
      <c:barChart>
        <c:barDir val="col"/>
        <c:grouping val="clustered"/>
        <c:varyColors val="0"/>
        <c:ser>
          <c:idx val="0"/>
          <c:order val="0"/>
          <c:tx>
            <c:strRef>
              <c:f>[2025年预算公开相关图表.xlsx]Sheet1!$C$75</c:f>
              <c:strCache>
                <c:ptCount val="1"/>
                <c:pt idx="0">
                  <c:v>金额</c:v>
                </c:pt>
              </c:strCache>
            </c:strRef>
          </c:tx>
          <c:spPr>
            <a:solidFill>
              <a:schemeClr val="accent1"/>
            </a:solidFill>
            <a:ln>
              <a:noFill/>
            </a:ln>
            <a:effectLst/>
          </c:spPr>
          <c:invertIfNegative val="0"/>
          <c:dLbls>
            <c:delete val="1"/>
          </c:dLbls>
          <c:cat>
            <c:strRef>
              <c:f>[2025年预算公开相关图表.xlsx]Sheet1!$B$76:$B$77</c:f>
              <c:strCache>
                <c:ptCount val="2"/>
                <c:pt idx="0">
                  <c:v>2024年</c:v>
                </c:pt>
                <c:pt idx="1">
                  <c:v>2025年</c:v>
                </c:pt>
              </c:strCache>
            </c:strRef>
          </c:cat>
          <c:val>
            <c:numRef>
              <c:f>[2025年预算公开相关图表.xlsx]Sheet1!$C$76:$C$77</c:f>
              <c:numCache>
                <c:formatCode>General</c:formatCode>
                <c:ptCount val="2"/>
                <c:pt idx="0">
                  <c:v>782.6</c:v>
                </c:pt>
                <c:pt idx="1">
                  <c:v>956.12</c:v>
                </c:pt>
              </c:numCache>
            </c:numRef>
          </c:val>
        </c:ser>
        <c:dLbls>
          <c:showLegendKey val="0"/>
          <c:showVal val="0"/>
          <c:showCatName val="0"/>
          <c:showSerName val="0"/>
          <c:showPercent val="0"/>
          <c:showBubbleSize val="0"/>
        </c:dLbls>
        <c:gapWidth val="246"/>
        <c:overlap val="-28"/>
        <c:axId val="596529437"/>
        <c:axId val="24002782"/>
      </c:barChart>
      <c:catAx>
        <c:axId val="59652943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002782"/>
        <c:crosses val="autoZero"/>
        <c:auto val="1"/>
        <c:lblAlgn val="ctr"/>
        <c:lblOffset val="100"/>
        <c:noMultiLvlLbl val="0"/>
      </c:catAx>
      <c:valAx>
        <c:axId val="2400278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65294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ae067d6-557f-4867-a696-9361018cd99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2025</a:t>
            </a:r>
            <a:r>
              <a:rPr altLang="en-US"/>
              <a:t>年财政资金支出（万元）</a:t>
            </a:r>
            <a:endParaRPr lang="en-US" altLang="zh-CN"/>
          </a:p>
        </c:rich>
      </c:tx>
      <c:layout>
        <c:manualLayout>
          <c:xMode val="edge"/>
          <c:yMode val="edge"/>
          <c:x val="0.296052631578947"/>
          <c:y val="0.03125"/>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[2025年预算公开相关图表.xlsx]Sheet1!$B$95:$B$97</c:f>
              <c:strCache>
                <c:ptCount val="3"/>
                <c:pt idx="0">
                  <c:v>一般公共服务支出</c:v>
                </c:pt>
                <c:pt idx="1">
                  <c:v>社会保障和就业支出</c:v>
                </c:pt>
                <c:pt idx="2">
                  <c:v>卫生健康支出</c:v>
                </c:pt>
              </c:strCache>
            </c:strRef>
          </c:cat>
          <c:val>
            <c:numRef>
              <c:f>[2025年预算公开相关图表.xlsx]Sheet1!$C$95:$C$97</c:f>
              <c:numCache>
                <c:formatCode>General</c:formatCode>
                <c:ptCount val="3"/>
                <c:pt idx="0">
                  <c:v>2.66</c:v>
                </c:pt>
                <c:pt idx="1">
                  <c:v>516</c:v>
                </c:pt>
                <c:pt idx="2">
                  <c:v>437.46</c:v>
                </c:pt>
              </c:numCache>
            </c:numRef>
          </c:val>
        </c:ser>
        <c:dLbls>
          <c:showLegendKey val="0"/>
          <c:showVal val="0"/>
          <c:showCatName val="0"/>
          <c:showSerName val="0"/>
          <c:showPercent val="0"/>
          <c:showBubbleSize val="0"/>
        </c:dLbls>
        <c:gapWidth val="246"/>
        <c:overlap val="-28"/>
        <c:axId val="623351984"/>
        <c:axId val="133525506"/>
      </c:barChart>
      <c:catAx>
        <c:axId val="6233519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3525506"/>
        <c:crosses val="autoZero"/>
        <c:auto val="1"/>
        <c:lblAlgn val="ctr"/>
        <c:lblOffset val="100"/>
        <c:noMultiLvlLbl val="0"/>
      </c:catAx>
      <c:valAx>
        <c:axId val="13352550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3351984"/>
        <c:crosses val="autoZero"/>
        <c:crossBetween val="between"/>
      </c:valAx>
      <c:spPr>
        <a:noFill/>
        <a:ln>
          <a:noFill/>
        </a:ln>
        <a:effectLst/>
      </c:spPr>
    </c:plotArea>
    <c:plotVisOnly val="1"/>
    <c:dispBlanksAs val="gap"/>
    <c:showDLblsOverMax val="0"/>
    <c:extLst>
      <c:ext uri="{0b15fc19-7d7d-44ad-8c2d-2c3a37ce22c3}">
        <chartProps xmlns="https://web.wps.cn/et/2018/main" chartId="{907d8dd8-f269-4e2e-9d3c-8657c9178ff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4770</Words>
  <Characters>5326</Characters>
  <Lines>61</Lines>
  <Paragraphs>17</Paragraphs>
  <TotalTime>31</TotalTime>
  <ScaleCrop>false</ScaleCrop>
  <LinksUpToDate>false</LinksUpToDate>
  <CharactersWithSpaces>5349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徐明叶</cp:lastModifiedBy>
  <cp:lastPrinted>2025-08-06T17:34:00Z</cp:lastPrinted>
  <dcterms:modified xsi:type="dcterms:W3CDTF">2026-09-07T01:24:24Z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5BDDB45F7528473B9B3B3B23A038601A_13</vt:lpwstr>
  </property>
  <property fmtid="{D5CDD505-2E9C-101B-9397-08002B2CF9AE}" pid="4" name="KSOTemplateDocerSaveRecord">
    <vt:lpwstr>eyJoZGlkIjoiZjA4M2IxYWIzMjAxN2YzZjY2NzZkYWYzMGQ1Yjk5OGIiLCJ1c2VySWQiOiIxNjY5ODg0MDM1In0=</vt:lpwstr>
  </property>
</Properties>
</file>