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658493">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96475"/>
      <w:bookmarkStart w:id="1" w:name="_Toc15396597"/>
      <w:bookmarkStart w:id="2" w:name="_Toc15378441"/>
      <w:bookmarkStart w:id="3" w:name="_Toc15306267"/>
      <w:bookmarkStart w:id="4" w:name="_Toc15377193"/>
      <w:bookmarkStart w:id="5" w:name="_Toc15377425"/>
    </w:p>
    <w:p w14:paraId="174E1D34">
      <w:pPr>
        <w:pStyle w:val="8"/>
        <w:rPr>
          <w:rFonts w:hint="eastAsia" w:ascii="Times New Roman" w:hAnsi="Times New Roman" w:eastAsia="方正小标宋简体" w:cs="Times New Roman"/>
          <w:color w:val="auto"/>
          <w:kern w:val="2"/>
          <w:sz w:val="72"/>
          <w:szCs w:val="72"/>
          <w:highlight w:val="none"/>
          <w:lang w:val="en-US" w:eastAsia="zh-CN" w:bidi="ar-SA"/>
        </w:rPr>
      </w:pPr>
    </w:p>
    <w:p w14:paraId="04C37752">
      <w:pPr>
        <w:pStyle w:val="8"/>
        <w:rPr>
          <w:rFonts w:hint="eastAsia" w:ascii="Times New Roman" w:hAnsi="Times New Roman" w:eastAsia="方正小标宋简体" w:cs="Times New Roman"/>
          <w:color w:val="auto"/>
          <w:kern w:val="2"/>
          <w:sz w:val="72"/>
          <w:szCs w:val="72"/>
          <w:highlight w:val="none"/>
          <w:lang w:val="en-US" w:eastAsia="zh-CN" w:bidi="ar-SA"/>
        </w:rPr>
      </w:pPr>
    </w:p>
    <w:p w14:paraId="48B0D5DD">
      <w:pPr>
        <w:pStyle w:val="8"/>
        <w:rPr>
          <w:rFonts w:hint="eastAsia" w:ascii="Times New Roman" w:hAnsi="Times New Roman" w:eastAsia="方正小标宋简体" w:cs="Times New Roman"/>
          <w:color w:val="auto"/>
          <w:kern w:val="2"/>
          <w:sz w:val="72"/>
          <w:szCs w:val="72"/>
          <w:highlight w:val="none"/>
          <w:lang w:val="en-US" w:eastAsia="zh-CN" w:bidi="ar-SA"/>
        </w:rPr>
      </w:pPr>
    </w:p>
    <w:p w14:paraId="6B09C2F3">
      <w:pPr>
        <w:pStyle w:val="16"/>
        <w:keepNext w:val="0"/>
        <w:keepLines w:val="0"/>
        <w:pageBreakBefore w:val="0"/>
        <w:widowControl w:val="0"/>
        <w:suppressLineNumbers w:val="0"/>
        <w:suppressAutoHyphens w:val="0"/>
        <w:kinsoku/>
        <w:wordWrap/>
        <w:overflowPunct/>
        <w:topLinePunct w:val="0"/>
        <w:autoSpaceDE/>
        <w:autoSpaceDN w:val="0"/>
        <w:bidi w:val="0"/>
        <w:adjustRightInd/>
        <w:snapToGrid/>
        <w:spacing w:before="72" w:beforeLines="30" w:beforeAutospacing="0" w:after="0" w:afterAutospacing="0" w:line="240" w:lineRule="auto"/>
        <w:ind w:left="0" w:right="0" w:firstLine="0"/>
        <w:jc w:val="center"/>
        <w:outlineLvl w:val="9"/>
      </w:pPr>
      <w:r>
        <w:rPr>
          <w:rFonts w:hint="eastAsia" w:ascii="Times New Roman" w:eastAsia="方正小标宋简体" w:cs="Times New Roman"/>
          <w:color w:val="auto"/>
          <w:kern w:val="2"/>
          <w:sz w:val="44"/>
          <w:szCs w:val="44"/>
          <w:highlight w:val="none"/>
          <w:lang w:val="en-US" w:eastAsia="zh-CN" w:bidi="ar-SA"/>
        </w:rPr>
        <w:t>2025年度</w:t>
      </w:r>
      <w:r>
        <w:rPr>
          <w:rFonts w:ascii="Times New Roman" w:hAnsi="方正小标宋简体" w:eastAsia="方正小标宋简体" w:cs="Times New Roman"/>
          <w:b w:val="0"/>
          <w:bCs w:val="0"/>
          <w:caps w:val="0"/>
          <w:color w:val="auto"/>
          <w:kern w:val="2"/>
          <w:sz w:val="44"/>
          <w:szCs w:val="44"/>
          <w:vertAlign w:val="baseline"/>
          <w:lang w:val="en-US" w:eastAsia="zh-CN" w:bidi="ar"/>
        </w:rPr>
        <w:t>四川省</w:t>
      </w:r>
      <w:r>
        <w:rPr>
          <w:rFonts w:hint="eastAsia" w:ascii="Times New Roman" w:hAnsi="方正小标宋简体" w:eastAsia="方正小标宋简体" w:cs="Times New Roman"/>
          <w:b w:val="0"/>
          <w:bCs w:val="0"/>
          <w:caps w:val="0"/>
          <w:color w:val="auto"/>
          <w:kern w:val="2"/>
          <w:sz w:val="44"/>
          <w:szCs w:val="44"/>
          <w:vertAlign w:val="baseline"/>
          <w:lang w:val="en-US" w:eastAsia="zh-CN" w:bidi="ar"/>
        </w:rPr>
        <w:t>攀枝花市卫生健康委员会</w:t>
      </w:r>
    </w:p>
    <w:p w14:paraId="21EEFE08">
      <w:pPr>
        <w:pStyle w:val="8"/>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部门</w:t>
      </w:r>
      <w:r>
        <w:rPr>
          <w:rFonts w:hint="eastAsia" w:ascii="Times New Roman" w:hAnsi="Times New Roman" w:eastAsia="方正小标宋简体" w:cs="Times New Roman"/>
          <w:color w:val="auto"/>
          <w:kern w:val="2"/>
          <w:sz w:val="44"/>
          <w:szCs w:val="44"/>
          <w:highlight w:val="none"/>
          <w:lang w:val="en-US" w:eastAsia="zh-CN" w:bidi="ar-SA"/>
        </w:rPr>
        <w:t>决算公开文字说明</w:t>
      </w:r>
    </w:p>
    <w:p w14:paraId="03E3B84F">
      <w:pPr>
        <w:pStyle w:val="21"/>
        <w:outlineLvl w:val="9"/>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20AA6EDD">
      <w:pPr>
        <w:pStyle w:val="8"/>
        <w:jc w:val="both"/>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45CA5027">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7FEBCDE">
      <w:pPr>
        <w:widowControl/>
        <w:jc w:val="center"/>
        <w:rPr>
          <w:rFonts w:ascii="Times New Roman" w:hAnsi="Times New Roman" w:eastAsia="黑体" w:cstheme="minorBidi"/>
          <w:color w:val="auto"/>
          <w:sz w:val="28"/>
          <w:szCs w:val="28"/>
          <w:highlight w:val="none"/>
        </w:rPr>
      </w:pPr>
    </w:p>
    <w:p w14:paraId="00055B62">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14</w:t>
      </w:r>
      <w:bookmarkStart w:id="100" w:name="_GoBack"/>
      <w:bookmarkEnd w:id="100"/>
      <w:r>
        <w:rPr>
          <w:rFonts w:hint="eastAsia" w:ascii="Times New Roman" w:hAnsi="Times New Roman" w:eastAsia="仿宋_GB2312" w:cs="仿宋_GB2312"/>
          <w:color w:val="auto"/>
          <w:sz w:val="32"/>
          <w:szCs w:val="32"/>
          <w:highlight w:val="none"/>
        </w:rPr>
        <w:t>日</w:t>
      </w:r>
    </w:p>
    <w:p w14:paraId="12CF6489">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437360001"/>
        <w15:color w:val="DBDBDB"/>
        <w:docPartObj>
          <w:docPartGallery w:val="Table of Contents"/>
          <w:docPartUnique/>
        </w:docPartObj>
      </w:sdtPr>
      <w:sdtEndPr>
        <w:rPr>
          <w:rFonts w:ascii="宋体" w:hAnsi="宋体" w:eastAsia="宋体" w:cs="Times New Roman"/>
          <w:b/>
          <w:kern w:val="2"/>
          <w:sz w:val="21"/>
          <w:szCs w:val="24"/>
          <w:lang w:val="en-US" w:eastAsia="zh-CN" w:bidi="ar-SA"/>
        </w:rPr>
      </w:sdtEndPr>
      <w:sdtContent>
        <w:p w14:paraId="1954475B">
          <w:pPr>
            <w:spacing w:before="0" w:beforeLines="0" w:after="0" w:afterLines="0" w:line="240" w:lineRule="auto"/>
            <w:ind w:left="0" w:leftChars="0" w:right="0" w:rightChars="0" w:firstLine="0" w:firstLineChars="0"/>
            <w:jc w:val="center"/>
          </w:pPr>
          <w:bookmarkStart w:id="6" w:name="_Toc15377196"/>
          <w:bookmarkStart w:id="7" w:name="_Toc15396599"/>
        </w:p>
        <w:p w14:paraId="4B9224C6">
          <w:pPr>
            <w:pStyle w:val="44"/>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b/>
              <w:sz w:val="28"/>
              <w:szCs w:val="28"/>
            </w:rPr>
          </w:pPr>
          <w:r>
            <w:fldChar w:fldCharType="begin"/>
          </w:r>
          <w:r>
            <w:instrText xml:space="preserve">TOC \o "1-2" \h \u </w:instrText>
          </w:r>
          <w:r>
            <w:fldChar w:fldCharType="separate"/>
          </w:r>
          <w:r>
            <w:rPr>
              <w:b/>
              <w:sz w:val="28"/>
              <w:szCs w:val="28"/>
            </w:rPr>
            <w:fldChar w:fldCharType="begin"/>
          </w:r>
          <w:r>
            <w:rPr>
              <w:b/>
              <w:sz w:val="28"/>
              <w:szCs w:val="28"/>
            </w:rPr>
            <w:instrText xml:space="preserve"> HYPERLINK \l _Toc2146997206 </w:instrText>
          </w:r>
          <w:r>
            <w:rPr>
              <w:b/>
              <w:sz w:val="28"/>
              <w:szCs w:val="28"/>
            </w:rPr>
            <w:fldChar w:fldCharType="separate"/>
          </w:r>
          <w:r>
            <w:rPr>
              <w:rFonts w:hint="eastAsia" w:ascii="Times New Roman" w:hAnsi="Times New Roman" w:eastAsia="方正小标宋简体" w:cs="方正小标宋简体"/>
              <w:b/>
              <w:sz w:val="28"/>
              <w:szCs w:val="28"/>
              <w:highlight w:val="none"/>
            </w:rPr>
            <w:t>第一部分</w:t>
          </w:r>
          <w:r>
            <w:rPr>
              <w:rFonts w:hint="eastAsia" w:ascii="Times New Roman" w:hAnsi="Times New Roman" w:eastAsia="方正小标宋简体" w:cs="方正小标宋简体"/>
              <w:b/>
              <w:sz w:val="28"/>
              <w:szCs w:val="28"/>
              <w:highlight w:val="none"/>
              <w:lang w:val="en-US" w:eastAsia="zh-CN"/>
            </w:rPr>
            <w:t xml:space="preserve"> </w:t>
          </w:r>
          <w:r>
            <w:rPr>
              <w:rFonts w:hint="eastAsia" w:ascii="Times New Roman" w:hAnsi="Times New Roman" w:eastAsia="方正小标宋简体" w:cs="方正小标宋简体"/>
              <w:b/>
              <w:sz w:val="28"/>
              <w:szCs w:val="28"/>
              <w:highlight w:val="none"/>
            </w:rPr>
            <w:t xml:space="preserve"> </w:t>
          </w:r>
          <w:r>
            <w:rPr>
              <w:rFonts w:hint="eastAsia" w:ascii="Times New Roman" w:hAnsi="Times New Roman" w:eastAsia="方正小标宋简体" w:cs="方正小标宋简体"/>
              <w:b/>
              <w:bCs w:val="0"/>
              <w:sz w:val="28"/>
              <w:szCs w:val="28"/>
              <w:highlight w:val="none"/>
            </w:rPr>
            <w:t>部门概况</w:t>
          </w:r>
          <w:r>
            <w:rPr>
              <w:b/>
              <w:sz w:val="28"/>
              <w:szCs w:val="28"/>
            </w:rPr>
            <w:tab/>
          </w:r>
          <w:r>
            <w:rPr>
              <w:b/>
              <w:sz w:val="28"/>
              <w:szCs w:val="28"/>
            </w:rPr>
            <w:fldChar w:fldCharType="begin"/>
          </w:r>
          <w:r>
            <w:rPr>
              <w:b/>
              <w:sz w:val="28"/>
              <w:szCs w:val="28"/>
            </w:rPr>
            <w:instrText xml:space="preserve"> PAGEREF _Toc2146997206 \h </w:instrText>
          </w:r>
          <w:r>
            <w:rPr>
              <w:b/>
              <w:sz w:val="28"/>
              <w:szCs w:val="28"/>
            </w:rPr>
            <w:fldChar w:fldCharType="separate"/>
          </w:r>
          <w:r>
            <w:rPr>
              <w:b/>
              <w:sz w:val="28"/>
              <w:szCs w:val="28"/>
            </w:rPr>
            <w:t>2</w:t>
          </w:r>
          <w:r>
            <w:rPr>
              <w:b/>
              <w:sz w:val="28"/>
              <w:szCs w:val="28"/>
            </w:rPr>
            <w:fldChar w:fldCharType="end"/>
          </w:r>
          <w:r>
            <w:rPr>
              <w:b/>
              <w:sz w:val="28"/>
              <w:szCs w:val="28"/>
            </w:rPr>
            <w:fldChar w:fldCharType="end"/>
          </w:r>
        </w:p>
        <w:p w14:paraId="1ABCCD97">
          <w:pPr>
            <w:pStyle w:val="45"/>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sz w:val="28"/>
              <w:szCs w:val="28"/>
            </w:rPr>
          </w:pPr>
          <w:r>
            <w:rPr>
              <w:sz w:val="28"/>
              <w:szCs w:val="28"/>
            </w:rPr>
            <w:fldChar w:fldCharType="begin"/>
          </w:r>
          <w:r>
            <w:rPr>
              <w:sz w:val="28"/>
              <w:szCs w:val="28"/>
            </w:rPr>
            <w:instrText xml:space="preserve"> HYPERLINK \l _Toc213994107 </w:instrText>
          </w:r>
          <w:r>
            <w:rPr>
              <w:sz w:val="28"/>
              <w:szCs w:val="28"/>
            </w:rPr>
            <w:fldChar w:fldCharType="separate"/>
          </w:r>
          <w:r>
            <w:rPr>
              <w:rFonts w:hint="eastAsia" w:ascii="Times New Roman" w:hAnsi="Times New Roman" w:eastAsia="黑体"/>
              <w:sz w:val="28"/>
              <w:szCs w:val="28"/>
              <w:highlight w:val="none"/>
            </w:rPr>
            <w:t>一、</w:t>
          </w:r>
          <w:r>
            <w:rPr>
              <w:rFonts w:hint="eastAsia" w:ascii="Times New Roman" w:hAnsi="Times New Roman" w:eastAsia="黑体"/>
              <w:sz w:val="28"/>
              <w:szCs w:val="28"/>
              <w:highlight w:val="none"/>
              <w:lang w:eastAsia="zh-CN"/>
            </w:rPr>
            <w:t>部门职责</w:t>
          </w:r>
          <w:r>
            <w:rPr>
              <w:sz w:val="28"/>
              <w:szCs w:val="28"/>
            </w:rPr>
            <w:tab/>
          </w:r>
          <w:r>
            <w:rPr>
              <w:sz w:val="28"/>
              <w:szCs w:val="28"/>
            </w:rPr>
            <w:fldChar w:fldCharType="begin"/>
          </w:r>
          <w:r>
            <w:rPr>
              <w:sz w:val="28"/>
              <w:szCs w:val="28"/>
            </w:rPr>
            <w:instrText xml:space="preserve"> PAGEREF _Toc213994107 \h </w:instrText>
          </w:r>
          <w:r>
            <w:rPr>
              <w:sz w:val="28"/>
              <w:szCs w:val="28"/>
            </w:rPr>
            <w:fldChar w:fldCharType="separate"/>
          </w:r>
          <w:r>
            <w:rPr>
              <w:sz w:val="28"/>
              <w:szCs w:val="28"/>
            </w:rPr>
            <w:t>2</w:t>
          </w:r>
          <w:r>
            <w:rPr>
              <w:sz w:val="28"/>
              <w:szCs w:val="28"/>
            </w:rPr>
            <w:fldChar w:fldCharType="end"/>
          </w:r>
          <w:r>
            <w:rPr>
              <w:sz w:val="28"/>
              <w:szCs w:val="28"/>
            </w:rPr>
            <w:fldChar w:fldCharType="end"/>
          </w:r>
        </w:p>
        <w:p w14:paraId="2C1FD814">
          <w:pPr>
            <w:pStyle w:val="45"/>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sz w:val="28"/>
              <w:szCs w:val="28"/>
            </w:rPr>
          </w:pPr>
          <w:r>
            <w:rPr>
              <w:sz w:val="28"/>
              <w:szCs w:val="28"/>
            </w:rPr>
            <w:fldChar w:fldCharType="begin"/>
          </w:r>
          <w:r>
            <w:rPr>
              <w:sz w:val="28"/>
              <w:szCs w:val="28"/>
            </w:rPr>
            <w:instrText xml:space="preserve"> HYPERLINK \l _Toc66577014 </w:instrText>
          </w:r>
          <w:r>
            <w:rPr>
              <w:sz w:val="28"/>
              <w:szCs w:val="28"/>
            </w:rPr>
            <w:fldChar w:fldCharType="separate"/>
          </w:r>
          <w:r>
            <w:rPr>
              <w:rFonts w:hint="eastAsia" w:ascii="Times New Roman" w:hAnsi="Times New Roman" w:eastAsia="黑体"/>
              <w:sz w:val="28"/>
              <w:szCs w:val="28"/>
              <w:highlight w:val="none"/>
            </w:rPr>
            <w:t>二、机</w:t>
          </w:r>
          <w:r>
            <w:rPr>
              <w:rFonts w:hint="eastAsia" w:ascii="Times New Roman" w:hAnsi="Times New Roman" w:eastAsia="黑体"/>
              <w:bCs w:val="0"/>
              <w:sz w:val="28"/>
              <w:szCs w:val="28"/>
              <w:highlight w:val="none"/>
            </w:rPr>
            <w:t>构设置</w:t>
          </w:r>
          <w:r>
            <w:rPr>
              <w:sz w:val="28"/>
              <w:szCs w:val="28"/>
            </w:rPr>
            <w:tab/>
          </w:r>
          <w:r>
            <w:rPr>
              <w:sz w:val="28"/>
              <w:szCs w:val="28"/>
            </w:rPr>
            <w:fldChar w:fldCharType="begin"/>
          </w:r>
          <w:r>
            <w:rPr>
              <w:sz w:val="28"/>
              <w:szCs w:val="28"/>
            </w:rPr>
            <w:instrText xml:space="preserve"> PAGEREF _Toc66577014 \h </w:instrText>
          </w:r>
          <w:r>
            <w:rPr>
              <w:sz w:val="28"/>
              <w:szCs w:val="28"/>
            </w:rPr>
            <w:fldChar w:fldCharType="separate"/>
          </w:r>
          <w:r>
            <w:rPr>
              <w:sz w:val="28"/>
              <w:szCs w:val="28"/>
            </w:rPr>
            <w:t>5</w:t>
          </w:r>
          <w:r>
            <w:rPr>
              <w:sz w:val="28"/>
              <w:szCs w:val="28"/>
            </w:rPr>
            <w:fldChar w:fldCharType="end"/>
          </w:r>
          <w:r>
            <w:rPr>
              <w:sz w:val="28"/>
              <w:szCs w:val="28"/>
            </w:rPr>
            <w:fldChar w:fldCharType="end"/>
          </w:r>
        </w:p>
        <w:p w14:paraId="53F4110E">
          <w:pPr>
            <w:pStyle w:val="44"/>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b/>
              <w:sz w:val="28"/>
              <w:szCs w:val="28"/>
            </w:rPr>
          </w:pPr>
          <w:r>
            <w:rPr>
              <w:b/>
              <w:sz w:val="28"/>
              <w:szCs w:val="28"/>
            </w:rPr>
            <w:fldChar w:fldCharType="begin"/>
          </w:r>
          <w:r>
            <w:rPr>
              <w:b/>
              <w:sz w:val="28"/>
              <w:szCs w:val="28"/>
            </w:rPr>
            <w:instrText xml:space="preserve"> HYPERLINK \l _Toc1913485577 </w:instrText>
          </w:r>
          <w:r>
            <w:rPr>
              <w:b/>
              <w:sz w:val="28"/>
              <w:szCs w:val="28"/>
            </w:rPr>
            <w:fldChar w:fldCharType="separate"/>
          </w:r>
          <w:r>
            <w:rPr>
              <w:rFonts w:hint="eastAsia" w:ascii="Times New Roman" w:hAnsi="Times New Roman" w:eastAsia="方正小标宋简体" w:cs="方正小标宋简体"/>
              <w:b/>
              <w:sz w:val="28"/>
              <w:szCs w:val="28"/>
              <w:highlight w:val="none"/>
            </w:rPr>
            <w:t>第二部分</w:t>
          </w:r>
          <w:r>
            <w:rPr>
              <w:rFonts w:hint="eastAsia" w:ascii="Times New Roman" w:hAnsi="Times New Roman" w:eastAsia="方正小标宋简体" w:cs="方正小标宋简体"/>
              <w:b/>
              <w:sz w:val="28"/>
              <w:szCs w:val="28"/>
              <w:highlight w:val="none"/>
              <w:lang w:val="en-US" w:eastAsia="zh-CN"/>
            </w:rPr>
            <w:t xml:space="preserve"> </w:t>
          </w:r>
          <w:r>
            <w:rPr>
              <w:rFonts w:hint="eastAsia" w:ascii="Times New Roman" w:hAnsi="Times New Roman" w:eastAsia="方正小标宋简体" w:cs="方正小标宋简体"/>
              <w:b/>
              <w:sz w:val="28"/>
              <w:szCs w:val="28"/>
              <w:highlight w:val="none"/>
            </w:rPr>
            <w:t xml:space="preserve"> </w:t>
          </w:r>
          <w:r>
            <w:rPr>
              <w:rFonts w:hint="eastAsia" w:eastAsia="方正小标宋简体" w:cs="方正小标宋简体"/>
              <w:b/>
              <w:sz w:val="28"/>
              <w:szCs w:val="28"/>
              <w:highlight w:val="none"/>
              <w:lang w:val="en-US" w:eastAsia="zh-CN"/>
            </w:rPr>
            <w:t>2025年度</w:t>
          </w:r>
          <w:r>
            <w:rPr>
              <w:rFonts w:hint="eastAsia" w:ascii="Times New Roman" w:hAnsi="Times New Roman" w:eastAsia="方正小标宋简体" w:cs="方正小标宋简体"/>
              <w:b/>
              <w:sz w:val="28"/>
              <w:szCs w:val="28"/>
              <w:highlight w:val="none"/>
            </w:rPr>
            <w:t>部门决算情况说明</w:t>
          </w:r>
          <w:r>
            <w:rPr>
              <w:b/>
              <w:sz w:val="28"/>
              <w:szCs w:val="28"/>
            </w:rPr>
            <w:tab/>
          </w:r>
          <w:r>
            <w:rPr>
              <w:b/>
              <w:sz w:val="28"/>
              <w:szCs w:val="28"/>
            </w:rPr>
            <w:fldChar w:fldCharType="begin"/>
          </w:r>
          <w:r>
            <w:rPr>
              <w:b/>
              <w:sz w:val="28"/>
              <w:szCs w:val="28"/>
            </w:rPr>
            <w:instrText xml:space="preserve"> PAGEREF _Toc1913485577 \h </w:instrText>
          </w:r>
          <w:r>
            <w:rPr>
              <w:b/>
              <w:sz w:val="28"/>
              <w:szCs w:val="28"/>
            </w:rPr>
            <w:fldChar w:fldCharType="separate"/>
          </w:r>
          <w:r>
            <w:rPr>
              <w:b/>
              <w:sz w:val="28"/>
              <w:szCs w:val="28"/>
            </w:rPr>
            <w:t>6</w:t>
          </w:r>
          <w:r>
            <w:rPr>
              <w:b/>
              <w:sz w:val="28"/>
              <w:szCs w:val="28"/>
            </w:rPr>
            <w:fldChar w:fldCharType="end"/>
          </w:r>
          <w:r>
            <w:rPr>
              <w:b/>
              <w:sz w:val="28"/>
              <w:szCs w:val="28"/>
            </w:rPr>
            <w:fldChar w:fldCharType="end"/>
          </w:r>
        </w:p>
        <w:p w14:paraId="30C25643">
          <w:pPr>
            <w:pStyle w:val="45"/>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sz w:val="28"/>
              <w:szCs w:val="28"/>
            </w:rPr>
          </w:pPr>
          <w:r>
            <w:rPr>
              <w:sz w:val="28"/>
              <w:szCs w:val="28"/>
            </w:rPr>
            <w:fldChar w:fldCharType="begin"/>
          </w:r>
          <w:r>
            <w:rPr>
              <w:sz w:val="28"/>
              <w:szCs w:val="28"/>
            </w:rPr>
            <w:instrText xml:space="preserve"> HYPERLINK \l _Toc2035158295 </w:instrText>
          </w:r>
          <w:r>
            <w:rPr>
              <w:sz w:val="28"/>
              <w:szCs w:val="28"/>
            </w:rPr>
            <w:fldChar w:fldCharType="separate"/>
          </w:r>
          <w:r>
            <w:rPr>
              <w:rFonts w:hint="eastAsia" w:ascii="Times New Roman" w:hAnsi="Times New Roman" w:eastAsia="黑体"/>
              <w:sz w:val="28"/>
              <w:szCs w:val="28"/>
              <w:highlight w:val="none"/>
              <w:lang w:eastAsia="zh-CN"/>
            </w:rPr>
            <w:t>一、</w:t>
          </w:r>
          <w:r>
            <w:rPr>
              <w:rFonts w:hint="eastAsia" w:ascii="Times New Roman" w:hAnsi="Times New Roman" w:eastAsia="黑体"/>
              <w:sz w:val="28"/>
              <w:szCs w:val="28"/>
              <w:highlight w:val="none"/>
            </w:rPr>
            <w:t>收入支出决算总体情况说明</w:t>
          </w:r>
          <w:r>
            <w:rPr>
              <w:sz w:val="28"/>
              <w:szCs w:val="28"/>
            </w:rPr>
            <w:tab/>
          </w:r>
          <w:r>
            <w:rPr>
              <w:sz w:val="28"/>
              <w:szCs w:val="28"/>
            </w:rPr>
            <w:fldChar w:fldCharType="begin"/>
          </w:r>
          <w:r>
            <w:rPr>
              <w:sz w:val="28"/>
              <w:szCs w:val="28"/>
            </w:rPr>
            <w:instrText xml:space="preserve"> PAGEREF _Toc2035158295 \h </w:instrText>
          </w:r>
          <w:r>
            <w:rPr>
              <w:sz w:val="28"/>
              <w:szCs w:val="28"/>
            </w:rPr>
            <w:fldChar w:fldCharType="separate"/>
          </w:r>
          <w:r>
            <w:rPr>
              <w:sz w:val="28"/>
              <w:szCs w:val="28"/>
            </w:rPr>
            <w:t>6</w:t>
          </w:r>
          <w:r>
            <w:rPr>
              <w:sz w:val="28"/>
              <w:szCs w:val="28"/>
            </w:rPr>
            <w:fldChar w:fldCharType="end"/>
          </w:r>
          <w:r>
            <w:rPr>
              <w:sz w:val="28"/>
              <w:szCs w:val="28"/>
            </w:rPr>
            <w:fldChar w:fldCharType="end"/>
          </w:r>
        </w:p>
        <w:p w14:paraId="6B6F13B3">
          <w:pPr>
            <w:pStyle w:val="45"/>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sz w:val="28"/>
              <w:szCs w:val="28"/>
            </w:rPr>
          </w:pPr>
          <w:r>
            <w:rPr>
              <w:sz w:val="28"/>
              <w:szCs w:val="28"/>
            </w:rPr>
            <w:fldChar w:fldCharType="begin"/>
          </w:r>
          <w:r>
            <w:rPr>
              <w:sz w:val="28"/>
              <w:szCs w:val="28"/>
            </w:rPr>
            <w:instrText xml:space="preserve"> HYPERLINK \l _Toc73852767 </w:instrText>
          </w:r>
          <w:r>
            <w:rPr>
              <w:sz w:val="28"/>
              <w:szCs w:val="28"/>
            </w:rPr>
            <w:fldChar w:fldCharType="separate"/>
          </w:r>
          <w:r>
            <w:rPr>
              <w:rFonts w:hint="eastAsia" w:ascii="Times New Roman" w:hAnsi="Times New Roman" w:eastAsia="黑体"/>
              <w:sz w:val="28"/>
              <w:szCs w:val="28"/>
              <w:highlight w:val="none"/>
              <w:lang w:eastAsia="zh-CN"/>
            </w:rPr>
            <w:t>二、收入决算情况说明</w:t>
          </w:r>
          <w:r>
            <w:rPr>
              <w:sz w:val="28"/>
              <w:szCs w:val="28"/>
            </w:rPr>
            <w:tab/>
          </w:r>
          <w:r>
            <w:rPr>
              <w:sz w:val="28"/>
              <w:szCs w:val="28"/>
            </w:rPr>
            <w:fldChar w:fldCharType="begin"/>
          </w:r>
          <w:r>
            <w:rPr>
              <w:sz w:val="28"/>
              <w:szCs w:val="28"/>
            </w:rPr>
            <w:instrText xml:space="preserve"> PAGEREF _Toc73852767 \h </w:instrText>
          </w:r>
          <w:r>
            <w:rPr>
              <w:sz w:val="28"/>
              <w:szCs w:val="28"/>
            </w:rPr>
            <w:fldChar w:fldCharType="separate"/>
          </w:r>
          <w:r>
            <w:rPr>
              <w:sz w:val="28"/>
              <w:szCs w:val="28"/>
            </w:rPr>
            <w:t>6</w:t>
          </w:r>
          <w:r>
            <w:rPr>
              <w:sz w:val="28"/>
              <w:szCs w:val="28"/>
            </w:rPr>
            <w:fldChar w:fldCharType="end"/>
          </w:r>
          <w:r>
            <w:rPr>
              <w:sz w:val="28"/>
              <w:szCs w:val="28"/>
            </w:rPr>
            <w:fldChar w:fldCharType="end"/>
          </w:r>
        </w:p>
        <w:p w14:paraId="08DFD2C6">
          <w:pPr>
            <w:pStyle w:val="45"/>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sz w:val="28"/>
              <w:szCs w:val="28"/>
            </w:rPr>
          </w:pPr>
          <w:r>
            <w:rPr>
              <w:sz w:val="28"/>
              <w:szCs w:val="28"/>
            </w:rPr>
            <w:fldChar w:fldCharType="begin"/>
          </w:r>
          <w:r>
            <w:rPr>
              <w:sz w:val="28"/>
              <w:szCs w:val="28"/>
            </w:rPr>
            <w:instrText xml:space="preserve"> HYPERLINK \l _Toc555557429 </w:instrText>
          </w:r>
          <w:r>
            <w:rPr>
              <w:sz w:val="28"/>
              <w:szCs w:val="28"/>
            </w:rPr>
            <w:fldChar w:fldCharType="separate"/>
          </w:r>
          <w:r>
            <w:rPr>
              <w:rFonts w:hint="eastAsia" w:ascii="Times New Roman" w:hAnsi="Times New Roman" w:eastAsia="黑体"/>
              <w:sz w:val="28"/>
              <w:szCs w:val="28"/>
              <w:highlight w:val="none"/>
              <w:lang w:eastAsia="zh-CN"/>
            </w:rPr>
            <w:t>三、</w:t>
          </w:r>
          <w:r>
            <w:rPr>
              <w:rFonts w:hint="eastAsia" w:ascii="Times New Roman" w:hAnsi="Times New Roman" w:eastAsia="黑体"/>
              <w:sz w:val="28"/>
              <w:szCs w:val="28"/>
              <w:highlight w:val="none"/>
            </w:rPr>
            <w:t>支出决算情况说明</w:t>
          </w:r>
          <w:r>
            <w:rPr>
              <w:sz w:val="28"/>
              <w:szCs w:val="28"/>
            </w:rPr>
            <w:tab/>
          </w:r>
          <w:r>
            <w:rPr>
              <w:sz w:val="28"/>
              <w:szCs w:val="28"/>
            </w:rPr>
            <w:fldChar w:fldCharType="begin"/>
          </w:r>
          <w:r>
            <w:rPr>
              <w:sz w:val="28"/>
              <w:szCs w:val="28"/>
            </w:rPr>
            <w:instrText xml:space="preserve"> PAGEREF _Toc555557429 \h </w:instrText>
          </w:r>
          <w:r>
            <w:rPr>
              <w:sz w:val="28"/>
              <w:szCs w:val="28"/>
            </w:rPr>
            <w:fldChar w:fldCharType="separate"/>
          </w:r>
          <w:r>
            <w:rPr>
              <w:sz w:val="28"/>
              <w:szCs w:val="28"/>
            </w:rPr>
            <w:t>7</w:t>
          </w:r>
          <w:r>
            <w:rPr>
              <w:sz w:val="28"/>
              <w:szCs w:val="28"/>
            </w:rPr>
            <w:fldChar w:fldCharType="end"/>
          </w:r>
          <w:r>
            <w:rPr>
              <w:sz w:val="28"/>
              <w:szCs w:val="28"/>
            </w:rPr>
            <w:fldChar w:fldCharType="end"/>
          </w:r>
        </w:p>
        <w:p w14:paraId="6530E138">
          <w:pPr>
            <w:pStyle w:val="45"/>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sz w:val="28"/>
              <w:szCs w:val="28"/>
            </w:rPr>
          </w:pPr>
          <w:r>
            <w:rPr>
              <w:sz w:val="28"/>
              <w:szCs w:val="28"/>
            </w:rPr>
            <w:fldChar w:fldCharType="begin"/>
          </w:r>
          <w:r>
            <w:rPr>
              <w:sz w:val="28"/>
              <w:szCs w:val="28"/>
            </w:rPr>
            <w:instrText xml:space="preserve"> HYPERLINK \l _Toc370733693 </w:instrText>
          </w:r>
          <w:r>
            <w:rPr>
              <w:sz w:val="28"/>
              <w:szCs w:val="28"/>
            </w:rPr>
            <w:fldChar w:fldCharType="separate"/>
          </w:r>
          <w:r>
            <w:rPr>
              <w:rFonts w:hint="eastAsia" w:ascii="Times New Roman" w:hAnsi="Times New Roman" w:eastAsia="黑体"/>
              <w:sz w:val="28"/>
              <w:szCs w:val="28"/>
              <w:highlight w:val="none"/>
            </w:rPr>
            <w:t>四、财政拨款收入支出决算总体情况说明</w:t>
          </w:r>
          <w:r>
            <w:rPr>
              <w:sz w:val="28"/>
              <w:szCs w:val="28"/>
            </w:rPr>
            <w:tab/>
          </w:r>
          <w:r>
            <w:rPr>
              <w:sz w:val="28"/>
              <w:szCs w:val="28"/>
            </w:rPr>
            <w:fldChar w:fldCharType="begin"/>
          </w:r>
          <w:r>
            <w:rPr>
              <w:sz w:val="28"/>
              <w:szCs w:val="28"/>
            </w:rPr>
            <w:instrText xml:space="preserve"> PAGEREF _Toc370733693 \h </w:instrText>
          </w:r>
          <w:r>
            <w:rPr>
              <w:sz w:val="28"/>
              <w:szCs w:val="28"/>
            </w:rPr>
            <w:fldChar w:fldCharType="separate"/>
          </w:r>
          <w:r>
            <w:rPr>
              <w:sz w:val="28"/>
              <w:szCs w:val="28"/>
            </w:rPr>
            <w:t>8</w:t>
          </w:r>
          <w:r>
            <w:rPr>
              <w:sz w:val="28"/>
              <w:szCs w:val="28"/>
            </w:rPr>
            <w:fldChar w:fldCharType="end"/>
          </w:r>
          <w:r>
            <w:rPr>
              <w:sz w:val="28"/>
              <w:szCs w:val="28"/>
            </w:rPr>
            <w:fldChar w:fldCharType="end"/>
          </w:r>
        </w:p>
        <w:p w14:paraId="5159C592">
          <w:pPr>
            <w:pStyle w:val="45"/>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sz w:val="28"/>
              <w:szCs w:val="28"/>
            </w:rPr>
          </w:pPr>
          <w:r>
            <w:rPr>
              <w:sz w:val="28"/>
              <w:szCs w:val="28"/>
            </w:rPr>
            <w:fldChar w:fldCharType="begin"/>
          </w:r>
          <w:r>
            <w:rPr>
              <w:sz w:val="28"/>
              <w:szCs w:val="28"/>
            </w:rPr>
            <w:instrText xml:space="preserve"> HYPERLINK \l _Toc1826214896 </w:instrText>
          </w:r>
          <w:r>
            <w:rPr>
              <w:sz w:val="28"/>
              <w:szCs w:val="28"/>
            </w:rPr>
            <w:fldChar w:fldCharType="separate"/>
          </w:r>
          <w:r>
            <w:rPr>
              <w:rFonts w:hint="eastAsia" w:ascii="Times New Roman" w:hAnsi="Times New Roman" w:eastAsia="黑体"/>
              <w:sz w:val="28"/>
              <w:szCs w:val="28"/>
              <w:highlight w:val="none"/>
            </w:rPr>
            <w:t>五、一般公共预算财政拨款支出决算情况说明</w:t>
          </w:r>
          <w:r>
            <w:rPr>
              <w:sz w:val="28"/>
              <w:szCs w:val="28"/>
            </w:rPr>
            <w:tab/>
          </w:r>
          <w:r>
            <w:rPr>
              <w:sz w:val="28"/>
              <w:szCs w:val="28"/>
            </w:rPr>
            <w:fldChar w:fldCharType="begin"/>
          </w:r>
          <w:r>
            <w:rPr>
              <w:sz w:val="28"/>
              <w:szCs w:val="28"/>
            </w:rPr>
            <w:instrText xml:space="preserve"> PAGEREF _Toc1826214896 \h </w:instrText>
          </w:r>
          <w:r>
            <w:rPr>
              <w:sz w:val="28"/>
              <w:szCs w:val="28"/>
            </w:rPr>
            <w:fldChar w:fldCharType="separate"/>
          </w:r>
          <w:r>
            <w:rPr>
              <w:sz w:val="28"/>
              <w:szCs w:val="28"/>
            </w:rPr>
            <w:t>9</w:t>
          </w:r>
          <w:r>
            <w:rPr>
              <w:sz w:val="28"/>
              <w:szCs w:val="28"/>
            </w:rPr>
            <w:fldChar w:fldCharType="end"/>
          </w:r>
          <w:r>
            <w:rPr>
              <w:sz w:val="28"/>
              <w:szCs w:val="28"/>
            </w:rPr>
            <w:fldChar w:fldCharType="end"/>
          </w:r>
        </w:p>
        <w:p w14:paraId="5825848C">
          <w:pPr>
            <w:pStyle w:val="45"/>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sz w:val="28"/>
              <w:szCs w:val="28"/>
            </w:rPr>
          </w:pPr>
          <w:r>
            <w:rPr>
              <w:sz w:val="28"/>
              <w:szCs w:val="28"/>
            </w:rPr>
            <w:fldChar w:fldCharType="begin"/>
          </w:r>
          <w:r>
            <w:rPr>
              <w:sz w:val="28"/>
              <w:szCs w:val="28"/>
            </w:rPr>
            <w:instrText xml:space="preserve"> HYPERLINK \l _Toc1112546965 </w:instrText>
          </w:r>
          <w:r>
            <w:rPr>
              <w:sz w:val="28"/>
              <w:szCs w:val="28"/>
            </w:rPr>
            <w:fldChar w:fldCharType="separate"/>
          </w:r>
          <w:r>
            <w:rPr>
              <w:rFonts w:hint="eastAsia" w:ascii="Times New Roman" w:hAnsi="Times New Roman" w:eastAsia="黑体"/>
              <w:sz w:val="28"/>
              <w:szCs w:val="28"/>
              <w:highlight w:val="none"/>
            </w:rPr>
            <w:t>六、一般公共预算财政拨款基本支出决算情况说明</w:t>
          </w:r>
          <w:r>
            <w:rPr>
              <w:sz w:val="28"/>
              <w:szCs w:val="28"/>
            </w:rPr>
            <w:tab/>
          </w:r>
          <w:r>
            <w:rPr>
              <w:sz w:val="28"/>
              <w:szCs w:val="28"/>
            </w:rPr>
            <w:fldChar w:fldCharType="begin"/>
          </w:r>
          <w:r>
            <w:rPr>
              <w:sz w:val="28"/>
              <w:szCs w:val="28"/>
            </w:rPr>
            <w:instrText xml:space="preserve"> PAGEREF _Toc1112546965 \h </w:instrText>
          </w:r>
          <w:r>
            <w:rPr>
              <w:sz w:val="28"/>
              <w:szCs w:val="28"/>
            </w:rPr>
            <w:fldChar w:fldCharType="separate"/>
          </w:r>
          <w:r>
            <w:rPr>
              <w:sz w:val="28"/>
              <w:szCs w:val="28"/>
            </w:rPr>
            <w:t>14</w:t>
          </w:r>
          <w:r>
            <w:rPr>
              <w:sz w:val="28"/>
              <w:szCs w:val="28"/>
            </w:rPr>
            <w:fldChar w:fldCharType="end"/>
          </w:r>
          <w:r>
            <w:rPr>
              <w:sz w:val="28"/>
              <w:szCs w:val="28"/>
            </w:rPr>
            <w:fldChar w:fldCharType="end"/>
          </w:r>
        </w:p>
        <w:p w14:paraId="142F989A">
          <w:pPr>
            <w:pStyle w:val="45"/>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sz w:val="28"/>
              <w:szCs w:val="28"/>
            </w:rPr>
          </w:pPr>
          <w:r>
            <w:rPr>
              <w:sz w:val="28"/>
              <w:szCs w:val="28"/>
            </w:rPr>
            <w:fldChar w:fldCharType="begin"/>
          </w:r>
          <w:r>
            <w:rPr>
              <w:sz w:val="28"/>
              <w:szCs w:val="28"/>
            </w:rPr>
            <w:instrText xml:space="preserve"> HYPERLINK \l _Toc1856856447 </w:instrText>
          </w:r>
          <w:r>
            <w:rPr>
              <w:sz w:val="28"/>
              <w:szCs w:val="28"/>
            </w:rPr>
            <w:fldChar w:fldCharType="separate"/>
          </w:r>
          <w:r>
            <w:rPr>
              <w:rFonts w:hint="eastAsia" w:ascii="Times New Roman" w:hAnsi="Times New Roman" w:eastAsia="黑体"/>
              <w:sz w:val="28"/>
              <w:szCs w:val="28"/>
              <w:highlight w:val="none"/>
            </w:rPr>
            <w:t>七、财政拨款“三公”经费支出决算情况说明</w:t>
          </w:r>
          <w:r>
            <w:rPr>
              <w:sz w:val="28"/>
              <w:szCs w:val="28"/>
            </w:rPr>
            <w:tab/>
          </w:r>
          <w:r>
            <w:rPr>
              <w:sz w:val="28"/>
              <w:szCs w:val="28"/>
            </w:rPr>
            <w:fldChar w:fldCharType="begin"/>
          </w:r>
          <w:r>
            <w:rPr>
              <w:sz w:val="28"/>
              <w:szCs w:val="28"/>
            </w:rPr>
            <w:instrText xml:space="preserve"> PAGEREF _Toc1856856447 \h </w:instrText>
          </w:r>
          <w:r>
            <w:rPr>
              <w:sz w:val="28"/>
              <w:szCs w:val="28"/>
            </w:rPr>
            <w:fldChar w:fldCharType="separate"/>
          </w:r>
          <w:r>
            <w:rPr>
              <w:sz w:val="28"/>
              <w:szCs w:val="28"/>
            </w:rPr>
            <w:t>15</w:t>
          </w:r>
          <w:r>
            <w:rPr>
              <w:sz w:val="28"/>
              <w:szCs w:val="28"/>
            </w:rPr>
            <w:fldChar w:fldCharType="end"/>
          </w:r>
          <w:r>
            <w:rPr>
              <w:sz w:val="28"/>
              <w:szCs w:val="28"/>
            </w:rPr>
            <w:fldChar w:fldCharType="end"/>
          </w:r>
        </w:p>
        <w:p w14:paraId="3C8C77C5">
          <w:pPr>
            <w:pStyle w:val="45"/>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sz w:val="28"/>
              <w:szCs w:val="28"/>
            </w:rPr>
          </w:pPr>
          <w:r>
            <w:rPr>
              <w:sz w:val="28"/>
              <w:szCs w:val="28"/>
            </w:rPr>
            <w:fldChar w:fldCharType="begin"/>
          </w:r>
          <w:r>
            <w:rPr>
              <w:sz w:val="28"/>
              <w:szCs w:val="28"/>
            </w:rPr>
            <w:instrText xml:space="preserve"> HYPERLINK \l _Toc706391319 </w:instrText>
          </w:r>
          <w:r>
            <w:rPr>
              <w:sz w:val="28"/>
              <w:szCs w:val="28"/>
            </w:rPr>
            <w:fldChar w:fldCharType="separate"/>
          </w:r>
          <w:r>
            <w:rPr>
              <w:rFonts w:hint="eastAsia" w:ascii="Times New Roman" w:hAnsi="Times New Roman" w:eastAsia="黑体"/>
              <w:sz w:val="28"/>
              <w:szCs w:val="28"/>
              <w:highlight w:val="none"/>
            </w:rPr>
            <w:t>八、政府性基金预算支出决算情况说明</w:t>
          </w:r>
          <w:r>
            <w:rPr>
              <w:sz w:val="28"/>
              <w:szCs w:val="28"/>
            </w:rPr>
            <w:tab/>
          </w:r>
          <w:r>
            <w:rPr>
              <w:sz w:val="28"/>
              <w:szCs w:val="28"/>
            </w:rPr>
            <w:fldChar w:fldCharType="begin"/>
          </w:r>
          <w:r>
            <w:rPr>
              <w:sz w:val="28"/>
              <w:szCs w:val="28"/>
            </w:rPr>
            <w:instrText xml:space="preserve"> PAGEREF _Toc706391319 \h </w:instrText>
          </w:r>
          <w:r>
            <w:rPr>
              <w:sz w:val="28"/>
              <w:szCs w:val="28"/>
            </w:rPr>
            <w:fldChar w:fldCharType="separate"/>
          </w:r>
          <w:r>
            <w:rPr>
              <w:sz w:val="28"/>
              <w:szCs w:val="28"/>
            </w:rPr>
            <w:t>17</w:t>
          </w:r>
          <w:r>
            <w:rPr>
              <w:sz w:val="28"/>
              <w:szCs w:val="28"/>
            </w:rPr>
            <w:fldChar w:fldCharType="end"/>
          </w:r>
          <w:r>
            <w:rPr>
              <w:sz w:val="28"/>
              <w:szCs w:val="28"/>
            </w:rPr>
            <w:fldChar w:fldCharType="end"/>
          </w:r>
        </w:p>
        <w:p w14:paraId="6B183486">
          <w:pPr>
            <w:pStyle w:val="45"/>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sz w:val="28"/>
              <w:szCs w:val="28"/>
            </w:rPr>
          </w:pPr>
          <w:r>
            <w:rPr>
              <w:sz w:val="28"/>
              <w:szCs w:val="28"/>
            </w:rPr>
            <w:fldChar w:fldCharType="begin"/>
          </w:r>
          <w:r>
            <w:rPr>
              <w:sz w:val="28"/>
              <w:szCs w:val="28"/>
            </w:rPr>
            <w:instrText xml:space="preserve"> HYPERLINK \l _Toc2091900616 </w:instrText>
          </w:r>
          <w:r>
            <w:rPr>
              <w:sz w:val="28"/>
              <w:szCs w:val="28"/>
            </w:rPr>
            <w:fldChar w:fldCharType="separate"/>
          </w:r>
          <w:r>
            <w:rPr>
              <w:rFonts w:hint="eastAsia" w:ascii="Times New Roman" w:hAnsi="Times New Roman" w:eastAsia="黑体"/>
              <w:sz w:val="28"/>
              <w:szCs w:val="28"/>
              <w:highlight w:val="none"/>
              <w:lang w:eastAsia="zh-CN"/>
            </w:rPr>
            <w:t>九、</w:t>
          </w:r>
          <w:r>
            <w:rPr>
              <w:rFonts w:hint="eastAsia" w:ascii="Times New Roman" w:hAnsi="Times New Roman" w:eastAsia="黑体"/>
              <w:sz w:val="28"/>
              <w:szCs w:val="28"/>
              <w:highlight w:val="none"/>
            </w:rPr>
            <w:t>国有资本经营预算支出决算情况说明</w:t>
          </w:r>
          <w:r>
            <w:rPr>
              <w:sz w:val="28"/>
              <w:szCs w:val="28"/>
            </w:rPr>
            <w:tab/>
          </w:r>
          <w:r>
            <w:rPr>
              <w:sz w:val="28"/>
              <w:szCs w:val="28"/>
            </w:rPr>
            <w:fldChar w:fldCharType="begin"/>
          </w:r>
          <w:r>
            <w:rPr>
              <w:sz w:val="28"/>
              <w:szCs w:val="28"/>
            </w:rPr>
            <w:instrText xml:space="preserve"> PAGEREF _Toc2091900616 \h </w:instrText>
          </w:r>
          <w:r>
            <w:rPr>
              <w:sz w:val="28"/>
              <w:szCs w:val="28"/>
            </w:rPr>
            <w:fldChar w:fldCharType="separate"/>
          </w:r>
          <w:r>
            <w:rPr>
              <w:sz w:val="28"/>
              <w:szCs w:val="28"/>
            </w:rPr>
            <w:t>18</w:t>
          </w:r>
          <w:r>
            <w:rPr>
              <w:sz w:val="28"/>
              <w:szCs w:val="28"/>
            </w:rPr>
            <w:fldChar w:fldCharType="end"/>
          </w:r>
          <w:r>
            <w:rPr>
              <w:sz w:val="28"/>
              <w:szCs w:val="28"/>
            </w:rPr>
            <w:fldChar w:fldCharType="end"/>
          </w:r>
        </w:p>
        <w:p w14:paraId="689F2CAA">
          <w:pPr>
            <w:pStyle w:val="45"/>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sz w:val="28"/>
              <w:szCs w:val="28"/>
            </w:rPr>
          </w:pPr>
          <w:r>
            <w:rPr>
              <w:sz w:val="28"/>
              <w:szCs w:val="28"/>
            </w:rPr>
            <w:fldChar w:fldCharType="begin"/>
          </w:r>
          <w:r>
            <w:rPr>
              <w:sz w:val="28"/>
              <w:szCs w:val="28"/>
            </w:rPr>
            <w:instrText xml:space="preserve"> HYPERLINK \l _Toc576940877 </w:instrText>
          </w:r>
          <w:r>
            <w:rPr>
              <w:sz w:val="28"/>
              <w:szCs w:val="28"/>
            </w:rPr>
            <w:fldChar w:fldCharType="separate"/>
          </w:r>
          <w:r>
            <w:rPr>
              <w:rFonts w:hint="eastAsia" w:ascii="Times New Roman" w:hAnsi="Times New Roman" w:eastAsia="黑体"/>
              <w:sz w:val="28"/>
              <w:szCs w:val="28"/>
              <w:highlight w:val="none"/>
              <w:lang w:eastAsia="zh-CN"/>
            </w:rPr>
            <w:t>十、</w:t>
          </w:r>
          <w:r>
            <w:rPr>
              <w:rFonts w:hint="eastAsia" w:ascii="Times New Roman" w:hAnsi="Times New Roman" w:eastAsia="黑体"/>
              <w:sz w:val="28"/>
              <w:szCs w:val="28"/>
              <w:highlight w:val="none"/>
            </w:rPr>
            <w:t>其他重要事项的情况说明</w:t>
          </w:r>
          <w:r>
            <w:rPr>
              <w:sz w:val="28"/>
              <w:szCs w:val="28"/>
            </w:rPr>
            <w:tab/>
          </w:r>
          <w:r>
            <w:rPr>
              <w:sz w:val="28"/>
              <w:szCs w:val="28"/>
            </w:rPr>
            <w:fldChar w:fldCharType="begin"/>
          </w:r>
          <w:r>
            <w:rPr>
              <w:sz w:val="28"/>
              <w:szCs w:val="28"/>
            </w:rPr>
            <w:instrText xml:space="preserve"> PAGEREF _Toc576940877 \h </w:instrText>
          </w:r>
          <w:r>
            <w:rPr>
              <w:sz w:val="28"/>
              <w:szCs w:val="28"/>
            </w:rPr>
            <w:fldChar w:fldCharType="separate"/>
          </w:r>
          <w:r>
            <w:rPr>
              <w:sz w:val="28"/>
              <w:szCs w:val="28"/>
            </w:rPr>
            <w:t>18</w:t>
          </w:r>
          <w:r>
            <w:rPr>
              <w:sz w:val="28"/>
              <w:szCs w:val="28"/>
            </w:rPr>
            <w:fldChar w:fldCharType="end"/>
          </w:r>
          <w:r>
            <w:rPr>
              <w:sz w:val="28"/>
              <w:szCs w:val="28"/>
            </w:rPr>
            <w:fldChar w:fldCharType="end"/>
          </w:r>
        </w:p>
        <w:p w14:paraId="1962C730">
          <w:pPr>
            <w:pStyle w:val="44"/>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b/>
              <w:sz w:val="28"/>
              <w:szCs w:val="28"/>
            </w:rPr>
          </w:pPr>
          <w:r>
            <w:rPr>
              <w:b/>
              <w:sz w:val="28"/>
              <w:szCs w:val="28"/>
            </w:rPr>
            <w:fldChar w:fldCharType="begin"/>
          </w:r>
          <w:r>
            <w:rPr>
              <w:b/>
              <w:sz w:val="28"/>
              <w:szCs w:val="28"/>
            </w:rPr>
            <w:instrText xml:space="preserve"> HYPERLINK \l _Toc2005797729 </w:instrText>
          </w:r>
          <w:r>
            <w:rPr>
              <w:b/>
              <w:sz w:val="28"/>
              <w:szCs w:val="28"/>
            </w:rPr>
            <w:fldChar w:fldCharType="separate"/>
          </w:r>
          <w:r>
            <w:rPr>
              <w:rFonts w:hint="eastAsia" w:ascii="Times New Roman" w:hAnsi="Times New Roman" w:eastAsia="黑体"/>
              <w:b/>
              <w:sz w:val="28"/>
              <w:szCs w:val="28"/>
              <w:highlight w:val="none"/>
            </w:rPr>
            <w:t>第</w:t>
          </w:r>
          <w:r>
            <w:rPr>
              <w:rFonts w:hint="eastAsia" w:eastAsia="黑体"/>
              <w:b/>
              <w:sz w:val="28"/>
              <w:szCs w:val="28"/>
              <w:highlight w:val="none"/>
              <w:lang w:eastAsia="zh-CN"/>
            </w:rPr>
            <w:t>三</w:t>
          </w:r>
          <w:r>
            <w:rPr>
              <w:rFonts w:hint="eastAsia" w:ascii="Times New Roman" w:hAnsi="Times New Roman" w:eastAsia="黑体"/>
              <w:b/>
              <w:sz w:val="28"/>
              <w:szCs w:val="28"/>
              <w:highlight w:val="none"/>
            </w:rPr>
            <w:t>部分</w:t>
          </w:r>
          <w:r>
            <w:rPr>
              <w:rFonts w:hint="eastAsia" w:ascii="Times New Roman" w:hAnsi="Times New Roman" w:eastAsia="黑体"/>
              <w:b/>
              <w:sz w:val="28"/>
              <w:szCs w:val="28"/>
              <w:highlight w:val="none"/>
              <w:lang w:val="en-US" w:eastAsia="zh-CN"/>
            </w:rPr>
            <w:t xml:space="preserve"> </w:t>
          </w:r>
          <w:r>
            <w:rPr>
              <w:rFonts w:hint="eastAsia" w:eastAsia="黑体"/>
              <w:b/>
              <w:sz w:val="28"/>
              <w:szCs w:val="28"/>
              <w:highlight w:val="none"/>
              <w:lang w:val="en-US" w:eastAsia="zh-CN"/>
            </w:rPr>
            <w:t xml:space="preserve"> </w:t>
          </w:r>
          <w:r>
            <w:rPr>
              <w:rFonts w:hint="eastAsia" w:ascii="Times New Roman" w:hAnsi="Times New Roman" w:eastAsia="黑体"/>
              <w:b/>
              <w:sz w:val="28"/>
              <w:szCs w:val="28"/>
              <w:highlight w:val="none"/>
            </w:rPr>
            <w:t>名词解释</w:t>
          </w:r>
          <w:r>
            <w:rPr>
              <w:b/>
              <w:sz w:val="28"/>
              <w:szCs w:val="28"/>
            </w:rPr>
            <w:tab/>
          </w:r>
          <w:r>
            <w:rPr>
              <w:b/>
              <w:sz w:val="28"/>
              <w:szCs w:val="28"/>
            </w:rPr>
            <w:fldChar w:fldCharType="begin"/>
          </w:r>
          <w:r>
            <w:rPr>
              <w:b/>
              <w:sz w:val="28"/>
              <w:szCs w:val="28"/>
            </w:rPr>
            <w:instrText xml:space="preserve"> PAGEREF _Toc2005797729 \h </w:instrText>
          </w:r>
          <w:r>
            <w:rPr>
              <w:b/>
              <w:sz w:val="28"/>
              <w:szCs w:val="28"/>
            </w:rPr>
            <w:fldChar w:fldCharType="separate"/>
          </w:r>
          <w:r>
            <w:rPr>
              <w:b/>
              <w:sz w:val="28"/>
              <w:szCs w:val="28"/>
            </w:rPr>
            <w:t>20</w:t>
          </w:r>
          <w:r>
            <w:rPr>
              <w:b/>
              <w:sz w:val="28"/>
              <w:szCs w:val="28"/>
            </w:rPr>
            <w:fldChar w:fldCharType="end"/>
          </w:r>
          <w:r>
            <w:rPr>
              <w:b/>
              <w:sz w:val="28"/>
              <w:szCs w:val="28"/>
            </w:rPr>
            <w:fldChar w:fldCharType="end"/>
          </w:r>
        </w:p>
        <w:p w14:paraId="5C5ED124">
          <w:pPr>
            <w:pStyle w:val="44"/>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b/>
              <w:sz w:val="28"/>
              <w:szCs w:val="28"/>
            </w:rPr>
          </w:pPr>
          <w:r>
            <w:rPr>
              <w:b/>
              <w:sz w:val="28"/>
              <w:szCs w:val="28"/>
            </w:rPr>
            <w:fldChar w:fldCharType="begin"/>
          </w:r>
          <w:r>
            <w:rPr>
              <w:b/>
              <w:sz w:val="28"/>
              <w:szCs w:val="28"/>
            </w:rPr>
            <w:instrText xml:space="preserve"> HYPERLINK \l _Toc2071794380 </w:instrText>
          </w:r>
          <w:r>
            <w:rPr>
              <w:b/>
              <w:sz w:val="28"/>
              <w:szCs w:val="28"/>
            </w:rPr>
            <w:fldChar w:fldCharType="separate"/>
          </w:r>
          <w:r>
            <w:rPr>
              <w:rFonts w:hint="eastAsia" w:ascii="Times New Roman" w:hAnsi="Times New Roman" w:eastAsia="黑体"/>
              <w:b/>
              <w:sz w:val="28"/>
              <w:szCs w:val="28"/>
              <w:highlight w:val="none"/>
            </w:rPr>
            <w:t>第四部分</w:t>
          </w:r>
          <w:r>
            <w:rPr>
              <w:rFonts w:hint="eastAsia" w:ascii="Times New Roman" w:hAnsi="Times New Roman" w:eastAsia="黑体"/>
              <w:b/>
              <w:sz w:val="28"/>
              <w:szCs w:val="28"/>
              <w:highlight w:val="none"/>
              <w:lang w:val="en-US" w:eastAsia="zh-CN"/>
            </w:rPr>
            <w:t xml:space="preserve"> </w:t>
          </w:r>
          <w:r>
            <w:rPr>
              <w:rFonts w:hint="eastAsia" w:ascii="Times New Roman" w:hAnsi="Times New Roman" w:eastAsia="黑体"/>
              <w:b/>
              <w:sz w:val="28"/>
              <w:szCs w:val="28"/>
              <w:highlight w:val="none"/>
            </w:rPr>
            <w:t xml:space="preserve"> 附件</w:t>
          </w:r>
          <w:r>
            <w:rPr>
              <w:b/>
              <w:sz w:val="28"/>
              <w:szCs w:val="28"/>
            </w:rPr>
            <w:tab/>
          </w:r>
          <w:r>
            <w:rPr>
              <w:b/>
              <w:sz w:val="28"/>
              <w:szCs w:val="28"/>
            </w:rPr>
            <w:fldChar w:fldCharType="begin"/>
          </w:r>
          <w:r>
            <w:rPr>
              <w:b/>
              <w:sz w:val="28"/>
              <w:szCs w:val="28"/>
            </w:rPr>
            <w:instrText xml:space="preserve"> PAGEREF _Toc2071794380 \h </w:instrText>
          </w:r>
          <w:r>
            <w:rPr>
              <w:b/>
              <w:sz w:val="28"/>
              <w:szCs w:val="28"/>
            </w:rPr>
            <w:fldChar w:fldCharType="separate"/>
          </w:r>
          <w:r>
            <w:rPr>
              <w:b/>
              <w:sz w:val="28"/>
              <w:szCs w:val="28"/>
            </w:rPr>
            <w:t>27</w:t>
          </w:r>
          <w:r>
            <w:rPr>
              <w:b/>
              <w:sz w:val="28"/>
              <w:szCs w:val="28"/>
            </w:rPr>
            <w:fldChar w:fldCharType="end"/>
          </w:r>
          <w:r>
            <w:rPr>
              <w:b/>
              <w:sz w:val="28"/>
              <w:szCs w:val="28"/>
            </w:rPr>
            <w:fldChar w:fldCharType="end"/>
          </w:r>
        </w:p>
        <w:p w14:paraId="566A9CF3">
          <w:pPr>
            <w:pStyle w:val="44"/>
            <w:keepNext w:val="0"/>
            <w:keepLines w:val="0"/>
            <w:pageBreakBefore w:val="0"/>
            <w:widowControl/>
            <w:tabs>
              <w:tab w:val="right" w:leader="dot" w:pos="8306"/>
            </w:tabs>
            <w:kinsoku/>
            <w:wordWrap/>
            <w:overflowPunct/>
            <w:topLinePunct w:val="0"/>
            <w:autoSpaceDE/>
            <w:autoSpaceDN/>
            <w:bidi w:val="0"/>
            <w:adjustRightInd/>
            <w:snapToGrid/>
            <w:spacing w:line="600" w:lineRule="exact"/>
            <w:textAlignment w:val="auto"/>
            <w:rPr>
              <w:b/>
            </w:rPr>
          </w:pPr>
          <w:r>
            <w:rPr>
              <w:b/>
              <w:sz w:val="28"/>
              <w:szCs w:val="28"/>
            </w:rPr>
            <w:fldChar w:fldCharType="begin"/>
          </w:r>
          <w:r>
            <w:rPr>
              <w:b/>
              <w:sz w:val="28"/>
              <w:szCs w:val="28"/>
            </w:rPr>
            <w:instrText xml:space="preserve"> HYPERLINK \l _Toc217338745 </w:instrText>
          </w:r>
          <w:r>
            <w:rPr>
              <w:b/>
              <w:sz w:val="28"/>
              <w:szCs w:val="28"/>
            </w:rPr>
            <w:fldChar w:fldCharType="separate"/>
          </w:r>
          <w:r>
            <w:rPr>
              <w:rFonts w:hint="eastAsia" w:ascii="Times New Roman" w:hAnsi="Times New Roman" w:eastAsia="黑体"/>
              <w:b/>
              <w:sz w:val="28"/>
              <w:szCs w:val="28"/>
              <w:highlight w:val="none"/>
            </w:rPr>
            <w:t>第五部分 附表</w:t>
          </w:r>
          <w:r>
            <w:rPr>
              <w:b/>
              <w:sz w:val="28"/>
              <w:szCs w:val="28"/>
            </w:rPr>
            <w:tab/>
          </w:r>
          <w:r>
            <w:rPr>
              <w:b/>
              <w:sz w:val="28"/>
              <w:szCs w:val="28"/>
            </w:rPr>
            <w:fldChar w:fldCharType="begin"/>
          </w:r>
          <w:r>
            <w:rPr>
              <w:b/>
              <w:sz w:val="28"/>
              <w:szCs w:val="28"/>
            </w:rPr>
            <w:instrText xml:space="preserve"> PAGEREF _Toc217338745 \h </w:instrText>
          </w:r>
          <w:r>
            <w:rPr>
              <w:b/>
              <w:sz w:val="28"/>
              <w:szCs w:val="28"/>
            </w:rPr>
            <w:fldChar w:fldCharType="separate"/>
          </w:r>
          <w:r>
            <w:rPr>
              <w:b/>
              <w:sz w:val="28"/>
              <w:szCs w:val="28"/>
            </w:rPr>
            <w:t>39</w:t>
          </w:r>
          <w:r>
            <w:rPr>
              <w:b/>
              <w:sz w:val="28"/>
              <w:szCs w:val="28"/>
            </w:rPr>
            <w:fldChar w:fldCharType="end"/>
          </w:r>
          <w:r>
            <w:rPr>
              <w:b/>
              <w:sz w:val="28"/>
              <w:szCs w:val="28"/>
            </w:rPr>
            <w:fldChar w:fldCharType="end"/>
          </w:r>
        </w:p>
        <w:p w14:paraId="37E582ED">
          <w:pPr>
            <w:keepNext w:val="0"/>
            <w:keepLines w:val="0"/>
            <w:pageBreakBefore w:val="0"/>
            <w:widowControl/>
            <w:kinsoku/>
            <w:wordWrap/>
            <w:overflowPunct/>
            <w:topLinePunct w:val="0"/>
            <w:autoSpaceDE/>
            <w:autoSpaceDN/>
            <w:bidi w:val="0"/>
            <w:adjustRightInd/>
            <w:snapToGrid/>
            <w:spacing w:line="600" w:lineRule="exact"/>
            <w:textAlignment w:val="auto"/>
          </w:pPr>
          <w:r>
            <w:rPr>
              <w:b/>
            </w:rPr>
            <w:fldChar w:fldCharType="end"/>
          </w:r>
          <w:bookmarkStart w:id="8" w:name="_Toc2146997206"/>
        </w:p>
      </w:sdtContent>
    </w:sdt>
    <w:p w14:paraId="7C2E510F">
      <w:pPr>
        <w:keepNext w:val="0"/>
        <w:keepLines w:val="0"/>
        <w:pageBreakBefore w:val="0"/>
        <w:widowControl/>
        <w:kinsoku/>
        <w:wordWrap/>
        <w:overflowPunct/>
        <w:topLinePunct w:val="0"/>
        <w:autoSpaceDE/>
        <w:autoSpaceDN/>
        <w:bidi w:val="0"/>
        <w:adjustRightInd/>
        <w:snapToGrid/>
        <w:spacing w:line="600" w:lineRule="exact"/>
        <w:jc w:val="center"/>
        <w:textAlignment w:val="auto"/>
        <w:rPr>
          <w:rStyle w:val="30"/>
          <w:rFonts w:hint="eastAsia" w:ascii="Times New Roman" w:hAnsi="Times New Roman" w:eastAsia="方正小标宋简体" w:cs="方正小标宋简体"/>
          <w:b/>
          <w:bCs w:val="0"/>
          <w:color w:val="auto"/>
          <w:highlight w:val="none"/>
        </w:rPr>
      </w:pPr>
      <w:r>
        <w:rPr>
          <w:rStyle w:val="30"/>
          <w:rFonts w:hint="eastAsia" w:eastAsia="方正小标宋简体" w:cs="方正小标宋简体"/>
          <w:b w:val="0"/>
          <w:bCs w:val="0"/>
          <w:color w:val="auto"/>
          <w:highlight w:val="none"/>
          <w:lang w:val="en-US" w:eastAsia="zh-CN" w:bidi="ar-SA"/>
        </w:rPr>
        <w:t xml:space="preserve">第一部分  </w:t>
      </w:r>
      <w:r>
        <w:rPr>
          <w:rStyle w:val="30"/>
          <w:rFonts w:hint="eastAsia" w:ascii="Times New Roman" w:hAnsi="Times New Roman" w:eastAsia="方正小标宋简体" w:cs="方正小标宋简体"/>
          <w:b w:val="0"/>
          <w:bCs w:val="0"/>
          <w:color w:val="auto"/>
          <w:highlight w:val="none"/>
        </w:rPr>
        <w:t>部门概况</w:t>
      </w:r>
      <w:bookmarkEnd w:id="6"/>
      <w:bookmarkEnd w:id="7"/>
      <w:bookmarkEnd w:id="8"/>
    </w:p>
    <w:p w14:paraId="06A40E43">
      <w:pPr>
        <w:widowControl/>
        <w:jc w:val="left"/>
        <w:rPr>
          <w:rFonts w:ascii="Times New Roman" w:hAnsi="Times New Roman" w:eastAsia="黑体"/>
          <w:color w:val="auto"/>
          <w:sz w:val="32"/>
          <w:szCs w:val="32"/>
          <w:highlight w:val="none"/>
        </w:rPr>
      </w:pPr>
    </w:p>
    <w:p w14:paraId="5505F1DA">
      <w:pPr>
        <w:pStyle w:val="6"/>
        <w:ind w:firstLine="640" w:firstLineChars="200"/>
        <w:rPr>
          <w:rStyle w:val="31"/>
          <w:rFonts w:hint="eastAsia" w:ascii="Times New Roman" w:hAnsi="Times New Roman" w:eastAsia="黑体"/>
          <w:b w:val="0"/>
          <w:bCs w:val="0"/>
          <w:color w:val="auto"/>
          <w:highlight w:val="none"/>
          <w:lang w:eastAsia="zh-CN"/>
        </w:rPr>
      </w:pPr>
      <w:bookmarkStart w:id="9" w:name="_Toc15377197"/>
      <w:bookmarkStart w:id="10" w:name="_Toc15396600"/>
      <w:bookmarkStart w:id="11" w:name="_Toc213994107"/>
      <w:r>
        <w:rPr>
          <w:rFonts w:hint="eastAsia" w:ascii="Times New Roman" w:hAnsi="Times New Roman" w:eastAsia="黑体"/>
          <w:b w:val="0"/>
          <w:color w:val="auto"/>
          <w:highlight w:val="none"/>
        </w:rPr>
        <w:t>一、</w:t>
      </w:r>
      <w:bookmarkEnd w:id="9"/>
      <w:bookmarkEnd w:id="10"/>
      <w:r>
        <w:rPr>
          <w:rFonts w:hint="eastAsia" w:ascii="Times New Roman" w:hAnsi="Times New Roman" w:eastAsia="黑体"/>
          <w:b w:val="0"/>
          <w:color w:val="auto"/>
          <w:highlight w:val="none"/>
          <w:lang w:eastAsia="zh-CN"/>
        </w:rPr>
        <w:t>部门职责</w:t>
      </w:r>
      <w:bookmarkEnd w:id="11"/>
    </w:p>
    <w:p w14:paraId="5FF6E193">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bidi="ar"/>
        </w:rPr>
      </w:pPr>
      <w:bookmarkStart w:id="12" w:name="_Toc22641"/>
      <w:bookmarkStart w:id="13" w:name="_Toc15377200"/>
      <w:bookmarkStart w:id="14" w:name="_Toc15396601"/>
      <w:r>
        <w:rPr>
          <w:rFonts w:hint="default" w:ascii="Times New Roman" w:hAnsi="Times New Roman" w:eastAsia="仿宋_GB2312" w:cs="Times New Roman"/>
          <w:caps w:val="0"/>
          <w:color w:val="auto"/>
          <w:kern w:val="2"/>
          <w:sz w:val="32"/>
          <w:szCs w:val="32"/>
          <w:vertAlign w:val="baseline"/>
          <w:lang w:val="en-US" w:eastAsia="zh-CN" w:bidi="ar"/>
        </w:rPr>
        <w:t>攀枝花市卫生健康委员会是政府工作部门，根据《攀枝花市人民政府办公室关于印发攀枝花市卫生健康委员会主要职责内设机构和人员编制规定的通知》（攀委办〔2019〕34号）、《中共攀枝花市委机构编制委员会办公室关于调整市卫生健康委员会有关机构编制的通知》（攀编办〔2024〕21号）、《中共攀枝花市委机构编制委员会关于设立攀枝花市中医药发展服务中心的批复》（攀编发〔2022〕22号），主要职责如下：</w:t>
      </w:r>
      <w:bookmarkEnd w:id="12"/>
    </w:p>
    <w:p w14:paraId="0CEB8E20">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outlineLvl w:val="2"/>
        <w:rPr>
          <w:rFonts w:hint="default" w:ascii="Times New Roman" w:hAnsi="Times New Roman" w:eastAsia="仿宋_GB2312" w:cs="Times New Roman"/>
          <w:caps w:val="0"/>
          <w:color w:val="auto"/>
          <w:kern w:val="2"/>
          <w:sz w:val="32"/>
          <w:szCs w:val="32"/>
          <w:vertAlign w:val="baseline"/>
          <w:lang w:bidi="ar"/>
        </w:rPr>
      </w:pPr>
      <w:bookmarkStart w:id="15" w:name="_Toc9041"/>
      <w:r>
        <w:rPr>
          <w:rFonts w:hint="default" w:ascii="Times New Roman" w:hAnsi="Times New Roman" w:eastAsia="仿宋_GB2312" w:cs="Times New Roman"/>
          <w:caps w:val="0"/>
          <w:color w:val="auto"/>
          <w:kern w:val="2"/>
          <w:sz w:val="32"/>
          <w:szCs w:val="32"/>
          <w:vertAlign w:val="baseline"/>
          <w:lang w:val="en-US" w:eastAsia="zh-CN" w:bidi="ar"/>
        </w:rPr>
        <w:t>1.</w:t>
      </w:r>
      <w:r>
        <w:rPr>
          <w:rFonts w:hint="eastAsia" w:ascii="Times New Roman" w:eastAsia="仿宋_GB2312" w:cs="仿宋_GB2312"/>
          <w:caps w:val="0"/>
          <w:color w:val="auto"/>
          <w:kern w:val="2"/>
          <w:sz w:val="32"/>
          <w:szCs w:val="32"/>
          <w:vertAlign w:val="baseline"/>
          <w:lang w:val="en-US" w:eastAsia="zh-CN" w:bidi="ar"/>
        </w:rPr>
        <w:t>组织拟订全市卫生健康政策。负责拟订卫生健康事业发展政策、规划并组织实施。统筹规划全市卫生健康资源配置。制定并组织实施推进卫生健康基本公共服务均等化、普惠化、便捷化和公共资源向基层延伸等政策措施。</w:t>
      </w:r>
      <w:bookmarkEnd w:id="15"/>
    </w:p>
    <w:p w14:paraId="2E999820">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outlineLvl w:val="2"/>
        <w:rPr>
          <w:rFonts w:hint="default" w:ascii="Times New Roman" w:hAnsi="Times New Roman" w:eastAsia="仿宋_GB2312" w:cs="Times New Roman"/>
          <w:caps w:val="0"/>
          <w:color w:val="auto"/>
          <w:kern w:val="2"/>
          <w:sz w:val="32"/>
          <w:szCs w:val="32"/>
          <w:vertAlign w:val="baseline"/>
          <w:lang w:bidi="ar"/>
        </w:rPr>
      </w:pPr>
      <w:bookmarkStart w:id="16" w:name="_Toc10714"/>
      <w:r>
        <w:rPr>
          <w:rFonts w:hint="default" w:ascii="Times New Roman" w:hAnsi="Times New Roman" w:eastAsia="仿宋_GB2312" w:cs="Times New Roman"/>
          <w:caps w:val="0"/>
          <w:color w:val="auto"/>
          <w:kern w:val="2"/>
          <w:sz w:val="32"/>
          <w:szCs w:val="32"/>
          <w:vertAlign w:val="baseline"/>
          <w:lang w:val="en-US" w:eastAsia="zh-CN" w:bidi="ar"/>
        </w:rPr>
        <w:t>2.</w:t>
      </w:r>
      <w:r>
        <w:rPr>
          <w:rFonts w:hint="eastAsia" w:ascii="Times New Roman" w:eastAsia="仿宋_GB2312" w:cs="仿宋_GB2312"/>
          <w:caps w:val="0"/>
          <w:color w:val="auto"/>
          <w:kern w:val="2"/>
          <w:sz w:val="32"/>
          <w:szCs w:val="32"/>
          <w:vertAlign w:val="baseline"/>
          <w:lang w:val="en-US" w:eastAsia="zh-CN" w:bidi="ar"/>
        </w:rPr>
        <w:t>牵头推进全市深化医药卫生体制改革。研究提出深化改革重大政策、措施的建议。组织深化公立医院综合改革，建立健全现代医院管理制度。制定并组织实施推动卫生健康公共服务提供主体多元化、提供方式多样化的政策措施。</w:t>
      </w:r>
      <w:bookmarkEnd w:id="16"/>
    </w:p>
    <w:p w14:paraId="3AAFF73D">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left"/>
        <w:outlineLvl w:val="2"/>
        <w:rPr>
          <w:rFonts w:hint="default" w:ascii="Times New Roman" w:hAnsi="Times New Roman" w:eastAsia="仿宋_GB2312" w:cs="Times New Roman"/>
          <w:caps w:val="0"/>
          <w:color w:val="auto"/>
          <w:kern w:val="2"/>
          <w:sz w:val="32"/>
          <w:szCs w:val="32"/>
          <w:vertAlign w:val="baseline"/>
          <w:lang w:bidi="ar"/>
        </w:rPr>
      </w:pPr>
      <w:bookmarkStart w:id="17" w:name="_Toc8244"/>
      <w:r>
        <w:rPr>
          <w:rFonts w:hint="default" w:ascii="Times New Roman" w:hAnsi="Times New Roman" w:eastAsia="仿宋_GB2312" w:cs="Times New Roman"/>
          <w:caps w:val="0"/>
          <w:color w:val="auto"/>
          <w:kern w:val="2"/>
          <w:sz w:val="32"/>
          <w:szCs w:val="32"/>
          <w:vertAlign w:val="baseline"/>
          <w:lang w:val="en-US" w:eastAsia="zh-CN" w:bidi="ar"/>
        </w:rPr>
        <w:t>3.</w:t>
      </w:r>
      <w:r>
        <w:rPr>
          <w:rFonts w:hint="eastAsia" w:ascii="Times New Roman" w:eastAsia="仿宋_GB2312" w:cs="仿宋_GB2312"/>
          <w:caps w:val="0"/>
          <w:color w:val="auto"/>
          <w:kern w:val="2"/>
          <w:sz w:val="32"/>
          <w:szCs w:val="32"/>
          <w:vertAlign w:val="baseline"/>
          <w:lang w:val="en-US" w:eastAsia="zh-CN" w:bidi="ar"/>
        </w:rPr>
        <w:t>制定并组织落实全市疾病预防控制规划、免疫规划以及严重危害人民健康的艾滋病等重大传染病、寄生虫病、地方病等公共卫生问题的干预措施。负责全市卫生应急工作，组织和指导全市突发公共卫生事件预防控制和各类突发公共事件的医疗卫生救援。收集、报告法定传染病疫情信息、突发公共卫生事件应急处置信息。依照国家检疫传染病和监测传染病目录，参与开展检疫监测工作。</w:t>
      </w:r>
      <w:bookmarkEnd w:id="17"/>
    </w:p>
    <w:p w14:paraId="4735852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outlineLvl w:val="2"/>
        <w:rPr>
          <w:rFonts w:hint="default" w:ascii="Times New Roman" w:hAnsi="Times New Roman" w:eastAsia="仿宋_GB2312" w:cs="Times New Roman"/>
          <w:caps w:val="0"/>
          <w:color w:val="auto"/>
          <w:kern w:val="2"/>
          <w:sz w:val="32"/>
          <w:szCs w:val="32"/>
          <w:vertAlign w:val="baseline"/>
          <w:lang w:bidi="ar"/>
        </w:rPr>
      </w:pPr>
      <w:bookmarkStart w:id="18" w:name="_Toc11817"/>
      <w:r>
        <w:rPr>
          <w:rFonts w:hint="default" w:ascii="Times New Roman" w:hAnsi="Times New Roman" w:eastAsia="仿宋_GB2312" w:cs="Times New Roman"/>
          <w:caps w:val="0"/>
          <w:color w:val="auto"/>
          <w:kern w:val="2"/>
          <w:sz w:val="32"/>
          <w:szCs w:val="32"/>
          <w:vertAlign w:val="baseline"/>
          <w:lang w:val="en-US" w:eastAsia="zh-CN" w:bidi="ar"/>
        </w:rPr>
        <w:t>4.</w:t>
      </w:r>
      <w:r>
        <w:rPr>
          <w:rFonts w:hint="eastAsia" w:ascii="Times New Roman" w:eastAsia="仿宋_GB2312" w:cs="仿宋_GB2312"/>
          <w:caps w:val="0"/>
          <w:color w:val="auto"/>
          <w:kern w:val="2"/>
          <w:sz w:val="32"/>
          <w:szCs w:val="32"/>
          <w:vertAlign w:val="baseline"/>
          <w:lang w:val="en-US" w:eastAsia="zh-CN" w:bidi="ar"/>
        </w:rPr>
        <w:t>贯彻落实国家药物政策和国家基本药物制度。开展药械使用监测、临床综合评价和短缺药品预警，组织执行国家药典和国家基本药物目录，制定基本药物使用的政策措施。</w:t>
      </w:r>
      <w:bookmarkEnd w:id="18"/>
    </w:p>
    <w:p w14:paraId="1B198F5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outlineLvl w:val="2"/>
        <w:rPr>
          <w:rFonts w:hint="default" w:ascii="Times New Roman" w:hAnsi="Times New Roman" w:eastAsia="仿宋_GB2312" w:cs="Times New Roman"/>
          <w:caps w:val="0"/>
          <w:color w:val="auto"/>
          <w:kern w:val="2"/>
          <w:sz w:val="32"/>
          <w:szCs w:val="32"/>
          <w:vertAlign w:val="baseline"/>
          <w:lang w:bidi="ar"/>
        </w:rPr>
      </w:pPr>
      <w:bookmarkStart w:id="19" w:name="_Toc26452"/>
      <w:r>
        <w:rPr>
          <w:rFonts w:hint="default" w:ascii="Times New Roman" w:hAnsi="Times New Roman" w:eastAsia="仿宋_GB2312" w:cs="Times New Roman"/>
          <w:caps w:val="0"/>
          <w:color w:val="auto"/>
          <w:kern w:val="2"/>
          <w:sz w:val="32"/>
          <w:szCs w:val="32"/>
          <w:vertAlign w:val="baseline"/>
          <w:lang w:val="en-US" w:eastAsia="zh-CN" w:bidi="ar"/>
        </w:rPr>
        <w:t>5.</w:t>
      </w:r>
      <w:r>
        <w:rPr>
          <w:rFonts w:hint="eastAsia" w:ascii="Times New Roman" w:eastAsia="仿宋_GB2312" w:cs="仿宋_GB2312"/>
          <w:caps w:val="0"/>
          <w:color w:val="auto"/>
          <w:kern w:val="2"/>
          <w:sz w:val="32"/>
          <w:szCs w:val="32"/>
          <w:vertAlign w:val="baseline"/>
          <w:lang w:val="en-US" w:eastAsia="zh-CN" w:bidi="ar"/>
        </w:rPr>
        <w:t>组织实施食品安全风险监测，开展食品安全企业标准备案，组织开展食品安全事故流行病学调查。</w:t>
      </w:r>
      <w:bookmarkEnd w:id="19"/>
    </w:p>
    <w:p w14:paraId="20BECE4B">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outlineLvl w:val="2"/>
        <w:rPr>
          <w:rFonts w:hint="default" w:ascii="Times New Roman" w:hAnsi="Times New Roman" w:eastAsia="仿宋_GB2312" w:cs="Times New Roman"/>
          <w:caps w:val="0"/>
          <w:color w:val="auto"/>
          <w:kern w:val="2"/>
          <w:sz w:val="32"/>
          <w:szCs w:val="32"/>
          <w:vertAlign w:val="baseline"/>
          <w:lang w:bidi="ar"/>
        </w:rPr>
      </w:pPr>
      <w:bookmarkStart w:id="20" w:name="_Toc11261"/>
      <w:r>
        <w:rPr>
          <w:rFonts w:hint="default" w:ascii="Times New Roman" w:hAnsi="Times New Roman" w:eastAsia="仿宋_GB2312" w:cs="Times New Roman"/>
          <w:caps w:val="0"/>
          <w:color w:val="auto"/>
          <w:kern w:val="2"/>
          <w:sz w:val="32"/>
          <w:szCs w:val="32"/>
          <w:vertAlign w:val="baseline"/>
          <w:lang w:val="en-US" w:eastAsia="zh-CN" w:bidi="ar"/>
        </w:rPr>
        <w:t>6.</w:t>
      </w:r>
      <w:r>
        <w:rPr>
          <w:rFonts w:hint="eastAsia" w:ascii="Times New Roman" w:eastAsia="仿宋_GB2312" w:cs="仿宋_GB2312"/>
          <w:caps w:val="0"/>
          <w:color w:val="auto"/>
          <w:kern w:val="2"/>
          <w:sz w:val="32"/>
          <w:szCs w:val="32"/>
          <w:vertAlign w:val="baseline"/>
          <w:lang w:val="en-US" w:eastAsia="zh-CN" w:bidi="ar"/>
        </w:rPr>
        <w:t>负责职责范围内的职业卫生、放射卫生、环境卫生、学校卫生、公共场所卫生、饮用水卫生等公共卫生的监督管理。负责传染病防治监督，健全卫生健康综合监管体系。</w:t>
      </w:r>
      <w:bookmarkEnd w:id="20"/>
    </w:p>
    <w:p w14:paraId="2902A9E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outlineLvl w:val="2"/>
        <w:rPr>
          <w:rFonts w:hint="default" w:ascii="Times New Roman" w:hAnsi="Times New Roman" w:eastAsia="仿宋_GB2312" w:cs="Times New Roman"/>
          <w:caps w:val="0"/>
          <w:color w:val="auto"/>
          <w:kern w:val="2"/>
          <w:sz w:val="32"/>
          <w:szCs w:val="32"/>
          <w:vertAlign w:val="baseline"/>
          <w:lang w:bidi="ar"/>
        </w:rPr>
      </w:pPr>
      <w:bookmarkStart w:id="21" w:name="_Toc5684"/>
      <w:r>
        <w:rPr>
          <w:rFonts w:hint="default" w:ascii="Times New Roman" w:hAnsi="Times New Roman" w:eastAsia="仿宋_GB2312" w:cs="Times New Roman"/>
          <w:caps w:val="0"/>
          <w:color w:val="auto"/>
          <w:kern w:val="2"/>
          <w:sz w:val="32"/>
          <w:szCs w:val="32"/>
          <w:vertAlign w:val="baseline"/>
          <w:lang w:val="en-US" w:eastAsia="zh-CN" w:bidi="ar"/>
        </w:rPr>
        <w:t>7.</w:t>
      </w:r>
      <w:r>
        <w:rPr>
          <w:rFonts w:hint="eastAsia" w:ascii="Times New Roman" w:eastAsia="仿宋_GB2312" w:cs="仿宋_GB2312"/>
          <w:caps w:val="0"/>
          <w:color w:val="auto"/>
          <w:kern w:val="2"/>
          <w:sz w:val="32"/>
          <w:szCs w:val="32"/>
          <w:vertAlign w:val="baseline"/>
          <w:lang w:val="en-US" w:eastAsia="zh-CN" w:bidi="ar"/>
        </w:rPr>
        <w:t>制定全市医疗机构、医疗服务行业管理办法并监督实施，建立医疗服务评价和监督管理体系。会同有关部门实施卫生健康专业技术人员资格标准。制定并组织实施医疗服务规范、标准和卫生健康专业技术人员执业规则、服务规范。负责医疗机构、人员和行为的日常监管。</w:t>
      </w:r>
      <w:bookmarkEnd w:id="21"/>
    </w:p>
    <w:p w14:paraId="2B5F7565">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left"/>
        <w:outlineLvl w:val="2"/>
        <w:rPr>
          <w:rFonts w:hint="default" w:ascii="Times New Roman" w:hAnsi="Times New Roman" w:eastAsia="仿宋_GB2312" w:cs="Times New Roman"/>
          <w:caps w:val="0"/>
          <w:color w:val="auto"/>
          <w:kern w:val="2"/>
          <w:sz w:val="32"/>
          <w:szCs w:val="32"/>
          <w:vertAlign w:val="baseline"/>
          <w:lang w:bidi="ar"/>
        </w:rPr>
      </w:pPr>
      <w:bookmarkStart w:id="22" w:name="_Toc21740"/>
      <w:r>
        <w:rPr>
          <w:rFonts w:hint="default" w:ascii="Times New Roman" w:hAnsi="Times New Roman" w:eastAsia="仿宋_GB2312" w:cs="Times New Roman"/>
          <w:caps w:val="0"/>
          <w:color w:val="auto"/>
          <w:kern w:val="2"/>
          <w:sz w:val="32"/>
          <w:szCs w:val="32"/>
          <w:vertAlign w:val="baseline"/>
          <w:lang w:val="en-US" w:eastAsia="zh-CN" w:bidi="ar"/>
        </w:rPr>
        <w:t>8.</w:t>
      </w:r>
      <w:bookmarkEnd w:id="22"/>
      <w:r>
        <w:rPr>
          <w:rFonts w:hint="eastAsia" w:ascii="Times New Roman" w:eastAsia="仿宋_GB2312" w:cs="仿宋_GB2312"/>
          <w:caps w:val="0"/>
          <w:color w:val="auto"/>
          <w:kern w:val="2"/>
          <w:sz w:val="32"/>
          <w:szCs w:val="32"/>
          <w:vertAlign w:val="baseline"/>
          <w:lang w:val="en-US" w:eastAsia="zh-CN" w:bidi="ar"/>
        </w:rPr>
        <w:t>负责全市中医药传承与发展研究、健康服务标准应用、中医药适宜技术推广、交流合作、信息服务等事务性工作。协助开展全市中医药产业发展规划和建设指导工作，提供中医药产业发展标准规范，组织开展中医药人才培养、培训项目实施。负责全市中医药产业统计调查、中医药服务监测、医改监测、数据质控、挖掘、分析、发布等。负责市中医药学会的事务性工作。负责全市中医药行业资格考试、科研教学、评审评价等事务性工作。</w:t>
      </w:r>
    </w:p>
    <w:p w14:paraId="2F0D3F59">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left"/>
        <w:outlineLvl w:val="2"/>
        <w:rPr>
          <w:rFonts w:hint="default" w:ascii="Times New Roman" w:hAnsi="Times New Roman" w:eastAsia="仿宋_GB2312" w:cs="Times New Roman"/>
          <w:caps w:val="0"/>
          <w:color w:val="auto"/>
          <w:kern w:val="2"/>
          <w:sz w:val="32"/>
          <w:szCs w:val="32"/>
          <w:vertAlign w:val="baseline"/>
          <w:lang w:bidi="ar"/>
        </w:rPr>
      </w:pPr>
      <w:bookmarkStart w:id="23" w:name="_Toc28379"/>
      <w:r>
        <w:rPr>
          <w:rFonts w:hint="default" w:ascii="Times New Roman" w:hAnsi="Times New Roman" w:eastAsia="仿宋_GB2312" w:cs="Times New Roman"/>
          <w:caps w:val="0"/>
          <w:color w:val="auto"/>
          <w:kern w:val="2"/>
          <w:sz w:val="32"/>
          <w:szCs w:val="32"/>
          <w:vertAlign w:val="baseline"/>
          <w:lang w:val="en-US" w:eastAsia="zh-CN" w:bidi="ar"/>
        </w:rPr>
        <w:t>9.</w:t>
      </w:r>
      <w:r>
        <w:rPr>
          <w:rFonts w:hint="eastAsia" w:ascii="Times New Roman" w:eastAsia="仿宋_GB2312" w:cs="仿宋_GB2312"/>
          <w:caps w:val="0"/>
          <w:color w:val="auto"/>
          <w:kern w:val="2"/>
          <w:sz w:val="32"/>
          <w:szCs w:val="32"/>
          <w:vertAlign w:val="baseline"/>
          <w:lang w:val="en-US" w:eastAsia="zh-CN" w:bidi="ar"/>
        </w:rPr>
        <w:t>负责全市计划生育管理和服务工作，开展人口监测预警，研究提出人口与家庭发展相关政策建议，执行计划生育政策。指导市计划生育协会的业务工作。</w:t>
      </w:r>
      <w:bookmarkEnd w:id="23"/>
    </w:p>
    <w:p w14:paraId="74CB683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left"/>
        <w:outlineLvl w:val="2"/>
        <w:rPr>
          <w:rFonts w:hint="default" w:ascii="Times New Roman" w:hAnsi="Times New Roman" w:eastAsia="仿宋_GB2312" w:cs="Times New Roman"/>
          <w:caps w:val="0"/>
          <w:color w:val="auto"/>
          <w:kern w:val="2"/>
          <w:sz w:val="32"/>
          <w:szCs w:val="32"/>
          <w:vertAlign w:val="baseline"/>
          <w:lang w:bidi="ar"/>
        </w:rPr>
      </w:pPr>
      <w:bookmarkStart w:id="24" w:name="_Toc29755"/>
      <w:r>
        <w:rPr>
          <w:rFonts w:hint="default" w:ascii="Times New Roman" w:hAnsi="Times New Roman" w:eastAsia="仿宋_GB2312" w:cs="Times New Roman"/>
          <w:caps w:val="0"/>
          <w:color w:val="auto"/>
          <w:kern w:val="2"/>
          <w:sz w:val="32"/>
          <w:szCs w:val="32"/>
          <w:vertAlign w:val="baseline"/>
          <w:lang w:val="en-US" w:eastAsia="zh-CN" w:bidi="ar"/>
        </w:rPr>
        <w:t>10.</w:t>
      </w:r>
      <w:r>
        <w:rPr>
          <w:rFonts w:hint="eastAsia" w:ascii="Times New Roman" w:eastAsia="仿宋_GB2312" w:cs="仿宋_GB2312"/>
          <w:caps w:val="0"/>
          <w:color w:val="auto"/>
          <w:kern w:val="2"/>
          <w:sz w:val="32"/>
          <w:szCs w:val="32"/>
          <w:vertAlign w:val="baseline"/>
          <w:lang w:val="en-US" w:eastAsia="zh-CN" w:bidi="ar"/>
        </w:rPr>
        <w:t>指导县（区）卫生健康工作。指导基层医疗卫生、妇幼健康服务体系和基层卫生队伍建设。推进卫生健康科技创新发展。</w:t>
      </w:r>
      <w:bookmarkEnd w:id="24"/>
    </w:p>
    <w:p w14:paraId="6196C524">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left"/>
        <w:outlineLvl w:val="2"/>
        <w:rPr>
          <w:rFonts w:hint="default" w:ascii="Times New Roman" w:hAnsi="Times New Roman" w:eastAsia="仿宋_GB2312" w:cs="Times New Roman"/>
          <w:caps w:val="0"/>
          <w:color w:val="auto"/>
          <w:kern w:val="2"/>
          <w:sz w:val="32"/>
          <w:szCs w:val="32"/>
          <w:vertAlign w:val="baseline"/>
          <w:lang w:bidi="ar"/>
        </w:rPr>
      </w:pPr>
      <w:bookmarkStart w:id="25" w:name="_Toc10822"/>
      <w:r>
        <w:rPr>
          <w:rFonts w:hint="default" w:ascii="Times New Roman" w:hAnsi="Times New Roman" w:eastAsia="仿宋_GB2312" w:cs="Times New Roman"/>
          <w:caps w:val="0"/>
          <w:color w:val="auto"/>
          <w:kern w:val="2"/>
          <w:sz w:val="32"/>
          <w:szCs w:val="32"/>
          <w:vertAlign w:val="baseline"/>
          <w:lang w:val="en-US" w:eastAsia="zh-CN" w:bidi="ar"/>
        </w:rPr>
        <w:t>11.</w:t>
      </w:r>
      <w:r>
        <w:rPr>
          <w:rFonts w:hint="eastAsia" w:ascii="Times New Roman" w:eastAsia="仿宋_GB2312" w:cs="仿宋_GB2312"/>
          <w:caps w:val="0"/>
          <w:color w:val="auto"/>
          <w:kern w:val="2"/>
          <w:sz w:val="32"/>
          <w:szCs w:val="32"/>
          <w:vertAlign w:val="baseline"/>
          <w:lang w:val="en-US" w:eastAsia="zh-CN" w:bidi="ar"/>
        </w:rPr>
        <w:t>负责市级确定的保健对象医疗保健工作，负责市级有关部门（单位）离休干部医疗管理工作。负责重要会议与重大活动的医疗卫生保障工作。</w:t>
      </w:r>
      <w:bookmarkEnd w:id="25"/>
    </w:p>
    <w:p w14:paraId="5E2D9E63">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outlineLvl w:val="2"/>
        <w:rPr>
          <w:rFonts w:hint="default" w:ascii="Times New Roman" w:hAnsi="Times New Roman" w:eastAsia="仿宋_GB2312" w:cs="Times New Roman"/>
          <w:caps w:val="0"/>
          <w:color w:val="auto"/>
          <w:kern w:val="2"/>
          <w:sz w:val="32"/>
          <w:szCs w:val="32"/>
          <w:vertAlign w:val="baseline"/>
          <w:lang w:bidi="ar"/>
        </w:rPr>
      </w:pPr>
      <w:bookmarkStart w:id="26" w:name="_Toc13971"/>
      <w:r>
        <w:rPr>
          <w:rFonts w:hint="default" w:ascii="Times New Roman" w:hAnsi="Times New Roman" w:eastAsia="仿宋_GB2312" w:cs="Times New Roman"/>
          <w:caps w:val="0"/>
          <w:color w:val="auto"/>
          <w:kern w:val="2"/>
          <w:sz w:val="32"/>
          <w:szCs w:val="32"/>
          <w:vertAlign w:val="baseline"/>
          <w:lang w:val="en-US" w:eastAsia="zh-CN" w:bidi="ar"/>
        </w:rPr>
        <w:t>12.</w:t>
      </w:r>
      <w:r>
        <w:rPr>
          <w:rFonts w:hint="eastAsia" w:ascii="Times New Roman" w:eastAsia="仿宋_GB2312" w:cs="仿宋_GB2312"/>
          <w:caps w:val="0"/>
          <w:color w:val="auto"/>
          <w:kern w:val="2"/>
          <w:sz w:val="32"/>
          <w:szCs w:val="32"/>
          <w:vertAlign w:val="baseline"/>
          <w:lang w:val="en-US" w:eastAsia="zh-CN" w:bidi="ar"/>
        </w:rPr>
        <w:t>依法依规履行卫生健康行业安全生产监管职责，负责职责范围内的生态环境保护、审批服务便民化等工作。</w:t>
      </w:r>
      <w:bookmarkEnd w:id="26"/>
    </w:p>
    <w:p w14:paraId="5E8191FA">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left"/>
        <w:outlineLvl w:val="2"/>
        <w:rPr>
          <w:rFonts w:hint="default" w:ascii="Times New Roman" w:hAnsi="Times New Roman" w:eastAsia="仿宋_GB2312" w:cs="Times New Roman"/>
          <w:caps w:val="0"/>
          <w:color w:val="auto"/>
          <w:kern w:val="2"/>
          <w:sz w:val="32"/>
          <w:szCs w:val="32"/>
          <w:vertAlign w:val="baseline"/>
          <w:lang w:val="en-US" w:eastAsia="zh-CN" w:bidi="ar"/>
        </w:rPr>
      </w:pPr>
      <w:bookmarkStart w:id="27" w:name="_Toc17299"/>
      <w:r>
        <w:rPr>
          <w:rFonts w:hint="default" w:ascii="Times New Roman" w:hAnsi="Times New Roman" w:eastAsia="仿宋_GB2312" w:cs="Times New Roman"/>
          <w:caps w:val="0"/>
          <w:color w:val="auto"/>
          <w:kern w:val="2"/>
          <w:sz w:val="32"/>
          <w:szCs w:val="32"/>
          <w:vertAlign w:val="baseline"/>
          <w:lang w:val="en-US" w:eastAsia="zh-CN" w:bidi="ar"/>
        </w:rPr>
        <w:t>13.</w:t>
      </w:r>
      <w:r>
        <w:rPr>
          <w:rFonts w:hint="eastAsia" w:ascii="Times New Roman" w:eastAsia="仿宋_GB2312" w:cs="仿宋_GB2312"/>
          <w:caps w:val="0"/>
          <w:color w:val="auto"/>
          <w:kern w:val="2"/>
          <w:sz w:val="32"/>
          <w:szCs w:val="32"/>
          <w:vertAlign w:val="baseline"/>
          <w:lang w:val="en-US" w:eastAsia="zh-CN" w:bidi="ar"/>
        </w:rPr>
        <w:t>完成市委、市政府交办的其他任务。</w:t>
      </w:r>
      <w:bookmarkEnd w:id="27"/>
    </w:p>
    <w:p w14:paraId="0485B800">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left"/>
        <w:outlineLvl w:val="2"/>
        <w:rPr>
          <w:rFonts w:hint="eastAsia" w:ascii="Times New Roman" w:hAnsi="Times New Roman" w:eastAsia="黑体"/>
          <w:b w:val="0"/>
          <w:color w:val="auto"/>
          <w:highlight w:val="none"/>
        </w:rPr>
      </w:pPr>
      <w:r>
        <w:rPr>
          <w:rFonts w:hint="default" w:ascii="Times New Roman" w:hAnsi="Times New Roman" w:eastAsia="仿宋_GB2312" w:cs="Times New Roman"/>
          <w:caps w:val="0"/>
          <w:color w:val="auto"/>
          <w:kern w:val="2"/>
          <w:sz w:val="32"/>
          <w:szCs w:val="32"/>
          <w:vertAlign w:val="baseline"/>
          <w:lang w:val="en-US" w:eastAsia="zh-CN" w:bidi="ar"/>
        </w:rPr>
        <w:t>14.</w:t>
      </w:r>
      <w:r>
        <w:rPr>
          <w:rFonts w:hint="eastAsia" w:ascii="Times New Roman" w:eastAsia="仿宋_GB2312" w:cs="仿宋_GB2312"/>
          <w:caps w:val="0"/>
          <w:color w:val="auto"/>
          <w:kern w:val="2"/>
          <w:sz w:val="32"/>
          <w:szCs w:val="32"/>
          <w:vertAlign w:val="baseline"/>
          <w:lang w:val="en-US" w:eastAsia="zh-CN" w:bidi="ar"/>
        </w:rPr>
        <w:t>职能转变。市卫生健康委进一步转变职能，坚持党对卫生健康工作的集中统一领导，贯彻新时代卫生与健康工作方针，全面推进健康中国、健康四川、健康攀枝花建设，把保障人民健康放在优先发展的战略位置，弘扬伟大抗疫精神，认真总结固化疫情防控中经过实践检验的经验和模式，着力提高应对重大突发公共卫生事件的能力和水平，建立健全平战结合的重大疫情防控救治体系，织牢公共卫生防护网。</w:t>
      </w:r>
    </w:p>
    <w:p w14:paraId="2EBC31BD">
      <w:pPr>
        <w:pStyle w:val="6"/>
        <w:ind w:firstLine="640" w:firstLineChars="200"/>
        <w:rPr>
          <w:rStyle w:val="31"/>
          <w:rFonts w:ascii="Times New Roman" w:hAnsi="Times New Roman"/>
          <w:b w:val="0"/>
          <w:bCs w:val="0"/>
          <w:color w:val="auto"/>
          <w:highlight w:val="none"/>
        </w:rPr>
      </w:pPr>
      <w:bookmarkStart w:id="28" w:name="_Toc66577014"/>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13"/>
      <w:bookmarkEnd w:id="14"/>
      <w:bookmarkEnd w:id="28"/>
    </w:p>
    <w:p w14:paraId="7D955439">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攀枝花市卫生健康委员会下属二级预算单位10个，其中行政单位1个，参照公务员法管理的事业单位0个，其他事业单位9个。</w:t>
      </w:r>
    </w:p>
    <w:p w14:paraId="0B8AE2E8">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纳入攀枝花市卫生健康委员会2025年度部门决算编制范围的二级预算单位包括：</w:t>
      </w:r>
    </w:p>
    <w:p w14:paraId="39DD5E59">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bookmarkStart w:id="29" w:name="_Toc15378448"/>
      <w:bookmarkStart w:id="30" w:name="_Toc15306275"/>
      <w:bookmarkStart w:id="31" w:name="_Toc15377201"/>
      <w:bookmarkStart w:id="32" w:name="_Toc15377432"/>
      <w:r>
        <w:rPr>
          <w:rFonts w:hint="default" w:ascii="Times New Roman" w:hAnsi="Times New Roman" w:eastAsia="仿宋_GB2312" w:cs="Times New Roman"/>
          <w:caps w:val="0"/>
          <w:color w:val="auto"/>
          <w:kern w:val="2"/>
          <w:sz w:val="32"/>
          <w:szCs w:val="32"/>
          <w:vertAlign w:val="baseline"/>
          <w:lang w:val="en-US" w:eastAsia="zh-CN" w:bidi="ar"/>
        </w:rPr>
        <w:t>1.</w:t>
      </w:r>
      <w:r>
        <w:rPr>
          <w:rFonts w:hint="eastAsia" w:ascii="Times New Roman" w:hAnsi="Times New Roman" w:eastAsia="仿宋_GB2312" w:cs="Times New Roman"/>
          <w:caps w:val="0"/>
          <w:color w:val="auto"/>
          <w:kern w:val="2"/>
          <w:sz w:val="32"/>
          <w:szCs w:val="32"/>
          <w:vertAlign w:val="baseline"/>
          <w:lang w:val="en-US" w:eastAsia="zh-CN" w:bidi="ar"/>
        </w:rPr>
        <w:t>攀枝花市卫生健康委员会</w:t>
      </w:r>
    </w:p>
    <w:p w14:paraId="713A153E">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2.</w:t>
      </w:r>
      <w:r>
        <w:rPr>
          <w:rFonts w:hint="eastAsia" w:ascii="Times New Roman" w:hAnsi="Times New Roman" w:eastAsia="仿宋_GB2312" w:cs="Times New Roman"/>
          <w:caps w:val="0"/>
          <w:color w:val="auto"/>
          <w:kern w:val="2"/>
          <w:sz w:val="32"/>
          <w:szCs w:val="32"/>
          <w:vertAlign w:val="baseline"/>
          <w:lang w:val="en-US" w:eastAsia="zh-CN" w:bidi="ar"/>
        </w:rPr>
        <w:t>攀枝花市中心医院</w:t>
      </w:r>
    </w:p>
    <w:p w14:paraId="0EA1028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3.</w:t>
      </w:r>
      <w:r>
        <w:rPr>
          <w:rFonts w:hint="eastAsia" w:ascii="Times New Roman" w:hAnsi="Times New Roman" w:eastAsia="仿宋_GB2312" w:cs="Times New Roman"/>
          <w:caps w:val="0"/>
          <w:color w:val="auto"/>
          <w:kern w:val="2"/>
          <w:sz w:val="32"/>
          <w:szCs w:val="32"/>
          <w:vertAlign w:val="baseline"/>
          <w:lang w:val="en-US" w:eastAsia="zh-CN" w:bidi="ar"/>
        </w:rPr>
        <w:t>攀枝花市第二人民医院</w:t>
      </w:r>
    </w:p>
    <w:p w14:paraId="47DC2DEB">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4.</w:t>
      </w:r>
      <w:r>
        <w:rPr>
          <w:rFonts w:hint="eastAsia" w:ascii="Times New Roman" w:hAnsi="Times New Roman" w:eastAsia="仿宋_GB2312" w:cs="Times New Roman"/>
          <w:caps w:val="0"/>
          <w:color w:val="auto"/>
          <w:kern w:val="2"/>
          <w:sz w:val="32"/>
          <w:szCs w:val="32"/>
          <w:vertAlign w:val="baseline"/>
          <w:lang w:val="en-US" w:eastAsia="zh-CN" w:bidi="ar"/>
        </w:rPr>
        <w:t>攀枝花市第三人民医院</w:t>
      </w:r>
    </w:p>
    <w:p w14:paraId="2387034C">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5.</w:t>
      </w:r>
      <w:r>
        <w:rPr>
          <w:rFonts w:hint="eastAsia" w:ascii="Times New Roman" w:hAnsi="Times New Roman" w:eastAsia="仿宋_GB2312" w:cs="Times New Roman"/>
          <w:caps w:val="0"/>
          <w:color w:val="auto"/>
          <w:kern w:val="2"/>
          <w:sz w:val="32"/>
          <w:szCs w:val="32"/>
          <w:vertAlign w:val="baseline"/>
          <w:lang w:val="en-US" w:eastAsia="zh-CN" w:bidi="ar"/>
        </w:rPr>
        <w:t>攀枝花市第四人民医院</w:t>
      </w:r>
    </w:p>
    <w:p w14:paraId="6DB7499F">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6.</w:t>
      </w:r>
      <w:r>
        <w:rPr>
          <w:rFonts w:hint="eastAsia" w:ascii="Times New Roman" w:hAnsi="Times New Roman" w:eastAsia="仿宋_GB2312" w:cs="Times New Roman"/>
          <w:caps w:val="0"/>
          <w:color w:val="auto"/>
          <w:kern w:val="2"/>
          <w:sz w:val="32"/>
          <w:szCs w:val="32"/>
          <w:vertAlign w:val="baseline"/>
          <w:lang w:val="en-US" w:eastAsia="zh-CN" w:bidi="ar"/>
        </w:rPr>
        <w:t>攀枝花市紧急医学救援中心</w:t>
      </w:r>
    </w:p>
    <w:bookmarkEnd w:id="29"/>
    <w:bookmarkEnd w:id="30"/>
    <w:bookmarkEnd w:id="31"/>
    <w:bookmarkEnd w:id="32"/>
    <w:p w14:paraId="02B19B61">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7</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攀枝花市妇幼保健院</w:t>
      </w:r>
    </w:p>
    <w:p w14:paraId="23696BDD">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8</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攀枝花市中心血站</w:t>
      </w:r>
    </w:p>
    <w:p w14:paraId="74D62EF9">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9</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攀枝花市疾病预防控制中心</w:t>
      </w:r>
    </w:p>
    <w:p w14:paraId="2ACD6CE0">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1</w:t>
      </w:r>
      <w:r>
        <w:rPr>
          <w:rFonts w:hint="eastAsia" w:ascii="Times New Roman" w:hAnsi="Times New Roman" w:eastAsia="仿宋_GB2312" w:cs="Times New Roman"/>
          <w:caps w:val="0"/>
          <w:color w:val="auto"/>
          <w:kern w:val="2"/>
          <w:sz w:val="32"/>
          <w:szCs w:val="32"/>
          <w:vertAlign w:val="baseline"/>
          <w:lang w:val="en-US" w:eastAsia="zh-CN" w:bidi="ar"/>
        </w:rPr>
        <w:t>0</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攀枝花市卫生健康促进和卫生大数据中心</w:t>
      </w:r>
    </w:p>
    <w:p w14:paraId="327AC388">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553D8CD4">
      <w:pPr>
        <w:pStyle w:val="5"/>
        <w:jc w:val="center"/>
        <w:rPr>
          <w:rFonts w:hint="eastAsia" w:ascii="Times New Roman" w:hAnsi="Times New Roman" w:eastAsia="方正小标宋简体" w:cs="方正小标宋简体"/>
          <w:b w:val="0"/>
          <w:color w:val="auto"/>
          <w:highlight w:val="none"/>
        </w:rPr>
      </w:pPr>
      <w:bookmarkStart w:id="33" w:name="_Toc1913485577"/>
      <w:bookmarkStart w:id="34" w:name="_Toc15396602"/>
      <w:bookmarkStart w:id="35"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33"/>
      <w:bookmarkEnd w:id="34"/>
      <w:bookmarkEnd w:id="35"/>
    </w:p>
    <w:p w14:paraId="6AF5FF9B">
      <w:pPr>
        <w:rPr>
          <w:rFonts w:ascii="Times New Roman" w:hAnsi="Times New Roman"/>
          <w:color w:val="auto"/>
          <w:highlight w:val="none"/>
        </w:rPr>
      </w:pPr>
    </w:p>
    <w:p w14:paraId="2F6FD73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36" w:name="_Toc15396603"/>
      <w:bookmarkStart w:id="37" w:name="_Toc2035158295"/>
      <w:bookmarkStart w:id="38"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36"/>
      <w:bookmarkEnd w:id="37"/>
      <w:bookmarkEnd w:id="38"/>
    </w:p>
    <w:p w14:paraId="2832392C">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2025年度收入、支出总计均为267294.91万元。与上年度相比，收入、支出总计各减少19303.06万元，下降6.7%。主要变动原因是项目支出减少。</w:t>
      </w:r>
    </w:p>
    <w:p w14:paraId="67EACCF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59055</wp:posOffset>
            </wp:positionH>
            <wp:positionV relativeFrom="paragraph">
              <wp:posOffset>168275</wp:posOffset>
            </wp:positionV>
            <wp:extent cx="5256530" cy="2988310"/>
            <wp:effectExtent l="5080" t="4445" r="15240" b="17145"/>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4E41638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2C31D3F4">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0DF8CA8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0A9980A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6A25595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005A74CA">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0BE7716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58AF977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36BE4428">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color w:val="auto"/>
          <w:sz w:val="32"/>
          <w:szCs w:val="32"/>
          <w:highlight w:val="none"/>
        </w:rPr>
      </w:pPr>
    </w:p>
    <w:p w14:paraId="777CFD8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39" w:name="_Toc73852767"/>
      <w:bookmarkStart w:id="40" w:name="_Toc15396604"/>
      <w:bookmarkStart w:id="41" w:name="_Toc15377206"/>
      <w:r>
        <w:rPr>
          <w:rFonts w:hint="eastAsia" w:ascii="Times New Roman" w:hAnsi="Times New Roman" w:eastAsia="黑体"/>
          <w:color w:val="auto"/>
          <w:sz w:val="32"/>
          <w:szCs w:val="32"/>
          <w:highlight w:val="none"/>
          <w:lang w:eastAsia="zh-CN"/>
        </w:rPr>
        <w:t>二、收入决算情况说明</w:t>
      </w:r>
      <w:bookmarkEnd w:id="39"/>
      <w:bookmarkEnd w:id="40"/>
      <w:bookmarkEnd w:id="41"/>
    </w:p>
    <w:p w14:paraId="4A4B2394">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Times New Roman"/>
          <w:caps w:val="0"/>
          <w:color w:val="auto"/>
          <w:kern w:val="2"/>
          <w:sz w:val="32"/>
          <w:szCs w:val="32"/>
          <w:vertAlign w:val="baseline"/>
          <w:lang w:val="en-US" w:eastAsia="zh-CN" w:bidi="ar"/>
        </w:rPr>
      </w:pPr>
      <w:bookmarkStart w:id="42" w:name="_Toc405665664"/>
      <w:r>
        <w:rPr>
          <w:rFonts w:hint="eastAsia" w:ascii="Times New Roman" w:hAnsi="Times New Roman" w:eastAsia="仿宋_GB2312" w:cs="Times New Roman"/>
          <w:caps w:val="0"/>
          <w:color w:val="auto"/>
          <w:kern w:val="2"/>
          <w:sz w:val="32"/>
          <w:szCs w:val="32"/>
          <w:vertAlign w:val="baseline"/>
          <w:lang w:val="en-US" w:eastAsia="zh-CN" w:bidi="ar"/>
        </w:rPr>
        <w:t>2025年度本年收入合计229315.66万元，其中：一般公共预算财政拨款收入17515.14万元，占7.6%；政府性基金预算财政拨款收入2025万元，占0.9%；国有资本经营预算财政拨款收入0万元，占0%；上级补助收入0万元，占0%；事业收入205173.16万元，占89.5%；经营收入0万元，占0%；附属单位上缴收入0万元，占0%；其他收入4602.37万元，占2%。</w:t>
      </w:r>
      <w:bookmarkEnd w:id="42"/>
    </w:p>
    <w:p w14:paraId="13E3EFD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33655</wp:posOffset>
            </wp:positionH>
            <wp:positionV relativeFrom="paragraph">
              <wp:posOffset>272415</wp:posOffset>
            </wp:positionV>
            <wp:extent cx="5256530" cy="2988310"/>
            <wp:effectExtent l="5080" t="4445" r="15240" b="17145"/>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004D86B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color w:val="auto"/>
          <w:sz w:val="32"/>
          <w:szCs w:val="32"/>
          <w:highlight w:val="none"/>
          <w:lang w:eastAsia="zh-CN"/>
        </w:rPr>
      </w:pPr>
    </w:p>
    <w:p w14:paraId="30CDB62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color w:val="auto"/>
          <w:sz w:val="32"/>
          <w:szCs w:val="32"/>
          <w:highlight w:val="none"/>
          <w:lang w:eastAsia="zh-CN"/>
        </w:rPr>
      </w:pPr>
    </w:p>
    <w:p w14:paraId="59A540C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color w:val="auto"/>
          <w:sz w:val="32"/>
          <w:szCs w:val="32"/>
          <w:highlight w:val="none"/>
          <w:lang w:eastAsia="zh-CN"/>
        </w:rPr>
      </w:pPr>
    </w:p>
    <w:p w14:paraId="49CF560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color w:val="auto"/>
          <w:sz w:val="32"/>
          <w:szCs w:val="32"/>
          <w:highlight w:val="none"/>
          <w:lang w:eastAsia="zh-CN"/>
        </w:rPr>
      </w:pPr>
    </w:p>
    <w:p w14:paraId="7FC61B5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color w:val="auto"/>
          <w:sz w:val="32"/>
          <w:szCs w:val="32"/>
          <w:highlight w:val="none"/>
          <w:lang w:eastAsia="zh-CN"/>
        </w:rPr>
      </w:pPr>
    </w:p>
    <w:p w14:paraId="166192E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color w:val="auto"/>
          <w:sz w:val="32"/>
          <w:szCs w:val="32"/>
          <w:highlight w:val="none"/>
          <w:lang w:eastAsia="zh-CN"/>
        </w:rPr>
      </w:pPr>
    </w:p>
    <w:p w14:paraId="619754C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color w:val="auto"/>
          <w:sz w:val="32"/>
          <w:szCs w:val="32"/>
          <w:highlight w:val="none"/>
          <w:lang w:eastAsia="zh-CN"/>
        </w:rPr>
      </w:pPr>
    </w:p>
    <w:p w14:paraId="6F32765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color w:val="auto"/>
          <w:sz w:val="32"/>
          <w:szCs w:val="32"/>
          <w:highlight w:val="none"/>
          <w:lang w:eastAsia="zh-CN"/>
        </w:rPr>
      </w:pPr>
    </w:p>
    <w:p w14:paraId="1FABAFC4">
      <w:pPr>
        <w:rPr>
          <w:rFonts w:hint="eastAsia" w:ascii="Times New Roman" w:hAnsi="Times New Roman" w:eastAsia="仿宋_GB2312" w:cs="仿宋_GB2312"/>
          <w:color w:val="auto"/>
          <w:sz w:val="32"/>
          <w:szCs w:val="32"/>
          <w:highlight w:val="none"/>
          <w:lang w:eastAsia="zh-CN"/>
        </w:rPr>
      </w:pPr>
    </w:p>
    <w:p w14:paraId="6959BDC5">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43" w:name="_Toc15377207"/>
      <w:bookmarkStart w:id="44" w:name="_Toc15396605"/>
      <w:bookmarkStart w:id="45" w:name="_Toc555557429"/>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43"/>
      <w:bookmarkEnd w:id="44"/>
      <w:bookmarkEnd w:id="45"/>
    </w:p>
    <w:p w14:paraId="3CA80A08">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2025年度本年支出合计214887.35万元，其中：基本支出198298.9万元，占92.3%；项目支出16588.45万元，占7.7%；上缴上级支出0万元，占0%；经营支出0万元，占0%；对附属单位补助支出0万元，占0%。</w:t>
      </w:r>
    </w:p>
    <w:p w14:paraId="504E677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397F46F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7FF59454">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136F07F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75711BC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1F7F08B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5D3A23EA">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1312" behindDoc="0" locked="0" layoutInCell="1" allowOverlap="1">
            <wp:simplePos x="0" y="0"/>
            <wp:positionH relativeFrom="column">
              <wp:posOffset>11430</wp:posOffset>
            </wp:positionH>
            <wp:positionV relativeFrom="paragraph">
              <wp:posOffset>234315</wp:posOffset>
            </wp:positionV>
            <wp:extent cx="5256530" cy="2988310"/>
            <wp:effectExtent l="5080" t="4445" r="15240" b="17145"/>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6F1FE52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1346C8E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4AF17E0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7D629FA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0DB228F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7995EF0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34E1CBD3">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426C80DE">
      <w:pPr>
        <w:rPr>
          <w:rFonts w:hint="eastAsia" w:ascii="Times New Roman" w:hAnsi="Times New Roman" w:eastAsia="仿宋_GB2312" w:cs="仿宋_GB2312"/>
          <w:color w:val="auto"/>
          <w:sz w:val="32"/>
          <w:szCs w:val="32"/>
          <w:highlight w:val="none"/>
          <w:lang w:eastAsia="zh-CN"/>
        </w:rPr>
      </w:pPr>
    </w:p>
    <w:p w14:paraId="17F6DC89">
      <w:pPr>
        <w:spacing w:line="600" w:lineRule="exact"/>
        <w:ind w:firstLine="640" w:firstLineChars="200"/>
        <w:outlineLvl w:val="1"/>
        <w:rPr>
          <w:rStyle w:val="31"/>
          <w:rFonts w:ascii="Times New Roman" w:hAnsi="Times New Roman" w:eastAsia="黑体"/>
          <w:b w:val="0"/>
          <w:color w:val="auto"/>
          <w:highlight w:val="none"/>
        </w:rPr>
      </w:pPr>
      <w:bookmarkStart w:id="46" w:name="_Toc15396606"/>
      <w:bookmarkStart w:id="47" w:name="_Toc370733693"/>
      <w:bookmarkStart w:id="48" w:name="_Toc15377208"/>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46"/>
      <w:bookmarkEnd w:id="47"/>
      <w:bookmarkEnd w:id="48"/>
    </w:p>
    <w:p w14:paraId="77CEF147">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2025年度财政拨款收入、支出总计均为19540.14万元。与上年度相比，财政拨款收入、支出总计各减少23387.25万元，下降54.5%。主要变动原因是项目支出减少。</w:t>
      </w:r>
    </w:p>
    <w:p w14:paraId="68474A3E">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2336" behindDoc="0" locked="0" layoutInCell="1" allowOverlap="1">
            <wp:simplePos x="0" y="0"/>
            <wp:positionH relativeFrom="column">
              <wp:posOffset>11430</wp:posOffset>
            </wp:positionH>
            <wp:positionV relativeFrom="paragraph">
              <wp:posOffset>311150</wp:posOffset>
            </wp:positionV>
            <wp:extent cx="5256530" cy="2988310"/>
            <wp:effectExtent l="5080" t="4445" r="15240" b="17145"/>
            <wp:wrapNone/>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48C49400">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3A06B09B">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4041E296">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10E8006D">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501D975D">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1865EA9F">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2A8ABC13">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7EC88EA0">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38652574">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44EF2714">
      <w:pPr>
        <w:spacing w:line="600" w:lineRule="exact"/>
        <w:ind w:firstLine="640" w:firstLineChars="200"/>
        <w:outlineLvl w:val="1"/>
        <w:rPr>
          <w:rStyle w:val="31"/>
          <w:rFonts w:ascii="Times New Roman" w:hAnsi="Times New Roman" w:eastAsia="黑体"/>
          <w:b w:val="0"/>
          <w:color w:val="auto"/>
          <w:highlight w:val="none"/>
        </w:rPr>
      </w:pPr>
      <w:bookmarkStart w:id="49" w:name="_Toc15377209"/>
      <w:bookmarkStart w:id="50" w:name="_Toc1826214896"/>
      <w:bookmarkStart w:id="51"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49"/>
      <w:bookmarkEnd w:id="50"/>
      <w:bookmarkEnd w:id="51"/>
    </w:p>
    <w:p w14:paraId="790B0CE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52"/>
    </w:p>
    <w:p w14:paraId="7681E0DE">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2025年度一般公共预算财政拨款支出17515.14万元，占本年支出合计的8.2%。与上年度相比，一般公共预算财政拨款支出增加3892.75万元，增长28.6%。主要变动原因是政府性基金财政拨款减少，一般公共预算财政拨款增加。</w:t>
      </w:r>
    </w:p>
    <w:p w14:paraId="5F3999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3360" behindDoc="0" locked="0" layoutInCell="1" allowOverlap="1">
            <wp:simplePos x="0" y="0"/>
            <wp:positionH relativeFrom="column">
              <wp:posOffset>49530</wp:posOffset>
            </wp:positionH>
            <wp:positionV relativeFrom="paragraph">
              <wp:posOffset>263525</wp:posOffset>
            </wp:positionV>
            <wp:extent cx="5256530" cy="2988310"/>
            <wp:effectExtent l="5080" t="4445" r="15240" b="17145"/>
            <wp:wrapNone/>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6BD0E1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B53E3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BB39F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230C1A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187D1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045ECD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2C28D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2200814">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278649A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53"/>
    </w:p>
    <w:p w14:paraId="0DDD1062">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2025年度一般公共预算财政拨款支出17515.14万元，主要用于以下方面：一般公共服务支出17.27万元，占0.1%；科学技术支出48.43万元，占0.3%；社会保障和就业支出4104.43万元，占23.4%；卫生健康支出12958.94万元，占74%；住房保障支出386.07万元，占2.2%。</w:t>
      </w:r>
    </w:p>
    <w:p w14:paraId="2328493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9"/>
        <w:rPr>
          <w:rFonts w:hint="eastAsia" w:ascii="Times New Roman" w:hAnsi="Times New Roman" w:eastAsia="仿宋_GB2312" w:cs="Times New Roman"/>
          <w:caps w:val="0"/>
          <w:color w:val="auto"/>
          <w:kern w:val="2"/>
          <w:sz w:val="32"/>
          <w:szCs w:val="32"/>
          <w:vertAlign w:val="baseline"/>
          <w:lang w:val="en-US" w:eastAsia="zh-CN" w:bidi="ar"/>
        </w:rPr>
      </w:pPr>
    </w:p>
    <w:p w14:paraId="7B1B4CA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258FB8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4384" behindDoc="0" locked="0" layoutInCell="1" allowOverlap="1">
            <wp:simplePos x="0" y="0"/>
            <wp:positionH relativeFrom="column">
              <wp:posOffset>11430</wp:posOffset>
            </wp:positionH>
            <wp:positionV relativeFrom="paragraph">
              <wp:posOffset>273050</wp:posOffset>
            </wp:positionV>
            <wp:extent cx="5256530" cy="2988310"/>
            <wp:effectExtent l="5080" t="4445" r="15240" b="17145"/>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037844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4089B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A76D01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0BE8C3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4C98C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1C7F06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752C81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2387A93">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1CFB43A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54"/>
    </w:p>
    <w:p w14:paraId="6A2FED89">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bookmarkStart w:id="55" w:name="_Toc15377213"/>
      <w:bookmarkStart w:id="56" w:name="_Toc15378460"/>
      <w:bookmarkStart w:id="57" w:name="_Toc15377444"/>
      <w:r>
        <w:rPr>
          <w:rFonts w:hint="eastAsia" w:ascii="Times New Roman" w:hAnsi="Times New Roman" w:eastAsia="仿宋_GB2312" w:cs="Times New Roman"/>
          <w:caps w:val="0"/>
          <w:color w:val="auto"/>
          <w:kern w:val="2"/>
          <w:sz w:val="32"/>
          <w:szCs w:val="32"/>
          <w:vertAlign w:val="baseline"/>
          <w:lang w:val="en-US" w:eastAsia="zh-CN" w:bidi="ar"/>
        </w:rPr>
        <w:t>2025年度一般公共预算支出决算数为17515.14，完成预算100%。其中：</w:t>
      </w:r>
      <w:bookmarkEnd w:id="55"/>
      <w:bookmarkEnd w:id="56"/>
      <w:bookmarkEnd w:id="57"/>
    </w:p>
    <w:p w14:paraId="1E18582F">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1.</w:t>
      </w:r>
      <w:r>
        <w:rPr>
          <w:rFonts w:hint="eastAsia" w:ascii="Times New Roman" w:hAnsi="Times New Roman" w:eastAsia="仿宋_GB2312" w:cs="Times New Roman"/>
          <w:caps w:val="0"/>
          <w:color w:val="auto"/>
          <w:kern w:val="2"/>
          <w:sz w:val="32"/>
          <w:szCs w:val="32"/>
          <w:vertAlign w:val="baseline"/>
          <w:lang w:val="en-US" w:eastAsia="zh-CN" w:bidi="ar"/>
        </w:rPr>
        <w:t>一般公共服务（类）纪检监察事务（款）派驻派出机构（项）：支出决算为0.13万元，完成预算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0982F107">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2.</w:t>
      </w:r>
      <w:r>
        <w:rPr>
          <w:rFonts w:hint="eastAsia" w:ascii="Times New Roman" w:hAnsi="Times New Roman" w:eastAsia="仿宋_GB2312" w:cs="Times New Roman"/>
          <w:caps w:val="0"/>
          <w:color w:val="auto"/>
          <w:kern w:val="2"/>
          <w:sz w:val="32"/>
          <w:szCs w:val="32"/>
          <w:vertAlign w:val="baseline"/>
          <w:lang w:val="en-US" w:eastAsia="zh-CN" w:bidi="ar"/>
        </w:rPr>
        <w:t>一般公共服务（类）组织事务（款）其他组织事务支出（项）：</w:t>
      </w:r>
      <w:r>
        <w:rPr>
          <w:rFonts w:hint="default" w:ascii="Times New Roman" w:hAnsi="Times New Roman" w:eastAsia="仿宋_GB2312" w:cs="Times New Roman"/>
          <w:caps w:val="0"/>
          <w:color w:val="auto"/>
          <w:kern w:val="2"/>
          <w:sz w:val="32"/>
          <w:szCs w:val="32"/>
          <w:vertAlign w:val="baseline"/>
          <w:lang w:val="en-US" w:eastAsia="zh-CN" w:bidi="ar"/>
        </w:rPr>
        <w:t xml:space="preserve"> </w:t>
      </w:r>
      <w:r>
        <w:rPr>
          <w:rFonts w:hint="eastAsia" w:ascii="Times New Roman" w:hAnsi="Times New Roman" w:eastAsia="仿宋_GB2312" w:cs="Times New Roman"/>
          <w:caps w:val="0"/>
          <w:color w:val="auto"/>
          <w:kern w:val="2"/>
          <w:sz w:val="32"/>
          <w:szCs w:val="32"/>
          <w:vertAlign w:val="baseline"/>
          <w:lang w:val="en-US" w:eastAsia="zh-CN" w:bidi="ar"/>
        </w:rPr>
        <w:t>支出决算为17.14万元，完成预算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4F4EAD20">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科学技术（类）基础研究（款）自然科学基金（项）：</w:t>
      </w:r>
      <w:r>
        <w:rPr>
          <w:rFonts w:hint="default" w:ascii="Times New Roman" w:hAnsi="Times New Roman" w:eastAsia="仿宋_GB2312" w:cs="Times New Roman"/>
          <w:caps w:val="0"/>
          <w:color w:val="auto"/>
          <w:kern w:val="2"/>
          <w:sz w:val="32"/>
          <w:szCs w:val="32"/>
          <w:vertAlign w:val="baseline"/>
          <w:lang w:val="en-US" w:eastAsia="zh-CN" w:bidi="ar"/>
        </w:rPr>
        <w:t xml:space="preserve"> </w:t>
      </w:r>
      <w:r>
        <w:rPr>
          <w:rFonts w:hint="eastAsia" w:ascii="Times New Roman" w:hAnsi="Times New Roman" w:eastAsia="仿宋_GB2312" w:cs="Times New Roman"/>
          <w:caps w:val="0"/>
          <w:color w:val="auto"/>
          <w:kern w:val="2"/>
          <w:sz w:val="32"/>
          <w:szCs w:val="32"/>
          <w:vertAlign w:val="baseline"/>
          <w:lang w:val="en-US" w:eastAsia="zh-CN" w:bidi="ar"/>
        </w:rPr>
        <w:t>支出决算为29.98万元，完成预算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6CE8F92D">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4</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科学技术（类）其他科学技术支出（款）其他科学技术支出（项）：</w:t>
      </w:r>
      <w:r>
        <w:rPr>
          <w:rFonts w:hint="default" w:ascii="Times New Roman" w:hAnsi="Times New Roman" w:eastAsia="仿宋_GB2312" w:cs="Times New Roman"/>
          <w:caps w:val="0"/>
          <w:color w:val="auto"/>
          <w:kern w:val="2"/>
          <w:sz w:val="32"/>
          <w:szCs w:val="32"/>
          <w:vertAlign w:val="baseline"/>
          <w:lang w:val="en-US" w:eastAsia="zh-CN" w:bidi="ar"/>
        </w:rPr>
        <w:t xml:space="preserve"> </w:t>
      </w:r>
      <w:r>
        <w:rPr>
          <w:rFonts w:hint="eastAsia" w:ascii="Times New Roman" w:hAnsi="Times New Roman" w:eastAsia="仿宋_GB2312" w:cs="Times New Roman"/>
          <w:caps w:val="0"/>
          <w:color w:val="auto"/>
          <w:kern w:val="2"/>
          <w:sz w:val="32"/>
          <w:szCs w:val="32"/>
          <w:vertAlign w:val="baseline"/>
          <w:lang w:val="en-US" w:eastAsia="zh-CN" w:bidi="ar"/>
        </w:rPr>
        <w:t>支出决算为18.45万元，完成预算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5D491923">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5</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社会保障和就业（类）人力资源和社会保障管理事务（款）其他人力资源和社会保障管理事务支出（项）：支出决算为246.93万元，完成预算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1B0E6DC8">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6</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社会保障和就业（类）行政事业单位养老支出（款）行政单位离退休（项）：支出决算为248.33万元，完成预算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06E8DB31">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7</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社会保障和就业（类）行政事业单位养老支出（款）事业单位离退休（项）：支出决算为2489.56万元，完成预算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62FC7162">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8</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社会保障和就业（类）行政事业单位养老支出（款）机关事业单位基本养老保险缴费支出（项）：支出决算为903.18万元，完成预算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2253290E">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9</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社会保障和就业（类）行政事业单位养老支出（款）机关事业单位职业年金缴费支出（项）：支出决算为91.44万元，完成预算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5DA531F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10</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社会保障和就业（类）抚恤（款）死亡抚恤（项）：支出决算为123.49万元，完成预算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4F960387">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11</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社会保障和就业（类）其他社会保障和就业支出（款）其他社会保障和就业支出（项）：支出决算为1.5万元，完成预算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279471F7">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12</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卫生健康（类）卫生健康管理事务（款）行政运行（项）：支出决算为1217.41万元，完成预算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w:t>
      </w:r>
    </w:p>
    <w:p w14:paraId="2933233B">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13</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卫生健康（类）卫生健康管理事务（款）一般行政管理事务（项）：支出决算为2.1万元，完成预算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0B7FD5E0">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14</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卫生健康（类）卫生健康管理事务（款）机关服务（项）：支出决算为77.14万元，完成预算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16581023">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15</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卫生健康（类）卫生健康管理事务（款）其他卫生健康管理事务支出（项）：支出决算为6.27万元，完成预算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460687FC">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16</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卫生健康（类）公立医院（款）综合医院（项）：支出决算为13.55万元，完成预算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3826A15F">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17</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卫生健康（类）公立医院（款）传染病医院（项）：支出决算为1102万元，完成预算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4B7F633B">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18</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卫生健康（类）公立医院（款）其他公立医院支出（项）：支出决算为266.77万元，完成预算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5FB01B97">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19</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卫生健康（类）公共卫生（款）疾病预防控制机构（项）：支出决算为2603.79万元，完成预算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73EFE7AC">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卫生健康（类）公共卫生（款）妇幼保健机构（项）：支出决算为22.13万元，完成预算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16A9A4B0">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21</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卫生健康（类）公共卫生（款）应急救治机构（项）：支出决算为186.66万元，完成预算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6E088753">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22</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卫生健康（类）公共卫生（款）采供血机构（项）：支出决算为1616.74万元，完成预算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4825E973">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2</w:t>
      </w:r>
      <w:r>
        <w:rPr>
          <w:rFonts w:hint="eastAsia" w:ascii="Times New Roman" w:hAnsi="Times New Roman" w:eastAsia="仿宋_GB2312" w:cs="Times New Roman"/>
          <w:caps w:val="0"/>
          <w:color w:val="auto"/>
          <w:kern w:val="2"/>
          <w:sz w:val="32"/>
          <w:szCs w:val="32"/>
          <w:vertAlign w:val="baseline"/>
          <w:lang w:val="en-US" w:eastAsia="zh-CN" w:bidi="ar"/>
        </w:rPr>
        <w:t>3</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卫生健康（类）公共卫生（款）基本公共卫生服务（项）：支出决算为192.89万元，完成预算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2F76B73C">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eastAsia="仿宋_GB2312" w:cs="仿宋_GB2312"/>
          <w:caps w:val="0"/>
          <w:color w:val="auto"/>
          <w:kern w:val="2"/>
          <w:sz w:val="32"/>
          <w:szCs w:val="32"/>
          <w:vertAlign w:val="baseline"/>
        </w:rPr>
      </w:pPr>
      <w:r>
        <w:rPr>
          <w:rFonts w:hint="default" w:ascii="Times New Roman" w:hAnsi="Times New Roman" w:eastAsia="仿宋_GB2312" w:cs="Times New Roman"/>
          <w:caps w:val="0"/>
          <w:color w:val="auto"/>
          <w:kern w:val="2"/>
          <w:sz w:val="32"/>
          <w:szCs w:val="32"/>
          <w:vertAlign w:val="baseline"/>
          <w:lang w:val="en-US" w:eastAsia="zh-CN" w:bidi="ar"/>
        </w:rPr>
        <w:t>2</w:t>
      </w:r>
      <w:r>
        <w:rPr>
          <w:rFonts w:hint="eastAsia" w:ascii="Times New Roman" w:hAnsi="Times New Roman" w:eastAsia="仿宋_GB2312" w:cs="Times New Roman"/>
          <w:caps w:val="0"/>
          <w:color w:val="auto"/>
          <w:kern w:val="2"/>
          <w:sz w:val="32"/>
          <w:szCs w:val="32"/>
          <w:vertAlign w:val="baseline"/>
          <w:lang w:val="en-US" w:eastAsia="zh-CN" w:bidi="ar"/>
        </w:rPr>
        <w:t>4</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卫生健康（类）公共卫生（款）重大公共卫生服务（项）：支出决算为1221.59万元，完成预算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w:t>
      </w:r>
      <w:r>
        <w:rPr>
          <w:rFonts w:hint="eastAsia" w:ascii="Times New Roman" w:eastAsia="仿宋_GB2312" w:cs="仿宋_GB2312"/>
          <w:caps w:val="0"/>
          <w:color w:val="auto"/>
          <w:kern w:val="2"/>
          <w:sz w:val="32"/>
          <w:szCs w:val="32"/>
          <w:vertAlign w:val="baseline"/>
        </w:rPr>
        <w:t>数。</w:t>
      </w:r>
    </w:p>
    <w:p w14:paraId="5E145B7A">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2</w:t>
      </w:r>
      <w:r>
        <w:rPr>
          <w:rFonts w:hint="eastAsia" w:ascii="Times New Roman" w:hAnsi="Times New Roman" w:eastAsia="仿宋_GB2312" w:cs="Times New Roman"/>
          <w:caps w:val="0"/>
          <w:color w:val="auto"/>
          <w:kern w:val="2"/>
          <w:sz w:val="32"/>
          <w:szCs w:val="32"/>
          <w:vertAlign w:val="baseline"/>
          <w:lang w:val="en-US" w:eastAsia="zh-CN" w:bidi="ar"/>
        </w:rPr>
        <w:t>5</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卫生健康（类）公共卫生（款）其他公共卫生支出（项）：支出决算为26.28万元，完成预算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06C32B63">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2</w:t>
      </w:r>
      <w:r>
        <w:rPr>
          <w:rFonts w:hint="eastAsia" w:ascii="Times New Roman" w:hAnsi="Times New Roman" w:eastAsia="仿宋_GB2312" w:cs="Times New Roman"/>
          <w:caps w:val="0"/>
          <w:color w:val="auto"/>
          <w:kern w:val="2"/>
          <w:sz w:val="32"/>
          <w:szCs w:val="32"/>
          <w:vertAlign w:val="baseline"/>
          <w:lang w:val="en-US" w:eastAsia="zh-CN" w:bidi="ar"/>
        </w:rPr>
        <w:t>6</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卫生健康（类）计划生育事务（款）其他计划生育事务支出（项）：支出决算为</w:t>
      </w:r>
      <w:r>
        <w:rPr>
          <w:rFonts w:hint="default" w:ascii="Times New Roman" w:hAnsi="Times New Roman" w:eastAsia="仿宋_GB2312" w:cs="Times New Roman"/>
          <w:caps w:val="0"/>
          <w:color w:val="auto"/>
          <w:kern w:val="2"/>
          <w:sz w:val="32"/>
          <w:szCs w:val="32"/>
          <w:vertAlign w:val="baseline"/>
          <w:lang w:val="en-US" w:eastAsia="zh-CN" w:bidi="ar"/>
        </w:rPr>
        <w:t>1.86</w:t>
      </w:r>
      <w:r>
        <w:rPr>
          <w:rFonts w:hint="eastAsia" w:ascii="Times New Roman" w:hAnsi="Times New Roman" w:eastAsia="仿宋_GB2312" w:cs="Times New Roman"/>
          <w:caps w:val="0"/>
          <w:color w:val="auto"/>
          <w:kern w:val="2"/>
          <w:sz w:val="32"/>
          <w:szCs w:val="32"/>
          <w:vertAlign w:val="baseline"/>
          <w:lang w:val="en-US" w:eastAsia="zh-CN" w:bidi="ar"/>
        </w:rPr>
        <w:t>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7804270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2</w:t>
      </w:r>
      <w:r>
        <w:rPr>
          <w:rFonts w:hint="eastAsia" w:ascii="Times New Roman" w:hAnsi="Times New Roman" w:eastAsia="仿宋_GB2312" w:cs="Times New Roman"/>
          <w:caps w:val="0"/>
          <w:color w:val="auto"/>
          <w:kern w:val="2"/>
          <w:sz w:val="32"/>
          <w:szCs w:val="32"/>
          <w:vertAlign w:val="baseline"/>
          <w:lang w:val="en-US" w:eastAsia="zh-CN" w:bidi="ar"/>
        </w:rPr>
        <w:t>7</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卫生健康（类）行政事业单位医疗（款）行政单位医疗（项）：支出决算为82.7万元，完成预算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166E0A14">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2</w:t>
      </w:r>
      <w:r>
        <w:rPr>
          <w:rFonts w:hint="eastAsia" w:ascii="Times New Roman" w:hAnsi="Times New Roman" w:eastAsia="仿宋_GB2312" w:cs="Times New Roman"/>
          <w:caps w:val="0"/>
          <w:color w:val="auto"/>
          <w:kern w:val="2"/>
          <w:sz w:val="32"/>
          <w:szCs w:val="32"/>
          <w:vertAlign w:val="baseline"/>
          <w:lang w:val="en-US" w:eastAsia="zh-CN" w:bidi="ar"/>
        </w:rPr>
        <w:t>8</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卫生健康（类）行政事业单位医疗（款）事业单位医疗（项）：支出决算为162.7万元，完成预算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476F429D">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2</w:t>
      </w:r>
      <w:r>
        <w:rPr>
          <w:rFonts w:hint="eastAsia" w:ascii="Times New Roman" w:hAnsi="Times New Roman" w:eastAsia="仿宋_GB2312" w:cs="Times New Roman"/>
          <w:caps w:val="0"/>
          <w:color w:val="auto"/>
          <w:kern w:val="2"/>
          <w:sz w:val="32"/>
          <w:szCs w:val="32"/>
          <w:vertAlign w:val="baseline"/>
          <w:lang w:val="en-US" w:eastAsia="zh-CN" w:bidi="ar"/>
        </w:rPr>
        <w:t>9</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卫生健康（类）行政事业单位医疗（款）公务员医疗补助（项）：支出决算为27.77万元，完成预算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56892C4B">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30.卫生健康（类）行政事业单位医疗（款）其他行政事业单位医疗支出（项）：支出决算为18.38万元，完成预算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3962034F">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31</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卫生健康（类）中医药事务（款）其他中医药事务支出（项）：支出决算为1.85万元，完成预算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12B85448">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32</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卫生健康（类）其他卫生健康支出（款）其他卫生健康支出（项）：支出决算为4108.36万元，完成预算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4C785DDC">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3</w:t>
      </w:r>
      <w:r>
        <w:rPr>
          <w:rFonts w:hint="eastAsia" w:ascii="Times New Roman" w:hAnsi="Times New Roman" w:eastAsia="仿宋_GB2312" w:cs="Times New Roman"/>
          <w:caps w:val="0"/>
          <w:color w:val="auto"/>
          <w:kern w:val="2"/>
          <w:sz w:val="32"/>
          <w:szCs w:val="32"/>
          <w:vertAlign w:val="baseline"/>
          <w:lang w:val="en-US" w:eastAsia="zh-CN" w:bidi="ar"/>
        </w:rPr>
        <w:t>3</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住房保障（类）住房改革支出（款）住房公积金（项）：支出决算为386.07万元，完成预算</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，决算数等于预算数。</w:t>
      </w:r>
    </w:p>
    <w:p w14:paraId="69BD20D3">
      <w:pPr>
        <w:tabs>
          <w:tab w:val="right" w:pos="8306"/>
        </w:tabs>
        <w:spacing w:line="600" w:lineRule="exact"/>
        <w:ind w:firstLine="640"/>
        <w:outlineLvl w:val="1"/>
        <w:rPr>
          <w:rStyle w:val="31"/>
          <w:rFonts w:ascii="Times New Roman" w:hAnsi="Times New Roman"/>
          <w:color w:val="auto"/>
          <w:highlight w:val="none"/>
        </w:rPr>
      </w:pPr>
      <w:bookmarkStart w:id="58" w:name="_Toc15377214"/>
      <w:bookmarkStart w:id="59" w:name="_Toc1112546965"/>
      <w:bookmarkStart w:id="60"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58"/>
      <w:bookmarkEnd w:id="59"/>
      <w:bookmarkEnd w:id="60"/>
      <w:r>
        <w:rPr>
          <w:rStyle w:val="31"/>
          <w:rFonts w:ascii="Times New Roman" w:hAnsi="Times New Roman" w:eastAsia="黑体"/>
          <w:b w:val="0"/>
          <w:color w:val="auto"/>
          <w:highlight w:val="none"/>
        </w:rPr>
        <w:tab/>
      </w:r>
    </w:p>
    <w:p w14:paraId="583EF6D1">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2025年度一般公共预算财政拨款基本支出8569.36万元，其中：</w:t>
      </w:r>
    </w:p>
    <w:p w14:paraId="654284E8">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人员经费8115.68万元，主要包括：基本工资1324.38万元、津贴补贴400.24万元、奖金386.73万元、绩效工资1287.89万元、机关事业单位基本养老保险缴费903.18万元、职业年金缴费91.44万元、职工基本医疗保险缴费245.4万元、公务员医疗补助缴费58.61万元、其他社会保障缴费20.5万元、住房公积金386.07万元、其他工资福利支出122.36万元、离休费127.13万元、抚恤金123.49万元、生活补助2360.76万元、医疗费补助235.04万元、奖励金0.74万元、其他对个人和家庭的补助支出41.73万元等。</w:t>
      </w:r>
      <w:r>
        <w:rPr>
          <w:rFonts w:hint="eastAsia" w:ascii="Times New Roman" w:hAnsi="Times New Roman" w:eastAsia="仿宋_GB2312" w:cs="Times New Roman"/>
          <w:caps w:val="0"/>
          <w:color w:val="auto"/>
          <w:kern w:val="2"/>
          <w:sz w:val="32"/>
          <w:szCs w:val="32"/>
          <w:vertAlign w:val="baseline"/>
          <w:lang w:val="en-US" w:eastAsia="zh-CN" w:bidi="ar"/>
        </w:rPr>
        <w:br w:type="textWrapping"/>
      </w:r>
      <w:r>
        <w:rPr>
          <w:rFonts w:hint="eastAsia" w:ascii="Times New Roman" w:hAnsi="Times New Roman" w:eastAsia="仿宋_GB2312" w:cs="仿宋_GB2312"/>
          <w:color w:val="auto"/>
          <w:kern w:val="2"/>
          <w:sz w:val="32"/>
          <w:szCs w:val="32"/>
          <w:highlight w:val="none"/>
          <w:lang w:val="en-US" w:eastAsia="zh-CN" w:bidi="ar-SA"/>
        </w:rPr>
        <w:t>　　</w:t>
      </w:r>
      <w:r>
        <w:rPr>
          <w:rFonts w:hint="eastAsia" w:ascii="Times New Roman" w:hAnsi="Times New Roman" w:eastAsia="仿宋_GB2312" w:cs="Times New Roman"/>
          <w:caps w:val="0"/>
          <w:color w:val="auto"/>
          <w:kern w:val="2"/>
          <w:sz w:val="32"/>
          <w:szCs w:val="32"/>
          <w:vertAlign w:val="baseline"/>
          <w:lang w:val="en-US" w:eastAsia="zh-CN" w:bidi="ar"/>
        </w:rPr>
        <w:t>公用经费453.67万元，主要包括：办公费40.72万元、印刷费1.96万元、水费4.06万元、电费32.07万元、邮电费22.56万元、物业管理费12.5万元、差旅费54.7万元、维修（护）费10.79万元、会议费0.28万元、培训费1.33万元、公务接待费3.84万元、劳务费20.14万元、委托业务费3.86万元、工会经费40.87万元、福利费27万元、公务用车运行维护费29.68万元、其他交通费75.14万元、其他商品和服务支出71.93万元、办公设备购置0.25万元等。</w:t>
      </w:r>
    </w:p>
    <w:p w14:paraId="2DD85053">
      <w:pPr>
        <w:spacing w:line="600" w:lineRule="exact"/>
        <w:ind w:firstLine="640"/>
        <w:outlineLvl w:val="1"/>
        <w:rPr>
          <w:rStyle w:val="31"/>
          <w:rFonts w:ascii="Times New Roman" w:hAnsi="Times New Roman" w:eastAsia="黑体"/>
          <w:b w:val="0"/>
          <w:color w:val="auto"/>
          <w:highlight w:val="none"/>
        </w:rPr>
      </w:pPr>
      <w:bookmarkStart w:id="61" w:name="_Toc15377215"/>
      <w:bookmarkStart w:id="62" w:name="_Toc15396609"/>
      <w:bookmarkStart w:id="63" w:name="_Toc1856856447"/>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61"/>
      <w:bookmarkEnd w:id="62"/>
      <w:bookmarkEnd w:id="63"/>
    </w:p>
    <w:p w14:paraId="70D8D09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4"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64"/>
    </w:p>
    <w:p w14:paraId="3CF0986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2025年度财政拨款“三公”经费支出决算为33.52万元，完成预算100%，较上年度减少7.08万元，下降17.4%。决算数与预算数持平。</w:t>
      </w:r>
    </w:p>
    <w:p w14:paraId="315E098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5"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65"/>
    </w:p>
    <w:p w14:paraId="48F2E6D5">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2025年度财政拨款“三公”经费支出决算中，因公出国（境）费支出决算0万元，占0%；公务用车购置及运行维护费支出决算29.68万元，占88.5%；公务接待费支出决算3.84万元，占11.5%。具体情况如下：</w:t>
      </w:r>
    </w:p>
    <w:p w14:paraId="61542AA9">
      <w:pPr>
        <w:pStyle w:val="2"/>
        <w:rPr>
          <w:rFonts w:hint="eastAsia" w:ascii="Times New Roman" w:hAnsi="Times New Roman" w:eastAsia="仿宋_GB2312" w:cs="仿宋_GB2312"/>
          <w:color w:val="auto"/>
          <w:kern w:val="2"/>
          <w:sz w:val="32"/>
          <w:szCs w:val="32"/>
          <w:highlight w:val="none"/>
          <w:lang w:val="en-US" w:eastAsia="zh-CN" w:bidi="ar-SA"/>
        </w:rPr>
      </w:pPr>
    </w:p>
    <w:p w14:paraId="5245C6F5">
      <w:pPr>
        <w:pStyle w:val="3"/>
        <w:rPr>
          <w:rFonts w:hint="eastAsia" w:ascii="Times New Roman" w:hAnsi="Times New Roman" w:eastAsia="仿宋_GB2312" w:cs="仿宋_GB2312"/>
          <w:color w:val="auto"/>
          <w:kern w:val="2"/>
          <w:sz w:val="32"/>
          <w:szCs w:val="32"/>
          <w:highlight w:val="none"/>
          <w:lang w:val="en-US" w:eastAsia="zh-CN" w:bidi="ar-SA"/>
        </w:rPr>
      </w:pPr>
    </w:p>
    <w:p w14:paraId="157FD685">
      <w:pPr>
        <w:rPr>
          <w:rFonts w:hint="eastAsia" w:ascii="Times New Roman" w:hAnsi="Times New Roman" w:eastAsia="仿宋_GB2312" w:cs="仿宋_GB2312"/>
          <w:color w:val="auto"/>
          <w:kern w:val="2"/>
          <w:sz w:val="32"/>
          <w:szCs w:val="32"/>
          <w:highlight w:val="none"/>
          <w:lang w:val="en-US" w:eastAsia="zh-CN" w:bidi="ar-SA"/>
        </w:rPr>
      </w:pPr>
    </w:p>
    <w:p w14:paraId="10171CA5">
      <w:pPr>
        <w:pStyle w:val="2"/>
        <w:rPr>
          <w:rFonts w:hint="eastAsia" w:ascii="Times New Roman" w:hAnsi="Times New Roman" w:eastAsia="仿宋_GB2312" w:cs="仿宋_GB2312"/>
          <w:color w:val="auto"/>
          <w:kern w:val="2"/>
          <w:sz w:val="32"/>
          <w:szCs w:val="32"/>
          <w:highlight w:val="none"/>
          <w:lang w:val="en-US" w:eastAsia="zh-CN" w:bidi="ar-SA"/>
        </w:rPr>
      </w:pPr>
    </w:p>
    <w:p w14:paraId="61A254B5">
      <w:pPr>
        <w:pStyle w:val="2"/>
        <w:rPr>
          <w:rFonts w:hint="eastAsia" w:ascii="Times New Roman" w:hAnsi="Times New Roman" w:eastAsia="仿宋_GB2312" w:cs="仿宋_GB2312"/>
          <w:color w:val="auto"/>
          <w:kern w:val="2"/>
          <w:sz w:val="32"/>
          <w:szCs w:val="32"/>
          <w:highlight w:val="none"/>
          <w:lang w:val="en-US" w:eastAsia="zh-CN" w:bidi="ar-SA"/>
        </w:rPr>
      </w:pPr>
    </w:p>
    <w:p w14:paraId="3E2F9F0E">
      <w:pPr>
        <w:pStyle w:val="3"/>
        <w:rPr>
          <w:rFonts w:hint="eastAsia"/>
          <w:lang w:val="en-US" w:eastAsia="zh-CN"/>
        </w:rPr>
      </w:pPr>
    </w:p>
    <w:p w14:paraId="48E7A429">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0"/>
        <w:jc w:val="both"/>
        <w:outlineLvl w:val="9"/>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5408" behindDoc="0" locked="0" layoutInCell="1" allowOverlap="1">
            <wp:simplePos x="0" y="0"/>
            <wp:positionH relativeFrom="column">
              <wp:posOffset>5080</wp:posOffset>
            </wp:positionH>
            <wp:positionV relativeFrom="paragraph">
              <wp:posOffset>135255</wp:posOffset>
            </wp:positionV>
            <wp:extent cx="5264785" cy="2979420"/>
            <wp:effectExtent l="4445" t="4445" r="7620" b="6985"/>
            <wp:wrapNone/>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13842B6C">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0"/>
        <w:jc w:val="both"/>
        <w:outlineLvl w:val="9"/>
        <w:rPr>
          <w:rFonts w:hint="eastAsia" w:ascii="Times New Roman" w:hAnsi="Times New Roman" w:eastAsia="仿宋_GB2312" w:cs="仿宋_GB2312"/>
          <w:b/>
          <w:bCs/>
          <w:color w:val="auto"/>
          <w:kern w:val="2"/>
          <w:sz w:val="32"/>
          <w:szCs w:val="32"/>
          <w:highlight w:val="none"/>
          <w:lang w:val="en-US" w:eastAsia="zh-CN" w:bidi="ar-SA"/>
        </w:rPr>
      </w:pPr>
    </w:p>
    <w:p w14:paraId="702D03DF">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0"/>
        <w:jc w:val="both"/>
        <w:outlineLvl w:val="9"/>
        <w:rPr>
          <w:rFonts w:hint="eastAsia" w:ascii="Times New Roman" w:hAnsi="Times New Roman" w:eastAsia="仿宋_GB2312" w:cs="仿宋_GB2312"/>
          <w:b/>
          <w:bCs/>
          <w:color w:val="auto"/>
          <w:kern w:val="2"/>
          <w:sz w:val="32"/>
          <w:szCs w:val="32"/>
          <w:highlight w:val="none"/>
          <w:lang w:val="en-US" w:eastAsia="zh-CN" w:bidi="ar-SA"/>
        </w:rPr>
      </w:pPr>
    </w:p>
    <w:p w14:paraId="7E7614AA">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0"/>
        <w:jc w:val="both"/>
        <w:outlineLvl w:val="9"/>
        <w:rPr>
          <w:rFonts w:hint="eastAsia" w:ascii="Times New Roman" w:hAnsi="Times New Roman" w:eastAsia="仿宋_GB2312" w:cs="仿宋_GB2312"/>
          <w:b/>
          <w:bCs/>
          <w:color w:val="auto"/>
          <w:kern w:val="2"/>
          <w:sz w:val="32"/>
          <w:szCs w:val="32"/>
          <w:highlight w:val="none"/>
          <w:lang w:val="en-US" w:eastAsia="zh-CN" w:bidi="ar-SA"/>
        </w:rPr>
      </w:pPr>
    </w:p>
    <w:p w14:paraId="5632F971">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0"/>
        <w:jc w:val="both"/>
        <w:outlineLvl w:val="9"/>
        <w:rPr>
          <w:rFonts w:hint="eastAsia" w:ascii="Times New Roman" w:hAnsi="Times New Roman" w:eastAsia="仿宋_GB2312" w:cs="仿宋_GB2312"/>
          <w:b/>
          <w:bCs/>
          <w:color w:val="auto"/>
          <w:kern w:val="2"/>
          <w:sz w:val="32"/>
          <w:szCs w:val="32"/>
          <w:highlight w:val="none"/>
          <w:lang w:val="en-US" w:eastAsia="zh-CN" w:bidi="ar-SA"/>
        </w:rPr>
      </w:pPr>
    </w:p>
    <w:p w14:paraId="12DC056E">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0"/>
        <w:jc w:val="both"/>
        <w:outlineLvl w:val="9"/>
        <w:rPr>
          <w:rFonts w:hint="eastAsia" w:ascii="Times New Roman" w:hAnsi="Times New Roman" w:eastAsia="仿宋_GB2312" w:cs="仿宋_GB2312"/>
          <w:b/>
          <w:bCs/>
          <w:color w:val="auto"/>
          <w:kern w:val="2"/>
          <w:sz w:val="32"/>
          <w:szCs w:val="32"/>
          <w:highlight w:val="none"/>
          <w:lang w:val="en-US" w:eastAsia="zh-CN" w:bidi="ar-SA"/>
        </w:rPr>
      </w:pPr>
    </w:p>
    <w:p w14:paraId="04CBB6F5">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0"/>
        <w:jc w:val="both"/>
        <w:outlineLvl w:val="9"/>
        <w:rPr>
          <w:rFonts w:hint="eastAsia" w:ascii="Times New Roman" w:hAnsi="Times New Roman" w:eastAsia="仿宋_GB2312" w:cs="仿宋_GB2312"/>
          <w:b/>
          <w:bCs/>
          <w:color w:val="auto"/>
          <w:kern w:val="2"/>
          <w:sz w:val="32"/>
          <w:szCs w:val="32"/>
          <w:highlight w:val="none"/>
          <w:lang w:val="en-US" w:eastAsia="zh-CN" w:bidi="ar-SA"/>
        </w:rPr>
      </w:pPr>
    </w:p>
    <w:p w14:paraId="49427F8E">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0"/>
        <w:jc w:val="both"/>
        <w:outlineLvl w:val="9"/>
        <w:rPr>
          <w:rFonts w:hint="eastAsia" w:ascii="Times New Roman" w:hAnsi="Times New Roman" w:eastAsia="仿宋_GB2312" w:cs="仿宋_GB2312"/>
          <w:b/>
          <w:bCs/>
          <w:color w:val="auto"/>
          <w:kern w:val="2"/>
          <w:sz w:val="32"/>
          <w:szCs w:val="32"/>
          <w:highlight w:val="none"/>
          <w:lang w:val="en-US" w:eastAsia="zh-CN" w:bidi="ar-SA"/>
        </w:rPr>
      </w:pPr>
    </w:p>
    <w:p w14:paraId="764ACD77">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right="0"/>
        <w:jc w:val="both"/>
        <w:outlineLvl w:val="9"/>
        <w:rPr>
          <w:rFonts w:hint="eastAsia" w:ascii="Times New Roman" w:hAnsi="Times New Roman" w:eastAsia="仿宋_GB2312" w:cs="仿宋_GB2312"/>
          <w:b/>
          <w:bCs/>
          <w:color w:val="auto"/>
          <w:kern w:val="2"/>
          <w:sz w:val="32"/>
          <w:szCs w:val="32"/>
          <w:highlight w:val="none"/>
          <w:lang w:val="en-US" w:eastAsia="zh-CN" w:bidi="ar-SA"/>
        </w:rPr>
      </w:pPr>
    </w:p>
    <w:p w14:paraId="10BDDB90">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0"/>
        <w:jc w:val="both"/>
        <w:outlineLvl w:val="9"/>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Times New Roman" w:hAnsi="Times New Roman" w:eastAsia="仿宋_GB2312" w:cs="Times New Roman"/>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ascii="Times New Roman" w:hAnsi="Times New Roman" w:eastAsia="仿宋_GB2312" w:cs="Times New Roman"/>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Times New Roman"/>
          <w:caps w:val="0"/>
          <w:color w:val="auto"/>
          <w:kern w:val="2"/>
          <w:sz w:val="32"/>
          <w:szCs w:val="32"/>
          <w:vertAlign w:val="baseline"/>
          <w:lang w:val="en-US" w:eastAsia="zh-CN" w:bidi="ar"/>
        </w:rPr>
        <w:t>全年安排因公出国（境）团组0次，出国（境）0人。</w:t>
      </w:r>
      <w:r>
        <w:rPr>
          <w:rFonts w:hint="default" w:ascii="Times New Roman" w:hAnsi="Times New Roman" w:eastAsia="仿宋_GB2312" w:cs="Times New Roman"/>
          <w:caps w:val="0"/>
          <w:color w:val="auto"/>
          <w:kern w:val="2"/>
          <w:sz w:val="32"/>
          <w:szCs w:val="32"/>
          <w:vertAlign w:val="baseline"/>
          <w:lang w:val="en-US" w:eastAsia="zh-CN" w:bidi="ar"/>
        </w:rPr>
        <w:t>因公出国（境）支出决算与202</w:t>
      </w:r>
      <w:r>
        <w:rPr>
          <w:rFonts w:hint="eastAsia" w:ascii="Times New Roman" w:hAnsi="Times New Roman" w:eastAsia="仿宋_GB2312" w:cs="Times New Roman"/>
          <w:caps w:val="0"/>
          <w:color w:val="auto"/>
          <w:kern w:val="2"/>
          <w:sz w:val="32"/>
          <w:szCs w:val="32"/>
          <w:vertAlign w:val="baseline"/>
          <w:lang w:val="en-US" w:eastAsia="zh-CN" w:bidi="ar"/>
        </w:rPr>
        <w:t>4年持平。</w:t>
      </w:r>
    </w:p>
    <w:p w14:paraId="6DAD1B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Times New Roman" w:hAnsi="Times New Roman" w:eastAsia="仿宋_GB2312" w:cs="Times New Roman"/>
          <w:b/>
          <w:bCs/>
          <w:color w:val="auto"/>
          <w:kern w:val="2"/>
          <w:sz w:val="32"/>
          <w:szCs w:val="32"/>
          <w:highlight w:val="none"/>
          <w:lang w:val="en-US" w:eastAsia="zh-CN" w:bidi="ar-SA"/>
        </w:rPr>
        <w:t>29.68</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ascii="Times New Roman" w:hAnsi="Times New Roman" w:eastAsia="仿宋_GB2312" w:cs="Times New Roman"/>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Times New Roman"/>
          <w:caps w:val="0"/>
          <w:color w:val="auto"/>
          <w:kern w:val="2"/>
          <w:sz w:val="32"/>
          <w:szCs w:val="32"/>
          <w:vertAlign w:val="baseline"/>
          <w:lang w:val="en-US" w:eastAsia="zh-CN" w:bidi="ar"/>
        </w:rPr>
        <w:t>公务用车购置及运行维护费支出决算比上年度减少7.59万元，下降20.4%。主要原因是工作需要。</w:t>
      </w:r>
    </w:p>
    <w:p w14:paraId="1B766827">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其中：公务用车购置支出0万元。全年按规定更新购置公务用车0辆，其中：轿车0辆、金额0万元，越野车**辆、金额0万元，载客汽车**辆、金额0万元。截至2025年12月31日，单位共有公务用车66辆，其中：</w:t>
      </w:r>
      <w:r>
        <w:rPr>
          <w:rFonts w:hint="default" w:ascii="Times New Roman" w:hAnsi="Times New Roman" w:eastAsia="仿宋_GB2312" w:cs="Times New Roman"/>
          <w:caps w:val="0"/>
          <w:color w:val="auto"/>
          <w:kern w:val="2"/>
          <w:sz w:val="32"/>
          <w:szCs w:val="32"/>
          <w:vertAlign w:val="baseline"/>
          <w:lang w:val="en-US" w:eastAsia="zh-CN" w:bidi="ar"/>
        </w:rPr>
        <w:t>特种专业技术用车</w:t>
      </w:r>
      <w:r>
        <w:rPr>
          <w:rFonts w:hint="eastAsia" w:ascii="Times New Roman" w:hAnsi="Times New Roman" w:eastAsia="仿宋_GB2312" w:cs="Times New Roman"/>
          <w:caps w:val="0"/>
          <w:color w:val="auto"/>
          <w:kern w:val="2"/>
          <w:sz w:val="32"/>
          <w:szCs w:val="32"/>
          <w:vertAlign w:val="baseline"/>
          <w:lang w:val="en-US" w:eastAsia="zh-CN" w:bidi="ar"/>
        </w:rPr>
        <w:t>29辆、其他用车</w:t>
      </w:r>
      <w:r>
        <w:rPr>
          <w:rFonts w:hint="default" w:ascii="Times New Roman" w:hAnsi="Times New Roman" w:eastAsia="仿宋_GB2312" w:cs="Times New Roman"/>
          <w:caps w:val="0"/>
          <w:color w:val="auto"/>
          <w:kern w:val="2"/>
          <w:sz w:val="32"/>
          <w:szCs w:val="32"/>
          <w:vertAlign w:val="baseline"/>
          <w:lang w:val="en-US" w:eastAsia="zh-CN" w:bidi="ar"/>
        </w:rPr>
        <w:t>37</w:t>
      </w:r>
      <w:r>
        <w:rPr>
          <w:rFonts w:hint="eastAsia" w:ascii="Times New Roman" w:hAnsi="Times New Roman" w:eastAsia="仿宋_GB2312" w:cs="Times New Roman"/>
          <w:caps w:val="0"/>
          <w:color w:val="auto"/>
          <w:kern w:val="2"/>
          <w:sz w:val="32"/>
          <w:szCs w:val="32"/>
          <w:vertAlign w:val="baseline"/>
          <w:lang w:val="en-US" w:eastAsia="zh-CN" w:bidi="ar"/>
        </w:rPr>
        <w:t>辆。</w:t>
      </w:r>
    </w:p>
    <w:p w14:paraId="402A4AD2">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公务用车运行维护费支出29.68万元。主要用于</w:t>
      </w:r>
      <w:r>
        <w:rPr>
          <w:rFonts w:hint="default" w:ascii="Times New Roman" w:hAnsi="Times New Roman" w:eastAsia="仿宋_GB2312" w:cs="Times New Roman"/>
          <w:caps w:val="0"/>
          <w:color w:val="auto"/>
          <w:kern w:val="2"/>
          <w:sz w:val="32"/>
          <w:szCs w:val="32"/>
          <w:vertAlign w:val="baseline"/>
          <w:lang w:val="en-US" w:eastAsia="zh-CN" w:bidi="ar"/>
        </w:rPr>
        <w:t>开展卫生健康相关业务活动等</w:t>
      </w:r>
      <w:r>
        <w:rPr>
          <w:rFonts w:hint="eastAsia" w:ascii="Times New Roman" w:hAnsi="Times New Roman" w:eastAsia="仿宋_GB2312" w:cs="Times New Roman"/>
          <w:caps w:val="0"/>
          <w:color w:val="auto"/>
          <w:kern w:val="2"/>
          <w:sz w:val="32"/>
          <w:szCs w:val="32"/>
          <w:vertAlign w:val="baseline"/>
          <w:lang w:val="en-US" w:eastAsia="zh-CN" w:bidi="ar"/>
        </w:rPr>
        <w:t>所需的公务用车燃料费、维修费、过路过桥费、保险费等支出。</w:t>
      </w:r>
    </w:p>
    <w:p w14:paraId="22DB40D9">
      <w:pPr>
        <w:spacing w:line="600" w:lineRule="exact"/>
        <w:ind w:firstLine="640"/>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default" w:ascii="Times New Roman" w:hAnsi="Times New Roman" w:eastAsia="仿宋_GB2312" w:cs="Times New Roman"/>
          <w:b/>
          <w:bCs/>
          <w:color w:val="auto"/>
          <w:kern w:val="2"/>
          <w:sz w:val="32"/>
          <w:szCs w:val="32"/>
          <w:highlight w:val="none"/>
          <w:lang w:val="en-US" w:eastAsia="zh-CN" w:bidi="ar-SA"/>
        </w:rPr>
        <w:t>3.84</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ascii="Times New Roman" w:hAnsi="Times New Roman" w:eastAsia="仿宋_GB2312" w:cs="Times New Roman"/>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Times New Roman"/>
          <w:caps w:val="0"/>
          <w:color w:val="auto"/>
          <w:kern w:val="2"/>
          <w:sz w:val="32"/>
          <w:szCs w:val="32"/>
          <w:vertAlign w:val="baseline"/>
          <w:lang w:val="en-US" w:eastAsia="zh-CN" w:bidi="ar"/>
        </w:rPr>
        <w:t>公务接待费支出决算比上年度增加0.51万元，增长15.3%。主要原因是工作需要。其中：</w:t>
      </w:r>
    </w:p>
    <w:p w14:paraId="3978A6CB">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国内公务接待支出3.84万元，主要用于</w:t>
      </w:r>
      <w:r>
        <w:rPr>
          <w:rFonts w:hint="default" w:ascii="Times New Roman" w:hAnsi="Times New Roman" w:eastAsia="仿宋_GB2312" w:cs="Times New Roman"/>
          <w:caps w:val="0"/>
          <w:color w:val="auto"/>
          <w:kern w:val="2"/>
          <w:sz w:val="32"/>
          <w:szCs w:val="32"/>
          <w:vertAlign w:val="baseline"/>
          <w:lang w:val="en-US" w:eastAsia="zh-CN" w:bidi="ar"/>
        </w:rPr>
        <w:t>接待各种督导、检查、调研等工作</w:t>
      </w:r>
      <w:r>
        <w:rPr>
          <w:rFonts w:hint="eastAsia" w:ascii="Times New Roman" w:hAnsi="Times New Roman" w:eastAsia="仿宋_GB2312" w:cs="Times New Roman"/>
          <w:caps w:val="0"/>
          <w:color w:val="auto"/>
          <w:kern w:val="2"/>
          <w:sz w:val="32"/>
          <w:szCs w:val="32"/>
          <w:vertAlign w:val="baseline"/>
          <w:lang w:val="en-US" w:eastAsia="zh-CN" w:bidi="ar"/>
        </w:rPr>
        <w:t>。国内公务接待30批次，207人次（不包括陪同人员），共计支出3.84万元，具体内容包括：</w:t>
      </w:r>
      <w:r>
        <w:rPr>
          <w:rFonts w:hint="default" w:ascii="Times New Roman" w:hAnsi="Times New Roman" w:eastAsia="仿宋_GB2312" w:cs="Times New Roman"/>
          <w:caps w:val="0"/>
          <w:color w:val="auto"/>
          <w:kern w:val="2"/>
          <w:sz w:val="32"/>
          <w:szCs w:val="32"/>
          <w:vertAlign w:val="baseline"/>
          <w:lang w:val="en-US" w:eastAsia="zh-CN" w:bidi="ar"/>
        </w:rPr>
        <w:t>接待黔西南州考察医养结合工作0.18</w:t>
      </w:r>
      <w:r>
        <w:rPr>
          <w:rFonts w:hint="eastAsia" w:ascii="Times New Roman" w:hAnsi="Times New Roman" w:eastAsia="仿宋_GB2312" w:cs="Times New Roman"/>
          <w:caps w:val="0"/>
          <w:color w:val="auto"/>
          <w:kern w:val="2"/>
          <w:sz w:val="32"/>
          <w:szCs w:val="32"/>
          <w:vertAlign w:val="baseline"/>
          <w:lang w:val="en-US" w:eastAsia="zh-CN" w:bidi="ar"/>
        </w:rPr>
        <w:t>万元；接待德阳罗江区考察</w:t>
      </w:r>
      <w:r>
        <w:rPr>
          <w:rFonts w:hint="default" w:ascii="Times New Roman" w:hAnsi="Times New Roman" w:eastAsia="仿宋_GB2312" w:cs="Times New Roman"/>
          <w:caps w:val="0"/>
          <w:color w:val="auto"/>
          <w:kern w:val="2"/>
          <w:sz w:val="32"/>
          <w:szCs w:val="32"/>
          <w:vertAlign w:val="baseline"/>
          <w:lang w:val="en-US" w:eastAsia="zh-CN" w:bidi="ar"/>
        </w:rPr>
        <w:t>0.12</w:t>
      </w:r>
      <w:r>
        <w:rPr>
          <w:rFonts w:hint="eastAsia" w:ascii="Times New Roman" w:hAnsi="Times New Roman" w:eastAsia="仿宋_GB2312" w:cs="Times New Roman"/>
          <w:caps w:val="0"/>
          <w:color w:val="auto"/>
          <w:kern w:val="2"/>
          <w:sz w:val="32"/>
          <w:szCs w:val="32"/>
          <w:vertAlign w:val="baseline"/>
          <w:lang w:val="en-US" w:eastAsia="zh-CN" w:bidi="ar"/>
        </w:rPr>
        <w:t>万元；接待健康影响评估和健康城市建设工作调研</w:t>
      </w:r>
      <w:r>
        <w:rPr>
          <w:rFonts w:hint="default" w:ascii="Times New Roman" w:hAnsi="Times New Roman" w:eastAsia="仿宋_GB2312" w:cs="Times New Roman"/>
          <w:caps w:val="0"/>
          <w:color w:val="auto"/>
          <w:kern w:val="2"/>
          <w:sz w:val="32"/>
          <w:szCs w:val="32"/>
          <w:vertAlign w:val="baseline"/>
          <w:lang w:val="en-US" w:eastAsia="zh-CN" w:bidi="ar"/>
        </w:rPr>
        <w:t>0.17</w:t>
      </w:r>
      <w:r>
        <w:rPr>
          <w:rFonts w:hint="eastAsia" w:ascii="Times New Roman" w:hAnsi="Times New Roman" w:eastAsia="仿宋_GB2312" w:cs="Times New Roman"/>
          <w:caps w:val="0"/>
          <w:color w:val="auto"/>
          <w:kern w:val="2"/>
          <w:sz w:val="32"/>
          <w:szCs w:val="32"/>
          <w:vertAlign w:val="baseline"/>
          <w:lang w:val="en-US" w:eastAsia="zh-CN" w:bidi="ar"/>
        </w:rPr>
        <w:t>万元；接待医疗卫生服务体系建设调研</w:t>
      </w:r>
      <w:r>
        <w:rPr>
          <w:rFonts w:hint="default" w:ascii="Times New Roman" w:hAnsi="Times New Roman" w:eastAsia="仿宋_GB2312" w:cs="Times New Roman"/>
          <w:caps w:val="0"/>
          <w:color w:val="auto"/>
          <w:kern w:val="2"/>
          <w:sz w:val="32"/>
          <w:szCs w:val="32"/>
          <w:vertAlign w:val="baseline"/>
          <w:lang w:val="en-US" w:eastAsia="zh-CN" w:bidi="ar"/>
        </w:rPr>
        <w:t>0.24</w:t>
      </w:r>
      <w:r>
        <w:rPr>
          <w:rFonts w:hint="eastAsia" w:ascii="Times New Roman" w:hAnsi="Times New Roman" w:eastAsia="仿宋_GB2312" w:cs="Times New Roman"/>
          <w:caps w:val="0"/>
          <w:color w:val="auto"/>
          <w:kern w:val="2"/>
          <w:sz w:val="32"/>
          <w:szCs w:val="32"/>
          <w:vertAlign w:val="baseline"/>
          <w:lang w:val="en-US" w:eastAsia="zh-CN" w:bidi="ar"/>
        </w:rPr>
        <w:t>万元；接待方舱医院、隔离点处置工作调研</w:t>
      </w:r>
      <w:r>
        <w:rPr>
          <w:rFonts w:hint="default" w:ascii="Times New Roman" w:hAnsi="Times New Roman" w:eastAsia="仿宋_GB2312" w:cs="Times New Roman"/>
          <w:caps w:val="0"/>
          <w:color w:val="auto"/>
          <w:kern w:val="2"/>
          <w:sz w:val="32"/>
          <w:szCs w:val="32"/>
          <w:vertAlign w:val="baseline"/>
          <w:lang w:val="en-US" w:eastAsia="zh-CN" w:bidi="ar"/>
        </w:rPr>
        <w:t>0.06</w:t>
      </w:r>
      <w:r>
        <w:rPr>
          <w:rFonts w:hint="eastAsia" w:ascii="Times New Roman" w:hAnsi="Times New Roman" w:eastAsia="仿宋_GB2312" w:cs="Times New Roman"/>
          <w:caps w:val="0"/>
          <w:color w:val="auto"/>
          <w:kern w:val="2"/>
          <w:sz w:val="32"/>
          <w:szCs w:val="32"/>
          <w:vertAlign w:val="baseline"/>
          <w:lang w:val="en-US" w:eastAsia="zh-CN" w:bidi="ar"/>
        </w:rPr>
        <w:t>万元；接待邢台市考察学习</w:t>
      </w:r>
      <w:r>
        <w:rPr>
          <w:rFonts w:hint="default" w:ascii="Times New Roman" w:hAnsi="Times New Roman" w:eastAsia="仿宋_GB2312" w:cs="Times New Roman"/>
          <w:caps w:val="0"/>
          <w:color w:val="auto"/>
          <w:kern w:val="2"/>
          <w:sz w:val="32"/>
          <w:szCs w:val="32"/>
          <w:vertAlign w:val="baseline"/>
          <w:lang w:val="en-US" w:eastAsia="zh-CN" w:bidi="ar"/>
        </w:rPr>
        <w:t>0.28</w:t>
      </w:r>
      <w:r>
        <w:rPr>
          <w:rFonts w:hint="eastAsia" w:ascii="Times New Roman" w:hAnsi="Times New Roman" w:eastAsia="仿宋_GB2312" w:cs="Times New Roman"/>
          <w:caps w:val="0"/>
          <w:color w:val="auto"/>
          <w:kern w:val="2"/>
          <w:sz w:val="32"/>
          <w:szCs w:val="32"/>
          <w:vertAlign w:val="baseline"/>
          <w:lang w:val="en-US" w:eastAsia="zh-CN" w:bidi="ar"/>
        </w:rPr>
        <w:t>万元；接待人才供需工作调研</w:t>
      </w:r>
      <w:r>
        <w:rPr>
          <w:rFonts w:hint="default" w:ascii="Times New Roman" w:hAnsi="Times New Roman" w:eastAsia="仿宋_GB2312" w:cs="Times New Roman"/>
          <w:caps w:val="0"/>
          <w:color w:val="auto"/>
          <w:kern w:val="2"/>
          <w:sz w:val="32"/>
          <w:szCs w:val="32"/>
          <w:vertAlign w:val="baseline"/>
          <w:lang w:val="en-US" w:eastAsia="zh-CN" w:bidi="ar"/>
        </w:rPr>
        <w:t>0.22</w:t>
      </w:r>
      <w:r>
        <w:rPr>
          <w:rFonts w:hint="eastAsia" w:ascii="Times New Roman" w:hAnsi="Times New Roman" w:eastAsia="仿宋_GB2312" w:cs="Times New Roman"/>
          <w:caps w:val="0"/>
          <w:color w:val="auto"/>
          <w:kern w:val="2"/>
          <w:sz w:val="32"/>
          <w:szCs w:val="32"/>
          <w:vertAlign w:val="baseline"/>
          <w:lang w:val="en-US" w:eastAsia="zh-CN" w:bidi="ar"/>
        </w:rPr>
        <w:t>万元；接待药事服务一体化工作调研</w:t>
      </w:r>
      <w:r>
        <w:rPr>
          <w:rFonts w:hint="default" w:ascii="Times New Roman" w:hAnsi="Times New Roman" w:eastAsia="仿宋_GB2312" w:cs="Times New Roman"/>
          <w:caps w:val="0"/>
          <w:color w:val="auto"/>
          <w:kern w:val="2"/>
          <w:sz w:val="32"/>
          <w:szCs w:val="32"/>
          <w:vertAlign w:val="baseline"/>
          <w:lang w:val="en-US" w:eastAsia="zh-CN" w:bidi="ar"/>
        </w:rPr>
        <w:t>0.05</w:t>
      </w:r>
      <w:r>
        <w:rPr>
          <w:rFonts w:hint="eastAsia" w:ascii="Times New Roman" w:hAnsi="Times New Roman" w:eastAsia="仿宋_GB2312" w:cs="Times New Roman"/>
          <w:caps w:val="0"/>
          <w:color w:val="auto"/>
          <w:kern w:val="2"/>
          <w:sz w:val="32"/>
          <w:szCs w:val="32"/>
          <w:vertAlign w:val="baseline"/>
          <w:lang w:val="en-US" w:eastAsia="zh-CN" w:bidi="ar"/>
        </w:rPr>
        <w:t>万元；接待区域健康诊断指标体系构建工作调研</w:t>
      </w:r>
      <w:r>
        <w:rPr>
          <w:rFonts w:hint="default" w:ascii="Times New Roman" w:hAnsi="Times New Roman" w:eastAsia="仿宋_GB2312" w:cs="Times New Roman"/>
          <w:caps w:val="0"/>
          <w:color w:val="auto"/>
          <w:kern w:val="2"/>
          <w:sz w:val="32"/>
          <w:szCs w:val="32"/>
          <w:vertAlign w:val="baseline"/>
          <w:lang w:val="en-US" w:eastAsia="zh-CN" w:bidi="ar"/>
        </w:rPr>
        <w:t>0.15</w:t>
      </w:r>
      <w:r>
        <w:rPr>
          <w:rFonts w:hint="eastAsia" w:ascii="Times New Roman" w:hAnsi="Times New Roman" w:eastAsia="仿宋_GB2312" w:cs="Times New Roman"/>
          <w:caps w:val="0"/>
          <w:color w:val="auto"/>
          <w:kern w:val="2"/>
          <w:sz w:val="32"/>
          <w:szCs w:val="32"/>
          <w:vertAlign w:val="baseline"/>
          <w:lang w:val="en-US" w:eastAsia="zh-CN" w:bidi="ar"/>
        </w:rPr>
        <w:t>万元；接待整合型医疗服务体系建设调研</w:t>
      </w:r>
      <w:r>
        <w:rPr>
          <w:rFonts w:hint="default" w:ascii="Times New Roman" w:hAnsi="Times New Roman" w:eastAsia="仿宋_GB2312" w:cs="Times New Roman"/>
          <w:caps w:val="0"/>
          <w:color w:val="auto"/>
          <w:kern w:val="2"/>
          <w:sz w:val="32"/>
          <w:szCs w:val="32"/>
          <w:vertAlign w:val="baseline"/>
          <w:lang w:val="en-US" w:eastAsia="zh-CN" w:bidi="ar"/>
        </w:rPr>
        <w:t>0.11</w:t>
      </w:r>
      <w:r>
        <w:rPr>
          <w:rFonts w:hint="eastAsia" w:ascii="Times New Roman" w:hAnsi="Times New Roman" w:eastAsia="仿宋_GB2312" w:cs="Times New Roman"/>
          <w:caps w:val="0"/>
          <w:color w:val="auto"/>
          <w:kern w:val="2"/>
          <w:sz w:val="32"/>
          <w:szCs w:val="32"/>
          <w:vertAlign w:val="baseline"/>
          <w:lang w:val="en-US" w:eastAsia="zh-CN" w:bidi="ar"/>
        </w:rPr>
        <w:t>万元；接待全科医师转岗培训基地抽查</w:t>
      </w:r>
      <w:r>
        <w:rPr>
          <w:rFonts w:hint="default" w:ascii="Times New Roman" w:hAnsi="Times New Roman" w:eastAsia="仿宋_GB2312" w:cs="Times New Roman"/>
          <w:caps w:val="0"/>
          <w:color w:val="auto"/>
          <w:kern w:val="2"/>
          <w:sz w:val="32"/>
          <w:szCs w:val="32"/>
          <w:vertAlign w:val="baseline"/>
          <w:lang w:val="en-US" w:eastAsia="zh-CN" w:bidi="ar"/>
        </w:rPr>
        <w:t>0.04</w:t>
      </w:r>
      <w:r>
        <w:rPr>
          <w:rFonts w:hint="eastAsia" w:ascii="Times New Roman" w:hAnsi="Times New Roman" w:eastAsia="仿宋_GB2312" w:cs="Times New Roman"/>
          <w:caps w:val="0"/>
          <w:color w:val="auto"/>
          <w:kern w:val="2"/>
          <w:sz w:val="32"/>
          <w:szCs w:val="32"/>
          <w:vertAlign w:val="baseline"/>
          <w:lang w:val="en-US" w:eastAsia="zh-CN" w:bidi="ar"/>
        </w:rPr>
        <w:t>万元；接待攀西区域协同医疗帮扶工作调研</w:t>
      </w:r>
      <w:r>
        <w:rPr>
          <w:rFonts w:hint="default" w:ascii="Times New Roman" w:hAnsi="Times New Roman" w:eastAsia="仿宋_GB2312" w:cs="Times New Roman"/>
          <w:caps w:val="0"/>
          <w:color w:val="auto"/>
          <w:kern w:val="2"/>
          <w:sz w:val="32"/>
          <w:szCs w:val="32"/>
          <w:vertAlign w:val="baseline"/>
          <w:lang w:val="en-US" w:eastAsia="zh-CN" w:bidi="ar"/>
        </w:rPr>
        <w:t>0.31</w:t>
      </w:r>
      <w:r>
        <w:rPr>
          <w:rFonts w:hint="eastAsia" w:ascii="Times New Roman" w:hAnsi="Times New Roman" w:eastAsia="仿宋_GB2312" w:cs="Times New Roman"/>
          <w:caps w:val="0"/>
          <w:color w:val="auto"/>
          <w:kern w:val="2"/>
          <w:sz w:val="32"/>
          <w:szCs w:val="32"/>
          <w:vertAlign w:val="baseline"/>
          <w:lang w:val="en-US" w:eastAsia="zh-CN" w:bidi="ar"/>
        </w:rPr>
        <w:t>万元；接待健康影响评估调研</w:t>
      </w:r>
      <w:r>
        <w:rPr>
          <w:rFonts w:hint="default" w:ascii="Times New Roman" w:hAnsi="Times New Roman" w:eastAsia="仿宋_GB2312" w:cs="Times New Roman"/>
          <w:caps w:val="0"/>
          <w:color w:val="auto"/>
          <w:kern w:val="2"/>
          <w:sz w:val="32"/>
          <w:szCs w:val="32"/>
          <w:vertAlign w:val="baseline"/>
          <w:lang w:val="en-US" w:eastAsia="zh-CN" w:bidi="ar"/>
        </w:rPr>
        <w:t>0.18</w:t>
      </w:r>
      <w:r>
        <w:rPr>
          <w:rFonts w:hint="eastAsia" w:ascii="Times New Roman" w:hAnsi="Times New Roman" w:eastAsia="仿宋_GB2312" w:cs="Times New Roman"/>
          <w:caps w:val="0"/>
          <w:color w:val="auto"/>
          <w:kern w:val="2"/>
          <w:sz w:val="32"/>
          <w:szCs w:val="32"/>
          <w:vertAlign w:val="baseline"/>
          <w:lang w:val="en-US" w:eastAsia="zh-CN" w:bidi="ar"/>
        </w:rPr>
        <w:t>万元；接待安全生产综合督导</w:t>
      </w:r>
      <w:r>
        <w:rPr>
          <w:rFonts w:hint="default" w:ascii="Times New Roman" w:hAnsi="Times New Roman" w:eastAsia="仿宋_GB2312" w:cs="Times New Roman"/>
          <w:caps w:val="0"/>
          <w:color w:val="auto"/>
          <w:kern w:val="2"/>
          <w:sz w:val="32"/>
          <w:szCs w:val="32"/>
          <w:vertAlign w:val="baseline"/>
          <w:lang w:val="en-US" w:eastAsia="zh-CN" w:bidi="ar"/>
        </w:rPr>
        <w:t>0.08</w:t>
      </w:r>
      <w:r>
        <w:rPr>
          <w:rFonts w:hint="eastAsia" w:ascii="Times New Roman" w:hAnsi="Times New Roman" w:eastAsia="仿宋_GB2312" w:cs="Times New Roman"/>
          <w:caps w:val="0"/>
          <w:color w:val="auto"/>
          <w:kern w:val="2"/>
          <w:sz w:val="32"/>
          <w:szCs w:val="32"/>
          <w:vertAlign w:val="baseline"/>
          <w:lang w:val="en-US" w:eastAsia="zh-CN" w:bidi="ar"/>
        </w:rPr>
        <w:t>万元；接待防灾减灾工作督导</w:t>
      </w:r>
      <w:r>
        <w:rPr>
          <w:rFonts w:hint="default" w:ascii="Times New Roman" w:hAnsi="Times New Roman" w:eastAsia="仿宋_GB2312" w:cs="Times New Roman"/>
          <w:caps w:val="0"/>
          <w:color w:val="auto"/>
          <w:kern w:val="2"/>
          <w:sz w:val="32"/>
          <w:szCs w:val="32"/>
          <w:vertAlign w:val="baseline"/>
          <w:lang w:val="en-US" w:eastAsia="zh-CN" w:bidi="ar"/>
        </w:rPr>
        <w:t>0.08</w:t>
      </w:r>
      <w:r>
        <w:rPr>
          <w:rFonts w:hint="eastAsia" w:ascii="Times New Roman" w:hAnsi="Times New Roman" w:eastAsia="仿宋_GB2312" w:cs="Times New Roman"/>
          <w:caps w:val="0"/>
          <w:color w:val="auto"/>
          <w:kern w:val="2"/>
          <w:sz w:val="32"/>
          <w:szCs w:val="32"/>
          <w:vertAlign w:val="baseline"/>
          <w:lang w:val="en-US" w:eastAsia="zh-CN" w:bidi="ar"/>
        </w:rPr>
        <w:t>万元；接待健康影响评估立法调研</w:t>
      </w:r>
      <w:r>
        <w:rPr>
          <w:rFonts w:hint="default" w:ascii="Times New Roman" w:hAnsi="Times New Roman" w:eastAsia="仿宋_GB2312" w:cs="Times New Roman"/>
          <w:caps w:val="0"/>
          <w:color w:val="auto"/>
          <w:kern w:val="2"/>
          <w:sz w:val="32"/>
          <w:szCs w:val="32"/>
          <w:vertAlign w:val="baseline"/>
          <w:lang w:val="en-US" w:eastAsia="zh-CN" w:bidi="ar"/>
        </w:rPr>
        <w:t>0.13</w:t>
      </w:r>
      <w:r>
        <w:rPr>
          <w:rFonts w:hint="eastAsia" w:ascii="Times New Roman" w:hAnsi="Times New Roman" w:eastAsia="仿宋_GB2312" w:cs="Times New Roman"/>
          <w:caps w:val="0"/>
          <w:color w:val="auto"/>
          <w:kern w:val="2"/>
          <w:sz w:val="32"/>
          <w:szCs w:val="32"/>
          <w:vertAlign w:val="baseline"/>
          <w:lang w:val="en-US" w:eastAsia="zh-CN" w:bidi="ar"/>
        </w:rPr>
        <w:t>万元；</w:t>
      </w:r>
      <w:r>
        <w:rPr>
          <w:rFonts w:hint="default" w:ascii="Times New Roman" w:hAnsi="Times New Roman" w:eastAsia="仿宋_GB2312" w:cs="Times New Roman"/>
          <w:caps w:val="0"/>
          <w:color w:val="auto"/>
          <w:kern w:val="2"/>
          <w:sz w:val="32"/>
          <w:szCs w:val="32"/>
          <w:vertAlign w:val="baseline"/>
          <w:lang w:val="en-US" w:eastAsia="zh-CN" w:bidi="ar"/>
        </w:rPr>
        <w:t>接待其他调研工作</w:t>
      </w:r>
      <w:r>
        <w:rPr>
          <w:rFonts w:hint="eastAsia" w:ascii="Times New Roman" w:hAnsi="Times New Roman" w:eastAsia="仿宋_GB2312" w:cs="Times New Roman"/>
          <w:caps w:val="0"/>
          <w:color w:val="auto"/>
          <w:kern w:val="2"/>
          <w:sz w:val="32"/>
          <w:szCs w:val="32"/>
          <w:vertAlign w:val="baseline"/>
          <w:lang w:val="en-US" w:eastAsia="zh-CN" w:bidi="ar"/>
        </w:rPr>
        <w:t>1.44万元。</w:t>
      </w:r>
    </w:p>
    <w:p w14:paraId="1876EF3F">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外事接待支出0万元。外事接待0批次，0人次（不包括陪同人员），共计支出0万元。</w:t>
      </w:r>
      <w:bookmarkStart w:id="66" w:name="_Toc15377218"/>
      <w:bookmarkStart w:id="67" w:name="_Toc15396610"/>
    </w:p>
    <w:p w14:paraId="1F75DB26">
      <w:pPr>
        <w:spacing w:line="600" w:lineRule="exact"/>
        <w:ind w:firstLine="640"/>
        <w:outlineLvl w:val="1"/>
        <w:rPr>
          <w:rStyle w:val="31"/>
          <w:rFonts w:ascii="Times New Roman" w:hAnsi="Times New Roman" w:eastAsia="黑体"/>
          <w:color w:val="auto"/>
          <w:highlight w:val="none"/>
        </w:rPr>
      </w:pPr>
      <w:bookmarkStart w:id="68" w:name="_Toc706391319"/>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66"/>
      <w:bookmarkEnd w:id="67"/>
      <w:bookmarkEnd w:id="68"/>
    </w:p>
    <w:p w14:paraId="0C21728D">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2025年度政府性基金预算财政拨款支出2025万元，占本年支出合计的0.94%。与上年度相比，政府性基金预算财政拨款支出减少27280万元，下降93.1%。主要变动原因是项目支出减少。</w:t>
      </w:r>
    </w:p>
    <w:p w14:paraId="5F57089C">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69" w:name="_Toc15377219"/>
      <w:bookmarkStart w:id="70" w:name="_Toc2091900616"/>
      <w:bookmarkStart w:id="71" w:name="_Toc15396611"/>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69"/>
      <w:bookmarkEnd w:id="70"/>
      <w:bookmarkEnd w:id="71"/>
    </w:p>
    <w:p w14:paraId="6F4B49B9">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2025年度国有资本经营预算财政拨款支出0万元，占本年支出合计的0%。</w:t>
      </w:r>
      <w:r>
        <w:rPr>
          <w:rFonts w:hint="default" w:ascii="Times New Roman" w:hAnsi="Times New Roman" w:eastAsia="仿宋_GB2312" w:cs="Times New Roman"/>
          <w:caps w:val="0"/>
          <w:color w:val="auto"/>
          <w:kern w:val="2"/>
          <w:sz w:val="32"/>
          <w:szCs w:val="32"/>
          <w:vertAlign w:val="baseline"/>
          <w:lang w:val="en-US" w:eastAsia="zh-CN" w:bidi="ar"/>
        </w:rPr>
        <w:t>与202</w:t>
      </w:r>
      <w:r>
        <w:rPr>
          <w:rFonts w:hint="eastAsia" w:ascii="Times New Roman" w:hAnsi="Times New Roman" w:eastAsia="仿宋_GB2312" w:cs="Times New Roman"/>
          <w:caps w:val="0"/>
          <w:color w:val="auto"/>
          <w:kern w:val="2"/>
          <w:sz w:val="32"/>
          <w:szCs w:val="32"/>
          <w:vertAlign w:val="baseline"/>
          <w:lang w:val="en-US" w:eastAsia="zh-CN" w:bidi="ar"/>
        </w:rPr>
        <w:t>4年度持平。</w:t>
      </w:r>
    </w:p>
    <w:p w14:paraId="7527C658">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72" w:name="_Toc15377221"/>
      <w:bookmarkStart w:id="73" w:name="_Toc576940877"/>
      <w:bookmarkStart w:id="74" w:name="_Toc15396612"/>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72"/>
      <w:bookmarkEnd w:id="73"/>
      <w:bookmarkEnd w:id="74"/>
    </w:p>
    <w:p w14:paraId="2DA2B22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5" w:name="_Toc15377222"/>
      <w:r>
        <w:rPr>
          <w:rFonts w:hint="eastAsia" w:ascii="Times New Roman" w:hAnsi="Times New Roman" w:eastAsia="楷体_GB2312" w:cs="楷体_GB2312"/>
          <w:b/>
          <w:color w:val="auto"/>
          <w:sz w:val="32"/>
          <w:szCs w:val="32"/>
          <w:highlight w:val="none"/>
        </w:rPr>
        <w:t>（一）机关运行经费支出情况</w:t>
      </w:r>
      <w:bookmarkEnd w:id="75"/>
    </w:p>
    <w:p w14:paraId="1CC36495">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2025年度，攀枝花市卫生健康委员会机关运行经费支出168.45万元，比上年度减少40.7万元，下降19.5%。主要原因是工作需要。</w:t>
      </w:r>
    </w:p>
    <w:p w14:paraId="64808A7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6" w:name="_Toc15377223"/>
      <w:r>
        <w:rPr>
          <w:rFonts w:hint="eastAsia" w:ascii="Times New Roman" w:hAnsi="Times New Roman" w:eastAsia="楷体_GB2312" w:cs="楷体_GB2312"/>
          <w:b/>
          <w:color w:val="auto"/>
          <w:sz w:val="32"/>
          <w:szCs w:val="32"/>
          <w:highlight w:val="none"/>
        </w:rPr>
        <w:t>（二）政府采购支出情况</w:t>
      </w:r>
      <w:bookmarkEnd w:id="76"/>
    </w:p>
    <w:p w14:paraId="3C015DEA">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2025年度，攀枝花市卫生健康委员会政府采购支出总额12456.15万元，其中：政府采购货物支出8116.34万元、政府采购工程支出244.39万元、政府采购服务支出4095.42万元。主要用于</w:t>
      </w:r>
      <w:r>
        <w:rPr>
          <w:rFonts w:hint="default" w:ascii="Times New Roman" w:hAnsi="Times New Roman" w:eastAsia="仿宋_GB2312" w:cs="Times New Roman"/>
          <w:caps w:val="0"/>
          <w:color w:val="auto"/>
          <w:kern w:val="2"/>
          <w:sz w:val="32"/>
          <w:szCs w:val="32"/>
          <w:vertAlign w:val="baseline"/>
          <w:lang w:val="en-US" w:eastAsia="zh-CN" w:bidi="ar"/>
        </w:rPr>
        <w:t>办公设备、医疗设备购置，保洁物业等后勤服务购买等</w:t>
      </w:r>
      <w:r>
        <w:rPr>
          <w:rFonts w:hint="eastAsia" w:ascii="Times New Roman" w:hAnsi="Times New Roman" w:eastAsia="仿宋_GB2312" w:cs="Times New Roman"/>
          <w:caps w:val="0"/>
          <w:color w:val="auto"/>
          <w:kern w:val="2"/>
          <w:sz w:val="32"/>
          <w:szCs w:val="32"/>
          <w:vertAlign w:val="baseline"/>
          <w:lang w:val="en-US" w:eastAsia="zh-CN" w:bidi="ar"/>
        </w:rPr>
        <w:t>。授予中小企业合同金额7483.88万元，占政府采购支出总额的60.08%，其中：授予小微企业合同金额6448.33万元，占政府采购支出总额的51.76%。</w:t>
      </w:r>
    </w:p>
    <w:p w14:paraId="6222437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7" w:name="_Toc15377224"/>
      <w:r>
        <w:rPr>
          <w:rFonts w:hint="eastAsia" w:ascii="Times New Roman" w:hAnsi="Times New Roman" w:eastAsia="楷体_GB2312" w:cs="楷体_GB2312"/>
          <w:b/>
          <w:color w:val="auto"/>
          <w:sz w:val="32"/>
          <w:szCs w:val="32"/>
          <w:highlight w:val="none"/>
        </w:rPr>
        <w:t>（三）国有资产占有使用情况</w:t>
      </w:r>
      <w:bookmarkEnd w:id="77"/>
    </w:p>
    <w:p w14:paraId="3C319B0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截至2025年12月31日，攀枝花市卫生健康委员会共有车辆66辆，其中：副部（省）级及以上领导用车0辆、主要负责人用车0辆、机要通信用车0辆、应急保障用车0辆、执法执勤用车0辆、特种专业技术用车29辆、离退休干部服务用车0辆、其他用车37辆，其他用车主要是用于</w:t>
      </w:r>
      <w:r>
        <w:rPr>
          <w:rFonts w:hint="default" w:ascii="Times New Roman" w:hAnsi="Times New Roman" w:eastAsia="仿宋_GB2312" w:cs="Times New Roman"/>
          <w:caps w:val="0"/>
          <w:color w:val="auto"/>
          <w:kern w:val="2"/>
          <w:sz w:val="32"/>
          <w:szCs w:val="32"/>
          <w:vertAlign w:val="baseline"/>
          <w:lang w:val="en-US" w:eastAsia="zh-CN" w:bidi="ar"/>
        </w:rPr>
        <w:t>执行公务、开展业务活动所需</w:t>
      </w:r>
      <w:r>
        <w:rPr>
          <w:rFonts w:hint="eastAsia" w:ascii="Times New Roman" w:hAnsi="Times New Roman" w:eastAsia="仿宋_GB2312" w:cs="Times New Roman"/>
          <w:caps w:val="0"/>
          <w:color w:val="auto"/>
          <w:kern w:val="2"/>
          <w:sz w:val="32"/>
          <w:szCs w:val="32"/>
          <w:vertAlign w:val="baseline"/>
          <w:lang w:val="en-US" w:eastAsia="zh-CN" w:bidi="ar"/>
        </w:rPr>
        <w:t>。单价100万元（含）以上设备（不含车辆）203台（套）。</w:t>
      </w:r>
    </w:p>
    <w:p w14:paraId="58B0F8B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578F9FC7">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根据预算绩效管理要求，</w:t>
      </w:r>
      <w:r>
        <w:rPr>
          <w:rFonts w:hint="default" w:ascii="Times New Roman" w:hAnsi="Times New Roman" w:eastAsia="仿宋_GB2312" w:cs="Times New Roman"/>
          <w:caps w:val="0"/>
          <w:color w:val="auto"/>
          <w:kern w:val="2"/>
          <w:sz w:val="32"/>
          <w:szCs w:val="32"/>
          <w:vertAlign w:val="baseline"/>
          <w:lang w:val="en-US" w:eastAsia="zh-CN" w:bidi="ar"/>
        </w:rPr>
        <w:t>攀枝花市卫生健康委员会</w:t>
      </w:r>
      <w:r>
        <w:rPr>
          <w:rFonts w:hint="eastAsia" w:ascii="Times New Roman" w:hAnsi="Times New Roman" w:eastAsia="仿宋_GB2312" w:cs="Times New Roman"/>
          <w:caps w:val="0"/>
          <w:color w:val="auto"/>
          <w:kern w:val="2"/>
          <w:sz w:val="32"/>
          <w:szCs w:val="32"/>
          <w:vertAlign w:val="baseline"/>
          <w:lang w:val="en-US" w:eastAsia="zh-CN" w:bidi="ar"/>
        </w:rPr>
        <w:t>在2025年度，组织对公立医院改革等16个项目涉及金额940.9万元开展了事前绩效评估，对16个项目编制了绩效目标，预算执行过程中，选取16个项目开展绩效监控。</w:t>
      </w:r>
    </w:p>
    <w:p w14:paraId="6968D14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default" w:ascii="Times New Roman" w:hAnsi="Times New Roman" w:eastAsia="仿宋_GB2312" w:cs="Times New Roman"/>
          <w:caps w:val="0"/>
          <w:color w:val="auto"/>
          <w:kern w:val="2"/>
          <w:sz w:val="32"/>
          <w:szCs w:val="32"/>
          <w:vertAlign w:val="baseline"/>
          <w:lang w:val="en-US" w:eastAsia="zh-CN" w:bidi="ar"/>
        </w:rPr>
        <w:t>组织对202</w:t>
      </w:r>
      <w:r>
        <w:rPr>
          <w:rFonts w:hint="eastAsia" w:ascii="Times New Roman" w:hAnsi="Times New Roman" w:eastAsia="仿宋_GB2312" w:cs="Times New Roman"/>
          <w:caps w:val="0"/>
          <w:color w:val="auto"/>
          <w:kern w:val="2"/>
          <w:sz w:val="32"/>
          <w:szCs w:val="32"/>
          <w:vertAlign w:val="baseline"/>
          <w:lang w:val="en-US" w:eastAsia="zh-CN" w:bidi="ar"/>
        </w:rPr>
        <w:t>5年度一般公共预算、政府性基金预算、国有资本经营预算、社会保险基金预算以及资本资产、债券资金等全面开展绩效自评，形成攀枝花市卫生健康委员会部门整体（含部门预算项目）绩效自评报告、基本公共卫生服务等专项预算项目绩效自评报告，其中，攀枝花市卫生健康委员会部门整体（含部门预算项目）绩效自评得分为</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分，绩效自评综述基本完成绩效目标；基本公共卫生服务等专项预算项目绩效自评得分为</w:t>
      </w:r>
      <w:r>
        <w:rPr>
          <w:rFonts w:hint="default" w:ascii="Times New Roman" w:hAnsi="Times New Roman" w:eastAsia="仿宋_GB2312" w:cs="Times New Roman"/>
          <w:caps w:val="0"/>
          <w:color w:val="auto"/>
          <w:kern w:val="2"/>
          <w:sz w:val="32"/>
          <w:szCs w:val="32"/>
          <w:vertAlign w:val="baseline"/>
          <w:lang w:val="en-US" w:eastAsia="zh-CN" w:bidi="ar"/>
        </w:rPr>
        <w:t>100</w:t>
      </w:r>
      <w:r>
        <w:rPr>
          <w:rFonts w:hint="eastAsia" w:ascii="Times New Roman" w:hAnsi="Times New Roman" w:eastAsia="仿宋_GB2312" w:cs="Times New Roman"/>
          <w:caps w:val="0"/>
          <w:color w:val="auto"/>
          <w:kern w:val="2"/>
          <w:sz w:val="32"/>
          <w:szCs w:val="32"/>
          <w:vertAlign w:val="baseline"/>
          <w:lang w:val="en-US" w:eastAsia="zh-CN" w:bidi="ar"/>
        </w:rPr>
        <w:t>分，绩效自评综述基本完成绩效目标。绩效自评报告详见附件。</w:t>
      </w:r>
    </w:p>
    <w:p w14:paraId="7188CE87">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55214CE0">
      <w:pPr>
        <w:pStyle w:val="2"/>
        <w:rPr>
          <w:rFonts w:hint="eastAsia" w:ascii="Times New Roman" w:hAnsi="Times New Roman" w:eastAsia="仿宋_GB2312" w:cs="仿宋_GB2312"/>
          <w:color w:val="auto"/>
          <w:kern w:val="2"/>
          <w:sz w:val="32"/>
          <w:szCs w:val="32"/>
          <w:highlight w:val="none"/>
          <w:lang w:val="en-US" w:eastAsia="zh-CN" w:bidi="ar-SA"/>
        </w:rPr>
      </w:pPr>
    </w:p>
    <w:p w14:paraId="1D832100">
      <w:pPr>
        <w:pStyle w:val="3"/>
        <w:rPr>
          <w:rFonts w:hint="eastAsia" w:ascii="Times New Roman" w:hAnsi="Times New Roman" w:eastAsia="仿宋_GB2312" w:cs="仿宋_GB2312"/>
          <w:color w:val="auto"/>
          <w:kern w:val="2"/>
          <w:sz w:val="32"/>
          <w:szCs w:val="32"/>
          <w:highlight w:val="none"/>
          <w:lang w:val="en-US" w:eastAsia="zh-CN" w:bidi="ar-SA"/>
        </w:rPr>
      </w:pPr>
    </w:p>
    <w:p w14:paraId="20C859F6">
      <w:pPr>
        <w:rPr>
          <w:rFonts w:hint="eastAsia" w:ascii="Times New Roman" w:hAnsi="Times New Roman" w:eastAsia="仿宋_GB2312" w:cs="仿宋_GB2312"/>
          <w:color w:val="auto"/>
          <w:kern w:val="2"/>
          <w:sz w:val="32"/>
          <w:szCs w:val="32"/>
          <w:highlight w:val="none"/>
          <w:lang w:val="en-US" w:eastAsia="zh-CN" w:bidi="ar-SA"/>
        </w:rPr>
      </w:pPr>
    </w:p>
    <w:p w14:paraId="10A8B419">
      <w:pPr>
        <w:pStyle w:val="2"/>
        <w:rPr>
          <w:rFonts w:hint="eastAsia" w:ascii="Times New Roman" w:hAnsi="Times New Roman" w:eastAsia="仿宋_GB2312" w:cs="仿宋_GB2312"/>
          <w:color w:val="auto"/>
          <w:kern w:val="2"/>
          <w:sz w:val="32"/>
          <w:szCs w:val="32"/>
          <w:highlight w:val="none"/>
          <w:lang w:val="en-US" w:eastAsia="zh-CN" w:bidi="ar-SA"/>
        </w:rPr>
      </w:pPr>
    </w:p>
    <w:p w14:paraId="03A02072">
      <w:pPr>
        <w:pStyle w:val="3"/>
        <w:rPr>
          <w:rFonts w:hint="eastAsia" w:ascii="Times New Roman" w:hAnsi="Times New Roman" w:eastAsia="仿宋_GB2312" w:cs="仿宋_GB2312"/>
          <w:color w:val="auto"/>
          <w:kern w:val="2"/>
          <w:sz w:val="32"/>
          <w:szCs w:val="32"/>
          <w:highlight w:val="none"/>
          <w:lang w:val="en-US" w:eastAsia="zh-CN" w:bidi="ar-SA"/>
        </w:rPr>
      </w:pPr>
    </w:p>
    <w:p w14:paraId="46D9BA24">
      <w:pPr>
        <w:pStyle w:val="3"/>
        <w:ind w:left="0" w:leftChars="0" w:firstLine="0" w:firstLineChars="0"/>
        <w:rPr>
          <w:rFonts w:hint="eastAsia"/>
          <w:lang w:val="en-US" w:eastAsia="zh-CN"/>
        </w:rPr>
      </w:pPr>
    </w:p>
    <w:p w14:paraId="01B4A987">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78" w:name="_Toc2005797729"/>
      <w:bookmarkStart w:id="79" w:name="_Toc15396613"/>
      <w:bookmarkStart w:id="80"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78"/>
      <w:bookmarkEnd w:id="79"/>
      <w:bookmarkEnd w:id="80"/>
    </w:p>
    <w:p w14:paraId="1C45C907">
      <w:pPr>
        <w:spacing w:line="600" w:lineRule="exact"/>
        <w:jc w:val="left"/>
        <w:rPr>
          <w:rFonts w:ascii="Times New Roman" w:hAnsi="Times New Roman"/>
          <w:b/>
          <w:color w:val="auto"/>
          <w:sz w:val="44"/>
          <w:szCs w:val="44"/>
          <w:highlight w:val="none"/>
        </w:rPr>
      </w:pPr>
    </w:p>
    <w:p w14:paraId="6866B204">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1.财政拨款收入：指单位从同级财政部门取得的财政预算资金。</w:t>
      </w:r>
    </w:p>
    <w:p w14:paraId="5E0E02A3">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2.事业收入：指事业单位开展专业业务活动及辅助活动取得的收入。</w:t>
      </w:r>
      <w:r>
        <w:rPr>
          <w:rFonts w:hint="default" w:ascii="Times New Roman" w:hAnsi="Times New Roman" w:eastAsia="仿宋_GB2312" w:cs="Times New Roman"/>
          <w:caps w:val="0"/>
          <w:color w:val="auto"/>
          <w:kern w:val="2"/>
          <w:sz w:val="32"/>
          <w:szCs w:val="32"/>
          <w:vertAlign w:val="baseline"/>
          <w:lang w:val="en-US" w:eastAsia="zh-CN" w:bidi="ar"/>
        </w:rPr>
        <w:t>如医疗收入等</w:t>
      </w:r>
      <w:r>
        <w:rPr>
          <w:rFonts w:hint="eastAsia" w:ascii="Times New Roman" w:hAnsi="Times New Roman" w:eastAsia="仿宋_GB2312" w:cs="Times New Roman"/>
          <w:caps w:val="0"/>
          <w:color w:val="auto"/>
          <w:kern w:val="2"/>
          <w:sz w:val="32"/>
          <w:szCs w:val="32"/>
          <w:vertAlign w:val="baseline"/>
          <w:lang w:val="en-US" w:eastAsia="zh-CN" w:bidi="ar"/>
        </w:rPr>
        <w:t>。</w:t>
      </w:r>
    </w:p>
    <w:p w14:paraId="6286217F">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3.经营收入：指事业单位在专业业务活动及其辅助活动之外开展非独立核算经营活动取得的收入。</w:t>
      </w:r>
    </w:p>
    <w:p w14:paraId="1EE9CF1B">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4.其他收入：指单位取得的除上述收入以外的各项收入。主要是</w:t>
      </w:r>
      <w:r>
        <w:rPr>
          <w:rFonts w:hint="default" w:ascii="Times New Roman" w:hAnsi="Times New Roman" w:eastAsia="仿宋_GB2312" w:cs="Times New Roman"/>
          <w:caps w:val="0"/>
          <w:color w:val="auto"/>
          <w:kern w:val="2"/>
          <w:sz w:val="32"/>
          <w:szCs w:val="32"/>
          <w:vertAlign w:val="baseline"/>
          <w:lang w:val="en-US" w:eastAsia="zh-CN" w:bidi="ar"/>
        </w:rPr>
        <w:t>利息收入</w:t>
      </w:r>
      <w:r>
        <w:rPr>
          <w:rFonts w:hint="eastAsia" w:ascii="Times New Roman" w:hAnsi="Times New Roman" w:eastAsia="仿宋_GB2312" w:cs="Times New Roman"/>
          <w:caps w:val="0"/>
          <w:color w:val="auto"/>
          <w:kern w:val="2"/>
          <w:sz w:val="32"/>
          <w:szCs w:val="32"/>
          <w:vertAlign w:val="baseline"/>
          <w:lang w:val="en-US" w:eastAsia="zh-CN" w:bidi="ar"/>
        </w:rPr>
        <w:t xml:space="preserve">等。 </w:t>
      </w:r>
    </w:p>
    <w:p w14:paraId="737DB755">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 xml:space="preserve">5.使用非财政拨款结余（含专用结余）：指事业单位使用以前年度积累的非财政拨款结余弥补当年收支差额的金额。 </w:t>
      </w:r>
    </w:p>
    <w:p w14:paraId="6088AFA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 xml:space="preserve">6.年初结转和结余：指以前年度尚未完成、结转到本年按有关规定继续使用的资金。 </w:t>
      </w:r>
    </w:p>
    <w:p w14:paraId="1608F969">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7.结余分配：指事业单位按照会计制度规定缴纳的所得税、提取的专用结余以及转入非财政拨款结余的金额等。</w:t>
      </w:r>
    </w:p>
    <w:p w14:paraId="698F4D33">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8.年末结转和结余：指单位按有关规定结转到下年或以后年度继续使用的资金。</w:t>
      </w:r>
    </w:p>
    <w:p w14:paraId="23B62D8E">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9</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一般公共服务（类）纪检监察事务（款）派驻派出机构（项）：</w:t>
      </w:r>
      <w:r>
        <w:rPr>
          <w:rFonts w:hint="default" w:ascii="Times New Roman" w:hAnsi="Times New Roman" w:eastAsia="仿宋_GB2312" w:cs="Times New Roman"/>
          <w:caps w:val="0"/>
          <w:color w:val="auto"/>
          <w:kern w:val="2"/>
          <w:sz w:val="32"/>
          <w:szCs w:val="32"/>
          <w:vertAlign w:val="baseline"/>
          <w:lang w:val="en-US" w:eastAsia="zh-CN" w:bidi="ar"/>
        </w:rPr>
        <w:t>反映由纪检监察部门负担的派驻各部门和单位的纪检监察人员的专项业务支出。</w:t>
      </w:r>
    </w:p>
    <w:p w14:paraId="36B4DB18">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10</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一般公共服务（类）组织事务（款）其他组织事务支出（项）：</w:t>
      </w:r>
      <w:r>
        <w:rPr>
          <w:rFonts w:hint="default" w:ascii="Times New Roman" w:hAnsi="Times New Roman" w:eastAsia="仿宋_GB2312" w:cs="Times New Roman"/>
          <w:caps w:val="0"/>
          <w:color w:val="auto"/>
          <w:kern w:val="2"/>
          <w:sz w:val="32"/>
          <w:szCs w:val="32"/>
          <w:vertAlign w:val="baseline"/>
          <w:lang w:val="en-US" w:eastAsia="zh-CN" w:bidi="ar"/>
        </w:rPr>
        <w:t xml:space="preserve"> 反映除上述项目以外其他用于中国共产党组织部门的事务支出。</w:t>
      </w:r>
    </w:p>
    <w:p w14:paraId="7DCE53C7">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11</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科学技术（类）基础研究（款）自然科学基金（项）：</w:t>
      </w:r>
      <w:r>
        <w:rPr>
          <w:rFonts w:hint="default" w:ascii="Times New Roman" w:hAnsi="Times New Roman" w:eastAsia="仿宋_GB2312" w:cs="Times New Roman"/>
          <w:caps w:val="0"/>
          <w:color w:val="auto"/>
          <w:kern w:val="2"/>
          <w:sz w:val="32"/>
          <w:szCs w:val="32"/>
          <w:vertAlign w:val="baseline"/>
          <w:lang w:val="en-US" w:eastAsia="zh-CN" w:bidi="ar"/>
        </w:rPr>
        <w:t xml:space="preserve"> </w:t>
      </w:r>
      <w:r>
        <w:rPr>
          <w:rFonts w:hint="eastAsia" w:ascii="Times New Roman" w:hAnsi="Times New Roman" w:eastAsia="仿宋_GB2312" w:cs="Times New Roman"/>
          <w:caps w:val="0"/>
          <w:color w:val="auto"/>
          <w:kern w:val="2"/>
          <w:sz w:val="32"/>
          <w:szCs w:val="32"/>
          <w:vertAlign w:val="baseline"/>
          <w:lang w:val="en-US" w:eastAsia="zh-CN" w:bidi="ar"/>
        </w:rPr>
        <w:t>反映各级政府设立的自然科学基金支出。</w:t>
      </w:r>
    </w:p>
    <w:p w14:paraId="3D4C6575">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12</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科学技术（类）其他科学技术支出（款）其他科学技术支出（项）：</w:t>
      </w:r>
      <w:r>
        <w:rPr>
          <w:rFonts w:hint="default" w:ascii="Times New Roman" w:hAnsi="Times New Roman" w:eastAsia="仿宋_GB2312" w:cs="Times New Roman"/>
          <w:caps w:val="0"/>
          <w:color w:val="auto"/>
          <w:kern w:val="2"/>
          <w:sz w:val="32"/>
          <w:szCs w:val="32"/>
          <w:vertAlign w:val="baseline"/>
          <w:lang w:val="en-US" w:eastAsia="zh-CN" w:bidi="ar"/>
        </w:rPr>
        <w:t xml:space="preserve"> </w:t>
      </w:r>
      <w:r>
        <w:rPr>
          <w:rFonts w:hint="eastAsia" w:ascii="Times New Roman" w:hAnsi="Times New Roman" w:eastAsia="仿宋_GB2312" w:cs="Times New Roman"/>
          <w:caps w:val="0"/>
          <w:color w:val="auto"/>
          <w:kern w:val="2"/>
          <w:sz w:val="32"/>
          <w:szCs w:val="32"/>
          <w:vertAlign w:val="baseline"/>
          <w:lang w:val="en-US" w:eastAsia="zh-CN" w:bidi="ar"/>
        </w:rPr>
        <w:t>反映其他科学技术支出中除以上各项外用于科技方面的支出。</w:t>
      </w:r>
    </w:p>
    <w:p w14:paraId="19AF139D">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13</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社会保障和就业（类）人力资源和社会保障管理事务（款）其他人力资源和社会保障管理事务支出（项）：</w:t>
      </w:r>
      <w:r>
        <w:rPr>
          <w:rFonts w:hint="default" w:ascii="Times New Roman" w:hAnsi="Times New Roman" w:eastAsia="仿宋_GB2312" w:cs="Times New Roman"/>
          <w:caps w:val="0"/>
          <w:color w:val="auto"/>
          <w:kern w:val="2"/>
          <w:sz w:val="32"/>
          <w:szCs w:val="32"/>
          <w:vertAlign w:val="baseline"/>
          <w:lang w:val="en-US" w:eastAsia="zh-CN" w:bidi="ar"/>
        </w:rPr>
        <w:t>反映除上述项目以外其他用于人力资源和社会保障管理事务方面的支出。</w:t>
      </w:r>
    </w:p>
    <w:p w14:paraId="3B46F11B">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14</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社会保障和就业（类）行政事业单位养老支出（款）行政单位离退休（项）：</w:t>
      </w:r>
      <w:r>
        <w:rPr>
          <w:rFonts w:hint="default" w:ascii="Times New Roman" w:hAnsi="Times New Roman" w:eastAsia="仿宋_GB2312" w:cs="Times New Roman"/>
          <w:caps w:val="0"/>
          <w:color w:val="auto"/>
          <w:kern w:val="2"/>
          <w:sz w:val="32"/>
          <w:szCs w:val="32"/>
          <w:vertAlign w:val="baseline"/>
          <w:lang w:val="en-US" w:eastAsia="zh-CN" w:bidi="ar"/>
        </w:rPr>
        <w:t>反映行政单位（包括实行公务员管理的事业单位）开支的离退休经费。</w:t>
      </w:r>
    </w:p>
    <w:p w14:paraId="5D7163A0">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15</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社会保障和就业（类）行政事业单位养老支出（款）事业单位离退休（项）：</w:t>
      </w:r>
      <w:r>
        <w:rPr>
          <w:rFonts w:hint="default" w:ascii="Times New Roman" w:hAnsi="Times New Roman" w:eastAsia="仿宋_GB2312" w:cs="Times New Roman"/>
          <w:caps w:val="0"/>
          <w:color w:val="auto"/>
          <w:kern w:val="2"/>
          <w:sz w:val="32"/>
          <w:szCs w:val="32"/>
          <w:vertAlign w:val="baseline"/>
          <w:lang w:val="en-US" w:eastAsia="zh-CN" w:bidi="ar"/>
        </w:rPr>
        <w:t>反映事业单位开支的离退休经费。</w:t>
      </w:r>
    </w:p>
    <w:p w14:paraId="75B5E371">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16</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社会保障和就业（类）行政事业单位养老支出（款）机关事业单位基本养老保险缴费支出（项）：</w:t>
      </w:r>
      <w:r>
        <w:rPr>
          <w:rFonts w:hint="default" w:ascii="Times New Roman" w:hAnsi="Times New Roman" w:eastAsia="仿宋_GB2312" w:cs="Times New Roman"/>
          <w:caps w:val="0"/>
          <w:color w:val="auto"/>
          <w:kern w:val="2"/>
          <w:sz w:val="32"/>
          <w:szCs w:val="32"/>
          <w:vertAlign w:val="baseline"/>
          <w:lang w:val="en-US" w:eastAsia="zh-CN" w:bidi="ar"/>
        </w:rPr>
        <w:t>反映机关事业单位实施养老保险制度由单位缴纳的基本养老保险费支出。</w:t>
      </w:r>
    </w:p>
    <w:p w14:paraId="7B016098">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17</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社会保障和就业（类）行政事业单位养老支出（款）机关事业单位职业年金缴费支出（项）：</w:t>
      </w:r>
      <w:r>
        <w:rPr>
          <w:rFonts w:hint="default" w:ascii="Times New Roman" w:hAnsi="Times New Roman" w:eastAsia="仿宋_GB2312" w:cs="Times New Roman"/>
          <w:caps w:val="0"/>
          <w:color w:val="auto"/>
          <w:kern w:val="2"/>
          <w:sz w:val="32"/>
          <w:szCs w:val="32"/>
          <w:vertAlign w:val="baseline"/>
          <w:lang w:val="en-US" w:eastAsia="zh-CN" w:bidi="ar"/>
        </w:rPr>
        <w:t>反映机关事业单位实施养老保险制度由单位实际缴纳的职业年金支出（含职业年金补记支出）。</w:t>
      </w:r>
    </w:p>
    <w:p w14:paraId="4FB08C9E">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18</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社会保障和就业（类）抚恤（款）死亡抚恤（项）：</w:t>
      </w:r>
      <w:r>
        <w:rPr>
          <w:rFonts w:hint="default" w:ascii="Times New Roman" w:hAnsi="Times New Roman" w:eastAsia="仿宋_GB2312" w:cs="Times New Roman"/>
          <w:caps w:val="0"/>
          <w:color w:val="auto"/>
          <w:kern w:val="2"/>
          <w:sz w:val="32"/>
          <w:szCs w:val="32"/>
          <w:vertAlign w:val="baseline"/>
          <w:lang w:val="en-US" w:eastAsia="zh-CN" w:bidi="ar"/>
        </w:rPr>
        <w:t xml:space="preserve">反映按规定用于烈士和牺牲 </w:t>
      </w:r>
      <w:r>
        <w:rPr>
          <w:rFonts w:hint="eastAsia" w:ascii="Times New Roman" w:hAnsi="Times New Roman" w:eastAsia="仿宋_GB2312" w:cs="Times New Roman"/>
          <w:caps w:val="0"/>
          <w:color w:val="auto"/>
          <w:kern w:val="2"/>
          <w:sz w:val="32"/>
          <w:szCs w:val="32"/>
          <w:vertAlign w:val="baseline"/>
          <w:lang w:val="en-US" w:eastAsia="zh-CN" w:bidi="ar"/>
        </w:rPr>
        <w:t>、病故人员家属的一次性和定期抚恤金以及丧葬补助费。</w:t>
      </w:r>
    </w:p>
    <w:p w14:paraId="2FE88AE7">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19</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社会保障和就业（类）其他社会保障和就业支出（款）其他社会保障和就业支出（项）：反映除上述项目以外其他用于社会保障和就业方面的支出。</w:t>
      </w:r>
    </w:p>
    <w:p w14:paraId="4D8B8185">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20</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卫生健康（类）卫生健康管理事务（款）行政运行（项）：</w:t>
      </w:r>
      <w:r>
        <w:rPr>
          <w:rFonts w:hint="default" w:ascii="Times New Roman" w:hAnsi="Times New Roman" w:eastAsia="仿宋_GB2312" w:cs="Times New Roman"/>
          <w:caps w:val="0"/>
          <w:color w:val="auto"/>
          <w:kern w:val="2"/>
          <w:sz w:val="32"/>
          <w:szCs w:val="32"/>
          <w:vertAlign w:val="baseline"/>
          <w:lang w:val="en-US" w:eastAsia="zh-CN" w:bidi="ar"/>
        </w:rPr>
        <w:t>反映行政单位（包括实行公务员管理的事业单位）的基本支出。</w:t>
      </w:r>
    </w:p>
    <w:p w14:paraId="5E161E23">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21</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卫生健康（类）卫生健康管理事务（款）一般行政管理事务（项）：</w:t>
      </w:r>
      <w:r>
        <w:rPr>
          <w:rFonts w:hint="default" w:ascii="Times New Roman" w:hAnsi="Times New Roman" w:eastAsia="仿宋_GB2312" w:cs="Times New Roman"/>
          <w:caps w:val="0"/>
          <w:color w:val="auto"/>
          <w:kern w:val="2"/>
          <w:sz w:val="32"/>
          <w:szCs w:val="32"/>
          <w:vertAlign w:val="baseline"/>
          <w:lang w:val="en-US" w:eastAsia="zh-CN" w:bidi="ar"/>
        </w:rPr>
        <w:t>反映行政单位（包括实行公务员管理的事业单位）未单独设置项级科目的其他项目支出。</w:t>
      </w:r>
    </w:p>
    <w:p w14:paraId="3F4C65AB">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22</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卫生健康（类）卫生健康管理事务（款）机关服务（项）：</w:t>
      </w:r>
      <w:r>
        <w:rPr>
          <w:rFonts w:hint="default" w:ascii="Times New Roman" w:hAnsi="Times New Roman" w:eastAsia="仿宋_GB2312" w:cs="Times New Roman"/>
          <w:caps w:val="0"/>
          <w:color w:val="auto"/>
          <w:kern w:val="2"/>
          <w:sz w:val="32"/>
          <w:szCs w:val="32"/>
          <w:vertAlign w:val="baseline"/>
          <w:lang w:val="en-US" w:eastAsia="zh-CN" w:bidi="ar"/>
        </w:rPr>
        <w:t>反映为行政单位（包括实行公务员管理的事业单位）提供后勤服务的各类后勤服务中心、医务室等附属事业单位的支出。</w:t>
      </w:r>
    </w:p>
    <w:p w14:paraId="560C24DC">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23</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卫生健康（类）卫生健康管理事务（款）其他卫生健康管理事务支出（项）：</w:t>
      </w:r>
      <w:r>
        <w:rPr>
          <w:rFonts w:hint="default" w:ascii="Times New Roman" w:hAnsi="Times New Roman" w:eastAsia="仿宋_GB2312" w:cs="Times New Roman"/>
          <w:caps w:val="0"/>
          <w:color w:val="auto"/>
          <w:kern w:val="2"/>
          <w:sz w:val="32"/>
          <w:szCs w:val="32"/>
          <w:vertAlign w:val="baseline"/>
          <w:lang w:val="en-US" w:eastAsia="zh-CN" w:bidi="ar"/>
        </w:rPr>
        <w:t>反映除上述项目以外其他用于卫生健康管理事务方面的支出。</w:t>
      </w:r>
    </w:p>
    <w:p w14:paraId="3C59B260">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24</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卫生健康（类）公立医院（款）综合医院（项）：</w:t>
      </w:r>
      <w:r>
        <w:rPr>
          <w:rFonts w:hint="default" w:ascii="Times New Roman" w:hAnsi="Times New Roman" w:eastAsia="仿宋_GB2312" w:cs="Times New Roman"/>
          <w:caps w:val="0"/>
          <w:color w:val="auto"/>
          <w:kern w:val="2"/>
          <w:sz w:val="32"/>
          <w:szCs w:val="32"/>
          <w:vertAlign w:val="baseline"/>
          <w:lang w:val="en-US" w:eastAsia="zh-CN" w:bidi="ar"/>
        </w:rPr>
        <w:t>反映卫生健康、中医部门所属的城市综合性医院、独立门诊、教学医院、疗养院和县医院的支出。</w:t>
      </w:r>
    </w:p>
    <w:p w14:paraId="00AFD27E">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25</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卫生健康（类）公立医院（款）传染病医院（项）：</w:t>
      </w:r>
      <w:r>
        <w:rPr>
          <w:rFonts w:hint="default" w:ascii="Times New Roman" w:hAnsi="Times New Roman" w:eastAsia="仿宋_GB2312" w:cs="Times New Roman"/>
          <w:caps w:val="0"/>
          <w:color w:val="auto"/>
          <w:kern w:val="2"/>
          <w:sz w:val="32"/>
          <w:szCs w:val="32"/>
          <w:vertAlign w:val="baseline"/>
          <w:lang w:val="en-US" w:eastAsia="zh-CN" w:bidi="ar"/>
        </w:rPr>
        <w:t>反映卫生健康、中医部门所属的专门收治各类传染病人医院的支出。</w:t>
      </w:r>
    </w:p>
    <w:p w14:paraId="1B0B989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26</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卫生健康（类）公立医院（款）其他公立医院支出（项）：</w:t>
      </w:r>
      <w:r>
        <w:rPr>
          <w:rFonts w:hint="default" w:ascii="Times New Roman" w:hAnsi="Times New Roman" w:eastAsia="仿宋_GB2312" w:cs="Times New Roman"/>
          <w:caps w:val="0"/>
          <w:color w:val="auto"/>
          <w:kern w:val="2"/>
          <w:sz w:val="32"/>
          <w:szCs w:val="32"/>
          <w:vertAlign w:val="baseline"/>
          <w:lang w:val="en-US" w:eastAsia="zh-CN" w:bidi="ar"/>
        </w:rPr>
        <w:t>反映除上述项目以外的其他用于公立医院方面的支出。</w:t>
      </w:r>
    </w:p>
    <w:p w14:paraId="63D06962">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27</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卫生健康（类）公共卫生（款）疾病预防控制机构（项）：</w:t>
      </w:r>
      <w:r>
        <w:rPr>
          <w:rFonts w:hint="default" w:ascii="Times New Roman" w:hAnsi="Times New Roman" w:eastAsia="仿宋_GB2312" w:cs="Times New Roman"/>
          <w:caps w:val="0"/>
          <w:color w:val="auto"/>
          <w:kern w:val="2"/>
          <w:sz w:val="32"/>
          <w:szCs w:val="32"/>
          <w:vertAlign w:val="baseline"/>
          <w:lang w:val="en-US" w:eastAsia="zh-CN" w:bidi="ar"/>
        </w:rPr>
        <w:t>反映卫生健康部门所属疾病预防控制机构的支出。</w:t>
      </w:r>
    </w:p>
    <w:p w14:paraId="420E525E">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28</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卫生健康（类）公共卫生（款）妇幼保健机构（项）：</w:t>
      </w:r>
      <w:r>
        <w:rPr>
          <w:rFonts w:hint="default" w:ascii="Times New Roman" w:hAnsi="Times New Roman" w:eastAsia="仿宋_GB2312" w:cs="Times New Roman"/>
          <w:caps w:val="0"/>
          <w:color w:val="auto"/>
          <w:kern w:val="2"/>
          <w:sz w:val="32"/>
          <w:szCs w:val="32"/>
          <w:vertAlign w:val="baseline"/>
          <w:lang w:val="en-US" w:eastAsia="zh-CN" w:bidi="ar"/>
        </w:rPr>
        <w:t>反映卫生健康部门所属妇幼保健机构的支出。</w:t>
      </w:r>
    </w:p>
    <w:p w14:paraId="08A7D7E9">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29</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卫生健康（类）公共卫生（款）应急救治机构（项）：</w:t>
      </w:r>
      <w:r>
        <w:rPr>
          <w:rFonts w:hint="default" w:ascii="Times New Roman" w:hAnsi="Times New Roman" w:eastAsia="仿宋_GB2312" w:cs="Times New Roman"/>
          <w:caps w:val="0"/>
          <w:color w:val="auto"/>
          <w:kern w:val="2"/>
          <w:sz w:val="32"/>
          <w:szCs w:val="32"/>
          <w:vertAlign w:val="baseline"/>
          <w:lang w:val="en-US" w:eastAsia="zh-CN" w:bidi="ar"/>
        </w:rPr>
        <w:t>反映卫生健康部门所属应急救治机构的支出。</w:t>
      </w:r>
    </w:p>
    <w:p w14:paraId="64FB35DA">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30</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卫生健康（类）公共卫生（款）采供血机构（项）：</w:t>
      </w:r>
      <w:r>
        <w:rPr>
          <w:rFonts w:hint="default" w:ascii="Times New Roman" w:hAnsi="Times New Roman" w:eastAsia="仿宋_GB2312" w:cs="Times New Roman"/>
          <w:caps w:val="0"/>
          <w:color w:val="auto"/>
          <w:kern w:val="2"/>
          <w:sz w:val="32"/>
          <w:szCs w:val="32"/>
          <w:vertAlign w:val="baseline"/>
          <w:lang w:val="en-US" w:eastAsia="zh-CN" w:bidi="ar"/>
        </w:rPr>
        <w:t>反映卫生健康部门所属采供血机构的支出。</w:t>
      </w:r>
    </w:p>
    <w:p w14:paraId="248F6C9D">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31</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卫生健康（类）公共卫生（款）基本公共卫生服务（项）：</w:t>
      </w:r>
      <w:r>
        <w:rPr>
          <w:rFonts w:hint="default" w:ascii="Times New Roman" w:hAnsi="Times New Roman" w:eastAsia="仿宋_GB2312" w:cs="Times New Roman"/>
          <w:caps w:val="0"/>
          <w:color w:val="auto"/>
          <w:kern w:val="2"/>
          <w:sz w:val="32"/>
          <w:szCs w:val="32"/>
          <w:vertAlign w:val="baseline"/>
          <w:lang w:val="en-US" w:eastAsia="zh-CN" w:bidi="ar"/>
        </w:rPr>
        <w:t>反映基本公共卫生服务支出。</w:t>
      </w:r>
    </w:p>
    <w:p w14:paraId="0C3D186C">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32</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卫生健康（类）公共卫生（款）重大公共卫生服务（项）：</w:t>
      </w:r>
      <w:r>
        <w:rPr>
          <w:rFonts w:hint="default" w:ascii="Times New Roman" w:hAnsi="Times New Roman" w:eastAsia="仿宋_GB2312" w:cs="Times New Roman"/>
          <w:caps w:val="0"/>
          <w:color w:val="auto"/>
          <w:kern w:val="2"/>
          <w:sz w:val="32"/>
          <w:szCs w:val="32"/>
          <w:vertAlign w:val="baseline"/>
          <w:lang w:val="en-US" w:eastAsia="zh-CN" w:bidi="ar"/>
        </w:rPr>
        <w:t>反映重大疾病、重大传染病预防控制等重大公共卫生服务项目支出。</w:t>
      </w:r>
    </w:p>
    <w:p w14:paraId="065A7841">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33</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卫生健康（类）公共卫生（款）其他公共卫生支出（项）：</w:t>
      </w:r>
      <w:r>
        <w:rPr>
          <w:rFonts w:hint="default" w:ascii="Times New Roman" w:hAnsi="Times New Roman" w:eastAsia="仿宋_GB2312" w:cs="Times New Roman"/>
          <w:caps w:val="0"/>
          <w:color w:val="auto"/>
          <w:kern w:val="2"/>
          <w:sz w:val="32"/>
          <w:szCs w:val="32"/>
          <w:vertAlign w:val="baseline"/>
          <w:lang w:val="en-US" w:eastAsia="zh-CN" w:bidi="ar"/>
        </w:rPr>
        <w:t>反映除上述项目以外的其他用于公共卫生方面的支出。</w:t>
      </w:r>
    </w:p>
    <w:p w14:paraId="7EF8998C">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34</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卫生健康（类）计划生育事务（款）其他计划生育事务支出（项）：</w:t>
      </w:r>
      <w:r>
        <w:rPr>
          <w:rFonts w:hint="default" w:ascii="Times New Roman" w:hAnsi="Times New Roman" w:eastAsia="仿宋_GB2312" w:cs="Times New Roman"/>
          <w:caps w:val="0"/>
          <w:color w:val="auto"/>
          <w:kern w:val="2"/>
          <w:sz w:val="32"/>
          <w:szCs w:val="32"/>
          <w:vertAlign w:val="baseline"/>
          <w:lang w:val="en-US" w:eastAsia="zh-CN" w:bidi="ar"/>
        </w:rPr>
        <w:t>反映计划生育服务支出。</w:t>
      </w:r>
    </w:p>
    <w:p w14:paraId="22ADBD19">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35</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卫生健康（类）行政事业单位医疗（款）行政单位医疗（项）：</w:t>
      </w:r>
      <w:r>
        <w:rPr>
          <w:rFonts w:hint="default" w:ascii="Times New Roman" w:hAnsi="Times New Roman" w:eastAsia="仿宋_GB2312" w:cs="Times New Roman"/>
          <w:caps w:val="0"/>
          <w:color w:val="auto"/>
          <w:kern w:val="2"/>
          <w:sz w:val="32"/>
          <w:szCs w:val="32"/>
          <w:vertAlign w:val="baseline"/>
          <w:lang w:val="en-US" w:eastAsia="zh-CN" w:bidi="ar"/>
        </w:rPr>
        <w:t>反映财政部门安排的行政单位（包括实行公务员管理的事业单位，下同）基本医疗保险缴费经费，未参加医疗保险的行政单位的公费医疗经费，按国家规定享受离休人员、红军老战士待遇人员的医疗经费。</w:t>
      </w:r>
    </w:p>
    <w:p w14:paraId="4878DEF7">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36</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卫生健康（类）行政事业单位医疗（款）事业单位医疗（项）：</w:t>
      </w:r>
      <w:r>
        <w:rPr>
          <w:rFonts w:hint="default" w:ascii="Times New Roman" w:hAnsi="Times New Roman" w:eastAsia="仿宋_GB2312" w:cs="Times New Roman"/>
          <w:caps w:val="0"/>
          <w:color w:val="auto"/>
          <w:kern w:val="2"/>
          <w:sz w:val="32"/>
          <w:szCs w:val="32"/>
          <w:vertAlign w:val="baseline"/>
          <w:lang w:val="en-US" w:eastAsia="zh-CN" w:bidi="ar"/>
        </w:rPr>
        <w:t>反映财政部门安排的事业单位基本医疗保险缴费经费，未参加医疗保险的事业单位的公费医疗经费，按国家规定享受离休人员待遇的医疗经费。</w:t>
      </w:r>
    </w:p>
    <w:p w14:paraId="10B25FA5">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37</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卫生健康（类）行政事业单位医疗（款）公务员医疗补助（项）：</w:t>
      </w:r>
      <w:r>
        <w:rPr>
          <w:rFonts w:hint="default" w:ascii="Times New Roman" w:hAnsi="Times New Roman" w:eastAsia="仿宋_GB2312" w:cs="Times New Roman"/>
          <w:caps w:val="0"/>
          <w:color w:val="auto"/>
          <w:kern w:val="2"/>
          <w:sz w:val="32"/>
          <w:szCs w:val="32"/>
          <w:vertAlign w:val="baseline"/>
          <w:lang w:val="en-US" w:eastAsia="zh-CN" w:bidi="ar"/>
        </w:rPr>
        <w:t>反映财政部门安排的公务员医疗补助经费。</w:t>
      </w:r>
    </w:p>
    <w:p w14:paraId="14DEFCF9">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default"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38.卫生健康（类）行政事业单位医疗（款）其他行政事业单位医疗支出（项）：</w:t>
      </w:r>
      <w:r>
        <w:rPr>
          <w:rFonts w:hint="default" w:ascii="Times New Roman" w:hAnsi="Times New Roman" w:eastAsia="仿宋_GB2312" w:cs="Times New Roman"/>
          <w:caps w:val="0"/>
          <w:color w:val="auto"/>
          <w:kern w:val="2"/>
          <w:sz w:val="32"/>
          <w:szCs w:val="32"/>
          <w:vertAlign w:val="baseline"/>
          <w:lang w:val="en-US" w:eastAsia="zh-CN" w:bidi="ar"/>
        </w:rPr>
        <w:t>反映除上述项目以外的其他用于行政事业单位医疗方面的支出。</w:t>
      </w:r>
    </w:p>
    <w:p w14:paraId="52A82CEB">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39</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卫生健康（类）中医药事务（款）其他中医药事务支出（项）：</w:t>
      </w:r>
      <w:r>
        <w:rPr>
          <w:rFonts w:hint="default" w:ascii="Times New Roman" w:hAnsi="Times New Roman" w:eastAsia="仿宋_GB2312" w:cs="Times New Roman"/>
          <w:caps w:val="0"/>
          <w:color w:val="auto"/>
          <w:kern w:val="2"/>
          <w:sz w:val="32"/>
          <w:szCs w:val="32"/>
          <w:vertAlign w:val="baseline"/>
          <w:lang w:val="en-US" w:eastAsia="zh-CN" w:bidi="ar"/>
        </w:rPr>
        <w:t>反映除上述项目以外的其他用于中医药事务方面的支出。</w:t>
      </w:r>
    </w:p>
    <w:p w14:paraId="7C38D1A7">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40</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卫生健康（类）其他卫生健康支出（款）其他卫生健康支出（项）：</w:t>
      </w:r>
      <w:r>
        <w:rPr>
          <w:rFonts w:hint="default" w:ascii="Times New Roman" w:hAnsi="Times New Roman" w:eastAsia="仿宋_GB2312" w:cs="Times New Roman"/>
          <w:caps w:val="0"/>
          <w:color w:val="auto"/>
          <w:kern w:val="2"/>
          <w:sz w:val="32"/>
          <w:szCs w:val="32"/>
          <w:vertAlign w:val="baseline"/>
          <w:lang w:val="en-US" w:eastAsia="zh-CN" w:bidi="ar"/>
        </w:rPr>
        <w:t>反映除上述项目以外其他用于卫生健康方面的支出。</w:t>
      </w:r>
    </w:p>
    <w:p w14:paraId="1F66F06B">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41</w:t>
      </w:r>
      <w:r>
        <w:rPr>
          <w:rFonts w:hint="default" w:ascii="Times New Roman" w:hAnsi="Times New Roman" w:eastAsia="仿宋_GB2312" w:cs="Times New Roman"/>
          <w:caps w:val="0"/>
          <w:color w:val="auto"/>
          <w:kern w:val="2"/>
          <w:sz w:val="32"/>
          <w:szCs w:val="32"/>
          <w:vertAlign w:val="baseline"/>
          <w:lang w:val="en-US" w:eastAsia="zh-CN" w:bidi="ar"/>
        </w:rPr>
        <w:t>.</w:t>
      </w:r>
      <w:r>
        <w:rPr>
          <w:rFonts w:hint="eastAsia" w:ascii="Times New Roman" w:hAnsi="Times New Roman" w:eastAsia="仿宋_GB2312" w:cs="Times New Roman"/>
          <w:caps w:val="0"/>
          <w:color w:val="auto"/>
          <w:kern w:val="2"/>
          <w:sz w:val="32"/>
          <w:szCs w:val="32"/>
          <w:vertAlign w:val="baseline"/>
          <w:lang w:val="en-US" w:eastAsia="zh-CN" w:bidi="ar"/>
        </w:rPr>
        <w:t>住房保障（类）住房改革支出（款）住房公积金（项）：</w:t>
      </w:r>
      <w:r>
        <w:rPr>
          <w:rFonts w:hint="default" w:ascii="Times New Roman" w:hAnsi="Times New Roman" w:eastAsia="仿宋_GB2312" w:cs="Times New Roman"/>
          <w:caps w:val="0"/>
          <w:color w:val="auto"/>
          <w:kern w:val="2"/>
          <w:sz w:val="32"/>
          <w:szCs w:val="32"/>
          <w:vertAlign w:val="baseline"/>
          <w:lang w:val="en-US" w:eastAsia="zh-CN" w:bidi="ar"/>
        </w:rPr>
        <w:t>反映行政事业单位按人力资源和社会保障部、财政部规定的基本工资和津贴补贴以及规定比例为职工缴纳的住房公积金。</w:t>
      </w:r>
    </w:p>
    <w:p w14:paraId="3913492D">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42.基本支出：指为保障机构正常运转、完成日常工作任务而发生的人员支出和公用支出。</w:t>
      </w:r>
    </w:p>
    <w:p w14:paraId="5B158E4D">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 xml:space="preserve">43.项目支出：指在基本支出之外为完成特定行政任务和事业发展目标所发生的支出。 </w:t>
      </w:r>
    </w:p>
    <w:p w14:paraId="5A455ED6">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44.经营支出：指事业单位在专业业务活动及其辅助活动之外开展非独立核算经营活动发生的支出。</w:t>
      </w:r>
    </w:p>
    <w:p w14:paraId="1274E9BA">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45.“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04772F3">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65" w:firstLineChars="208"/>
        <w:jc w:val="left"/>
        <w:textAlignment w:val="auto"/>
        <w:outlineLvl w:val="2"/>
        <w:rPr>
          <w:rFonts w:hint="eastAsia" w:ascii="Times New Roman" w:hAnsi="Times New Roman" w:eastAsia="仿宋_GB2312" w:cs="Times New Roman"/>
          <w:caps w:val="0"/>
          <w:color w:val="auto"/>
          <w:kern w:val="2"/>
          <w:sz w:val="32"/>
          <w:szCs w:val="32"/>
          <w:vertAlign w:val="baseline"/>
          <w:lang w:val="en-US" w:eastAsia="zh-CN" w:bidi="ar"/>
        </w:rPr>
      </w:pPr>
      <w:r>
        <w:rPr>
          <w:rFonts w:hint="eastAsia" w:ascii="Times New Roman" w:hAnsi="Times New Roman" w:eastAsia="仿宋_GB2312" w:cs="Times New Roman"/>
          <w:caps w:val="0"/>
          <w:color w:val="auto"/>
          <w:kern w:val="2"/>
          <w:sz w:val="32"/>
          <w:szCs w:val="32"/>
          <w:vertAlign w:val="baseline"/>
          <w:lang w:val="en-US" w:eastAsia="zh-CN" w:bidi="ar"/>
        </w:rPr>
        <w:t>46.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CF502A1">
      <w:pPr>
        <w:pStyle w:val="16"/>
        <w:keepNext w:val="0"/>
        <w:keepLines w:val="0"/>
        <w:pageBreakBefore w:val="0"/>
        <w:widowControl/>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right="0"/>
        <w:jc w:val="center"/>
        <w:textAlignment w:val="auto"/>
        <w:outlineLvl w:val="0"/>
        <w:rPr>
          <w:rStyle w:val="30"/>
          <w:rFonts w:hint="eastAsia" w:ascii="Times New Roman" w:hAnsi="Times New Roman" w:eastAsia="黑体"/>
          <w:b w:val="0"/>
          <w:color w:val="auto"/>
          <w:highlight w:val="none"/>
          <w:lang w:eastAsia="zh-CN"/>
        </w:rPr>
      </w:pPr>
      <w:bookmarkStart w:id="81" w:name="_Toc15377226"/>
      <w:r>
        <w:rPr>
          <w:rFonts w:hint="eastAsia" w:ascii="Times New Roman" w:hAnsi="Times New Roman" w:eastAsia="仿宋_GB2312" w:cs="Times New Roman"/>
          <w:caps w:val="0"/>
          <w:color w:val="auto"/>
          <w:kern w:val="2"/>
          <w:sz w:val="32"/>
          <w:szCs w:val="32"/>
          <w:vertAlign w:val="baseline"/>
          <w:lang w:val="en-US" w:eastAsia="zh-CN" w:bidi="ar"/>
        </w:rPr>
        <w:br w:type="page"/>
      </w:r>
      <w:bookmarkStart w:id="82" w:name="_Toc2071794380"/>
      <w:bookmarkStart w:id="83"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82"/>
      <w:bookmarkEnd w:id="83"/>
    </w:p>
    <w:p w14:paraId="36D5B9F4">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olor w:val="FF0000"/>
          <w:sz w:val="32"/>
          <w:szCs w:val="32"/>
          <w:highlight w:val="none"/>
        </w:rPr>
      </w:pPr>
    </w:p>
    <w:p w14:paraId="3B2987D6">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bookmarkStart w:id="84" w:name="_Toc1113291396"/>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84"/>
    </w:p>
    <w:p w14:paraId="44CAE5BE">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2F676EB1">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720" w:lineRule="exact"/>
        <w:ind w:left="0" w:right="0" w:firstLine="0"/>
        <w:jc w:val="center"/>
        <w:outlineLvl w:val="9"/>
        <w:rPr>
          <w:rFonts w:hint="default" w:ascii="Times New Roman" w:hAnsi="Times New Roman" w:eastAsia="方正小标宋简体" w:cs="方正小标宋简体"/>
          <w:b/>
          <w:bCs w:val="0"/>
          <w:caps w:val="0"/>
          <w:color w:val="auto"/>
          <w:sz w:val="44"/>
          <w:szCs w:val="44"/>
          <w:shd w:val="clear" w:fill="FFFFFF"/>
          <w:vertAlign w:val="baseline"/>
        </w:rPr>
      </w:pPr>
      <w:r>
        <w:rPr>
          <w:rFonts w:hint="default" w:ascii="Times New Roman" w:hAnsi="方正小标宋简体" w:eastAsia="方正小标宋简体" w:cs="方正小标宋简体"/>
          <w:b/>
          <w:bCs w:val="0"/>
          <w:caps w:val="0"/>
          <w:color w:val="auto"/>
          <w:kern w:val="0"/>
          <w:sz w:val="44"/>
          <w:szCs w:val="44"/>
          <w:shd w:val="clear" w:fill="FFFFFF"/>
          <w:vertAlign w:val="baseline"/>
          <w:lang w:val="en-US" w:eastAsia="zh-CN" w:bidi="ar"/>
        </w:rPr>
        <w:t>攀枝花市卫生健康委员会</w:t>
      </w:r>
    </w:p>
    <w:p w14:paraId="49AC8ADA">
      <w:pPr>
        <w:keepNext w:val="0"/>
        <w:keepLines w:val="0"/>
        <w:pageBreakBefore w:val="0"/>
        <w:widowControl/>
        <w:suppressLineNumbers w:val="0"/>
        <w:suppressAutoHyphens w:val="0"/>
        <w:kinsoku/>
        <w:wordWrap/>
        <w:overflowPunct/>
        <w:topLinePunct w:val="0"/>
        <w:autoSpaceDE/>
        <w:autoSpaceDN w:val="0"/>
        <w:bidi w:val="0"/>
        <w:adjustRightInd/>
        <w:snapToGrid/>
        <w:spacing w:before="0" w:beforeAutospacing="0" w:after="0" w:afterAutospacing="0" w:line="720" w:lineRule="exact"/>
        <w:ind w:left="0" w:right="0" w:firstLine="0"/>
        <w:jc w:val="center"/>
        <w:outlineLvl w:val="9"/>
      </w:pPr>
      <w:r>
        <w:rPr>
          <w:rFonts w:hint="eastAsia" w:ascii="Times New Roman" w:hAnsi="方正小标宋简体" w:eastAsia="方正小标宋简体" w:cs="方正小标宋简体"/>
          <w:b/>
          <w:bCs w:val="0"/>
          <w:caps w:val="0"/>
          <w:color w:val="auto"/>
          <w:kern w:val="0"/>
          <w:sz w:val="44"/>
          <w:szCs w:val="44"/>
          <w:shd w:val="clear" w:fill="FFFFFF"/>
          <w:vertAlign w:val="baseline"/>
          <w:lang w:val="en-US" w:eastAsia="zh-CN" w:bidi="ar"/>
        </w:rPr>
        <w:t>关于</w:t>
      </w:r>
      <w:r>
        <w:rPr>
          <w:rFonts w:hint="default" w:ascii="Times New Roman" w:hAnsi="Times New Roman" w:eastAsia="方正小标宋简体" w:cs="Times New Roman"/>
          <w:b/>
          <w:bCs w:val="0"/>
          <w:caps w:val="0"/>
          <w:color w:val="auto"/>
          <w:kern w:val="0"/>
          <w:sz w:val="44"/>
          <w:szCs w:val="44"/>
          <w:shd w:val="clear" w:fill="FFFFFF"/>
          <w:vertAlign w:val="baseline"/>
          <w:lang w:val="en-US" w:eastAsia="zh-CN" w:bidi="ar"/>
        </w:rPr>
        <w:t>202</w:t>
      </w:r>
      <w:r>
        <w:rPr>
          <w:rFonts w:hint="eastAsia" w:ascii="Times New Roman" w:hAnsi="Times New Roman" w:eastAsia="方正小标宋简体" w:cs="Times New Roman"/>
          <w:b/>
          <w:bCs w:val="0"/>
          <w:caps w:val="0"/>
          <w:color w:val="auto"/>
          <w:kern w:val="0"/>
          <w:sz w:val="44"/>
          <w:szCs w:val="44"/>
          <w:shd w:val="clear" w:fill="FFFFFF"/>
          <w:vertAlign w:val="baseline"/>
          <w:lang w:val="en-US" w:eastAsia="zh-CN" w:bidi="ar"/>
        </w:rPr>
        <w:t>5</w:t>
      </w:r>
      <w:r>
        <w:rPr>
          <w:rFonts w:hint="eastAsia" w:ascii="Times New Roman" w:hAnsi="方正小标宋简体" w:eastAsia="方正小标宋简体" w:cs="方正小标宋简体"/>
          <w:b/>
          <w:bCs w:val="0"/>
          <w:caps w:val="0"/>
          <w:color w:val="auto"/>
          <w:kern w:val="0"/>
          <w:sz w:val="44"/>
          <w:szCs w:val="44"/>
          <w:shd w:val="clear" w:fill="FFFFFF"/>
          <w:vertAlign w:val="baseline"/>
          <w:lang w:val="en-US" w:eastAsia="zh-CN" w:bidi="ar"/>
        </w:rPr>
        <w:t>年部门预算绩效自评情况的报告</w:t>
      </w:r>
    </w:p>
    <w:p w14:paraId="2047462C">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27B4FCB6">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黑体_GBK" w:hAnsi="方正黑体_GBK" w:eastAsia="方正黑体_GBK" w:cs="方正黑体_GBK"/>
          <w:caps w:val="0"/>
          <w:color w:val="auto"/>
          <w:kern w:val="2"/>
          <w:sz w:val="32"/>
          <w:szCs w:val="32"/>
          <w:vertAlign w:val="baseline"/>
          <w:lang w:bidi="ar"/>
        </w:rPr>
      </w:pPr>
      <w:r>
        <w:rPr>
          <w:rFonts w:hint="default" w:ascii="方正黑体_GBK" w:hAnsi="方正黑体_GBK" w:eastAsia="方正黑体_GBK" w:cs="方正黑体_GBK"/>
          <w:b w:val="0"/>
          <w:bCs w:val="0"/>
          <w:caps w:val="0"/>
          <w:color w:val="auto"/>
          <w:kern w:val="0"/>
          <w:sz w:val="32"/>
          <w:szCs w:val="32"/>
          <w:shd w:val="clear" w:fill="FFFFFF"/>
          <w:vertAlign w:val="baseline"/>
          <w:lang w:val="en-US" w:eastAsia="zh-CN" w:bidi="ar"/>
        </w:rPr>
        <w:t>一、部门基本情况</w:t>
      </w:r>
    </w:p>
    <w:p w14:paraId="47B54D3B">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楷体_GBK" w:hAnsi="方正楷体_GBK" w:eastAsia="方正楷体_GBK" w:cs="方正楷体_GBK"/>
          <w:b/>
          <w:bCs/>
          <w:caps w:val="0"/>
          <w:color w:val="auto"/>
          <w:kern w:val="0"/>
          <w:sz w:val="32"/>
          <w:szCs w:val="32"/>
          <w:shd w:val="clear" w:fill="FFFFFF"/>
          <w:vertAlign w:val="baseline"/>
          <w:lang w:bidi="ar"/>
        </w:rPr>
      </w:pPr>
      <w:r>
        <w:rPr>
          <w:rFonts w:hint="default" w:ascii="方正楷体_GBK" w:hAnsi="方正楷体_GBK" w:eastAsia="方正楷体_GBK" w:cs="方正楷体_GBK"/>
          <w:b/>
          <w:bCs/>
          <w:caps w:val="0"/>
          <w:color w:val="auto"/>
          <w:kern w:val="0"/>
          <w:sz w:val="32"/>
          <w:szCs w:val="32"/>
          <w:shd w:val="clear" w:fill="FFFFFF"/>
          <w:vertAlign w:val="baseline"/>
          <w:lang w:val="en-US" w:eastAsia="zh-CN" w:bidi="ar"/>
        </w:rPr>
        <w:t>（一）机构组成</w:t>
      </w:r>
    </w:p>
    <w:p w14:paraId="6D7C3276">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2025</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年，攀枝花市卫生健康委员会所属</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个二级预算单位，其中行政单位</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个，事业单位</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9</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个。分别是：攀枝花市卫生健康委员会（本级）、攀枝花市中心医院、攀枝花市第二人民医院、攀枝花市第三人民医院、攀枝花市第四人民医院、攀枝花市妇幼保健院、攀枝花市疾病预防控制中心、攀枝花市中心血站、攀枝花市健康促进和卫生大数据中心、攀枝花市紧急医学救援中心。</w:t>
      </w:r>
    </w:p>
    <w:p w14:paraId="3D8485AF">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楷体_GBK" w:hAnsi="方正楷体_GBK" w:eastAsia="方正楷体_GBK" w:cs="方正楷体_GBK"/>
          <w:b/>
          <w:bCs/>
          <w:caps w:val="0"/>
          <w:color w:val="auto"/>
          <w:kern w:val="0"/>
          <w:sz w:val="32"/>
          <w:szCs w:val="32"/>
          <w:shd w:val="clear" w:fill="FFFFFF"/>
          <w:vertAlign w:val="baseline"/>
          <w:lang w:bidi="ar"/>
        </w:rPr>
      </w:pPr>
      <w:r>
        <w:rPr>
          <w:rFonts w:hint="eastAsia" w:ascii="方正楷体_GBK" w:hAnsi="方正楷体_GBK" w:eastAsia="方正楷体_GBK" w:cs="方正楷体_GBK"/>
          <w:b/>
          <w:bCs/>
          <w:caps w:val="0"/>
          <w:color w:val="auto"/>
          <w:kern w:val="0"/>
          <w:sz w:val="32"/>
          <w:szCs w:val="32"/>
          <w:shd w:val="clear" w:fill="FFFFFF"/>
          <w:vertAlign w:val="baseline"/>
          <w:lang w:val="en-US" w:eastAsia="zh-CN" w:bidi="ar"/>
        </w:rPr>
        <w:t>（二）机构职能</w:t>
      </w:r>
    </w:p>
    <w:p w14:paraId="3825A028">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攀枝花市卫生健康委员会是政府工作部门，根据《攀枝花市人民政府办公室关于印发攀枝花市卫生健康委员会主要职责内设机构和人员编制规定的通知》（攀委办〔</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2019</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34</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号）、《中共攀枝花市委机构编制委员会办公室关于调整市卫生健康委员会有关机构编制的通知》（攀编办〔</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2024</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21</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号）、《中共攀枝花市委机构编制委员会关于设立攀枝花市中医药发展服务中心的批复》（攀编发〔</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2022</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22</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号），主要职责如下：</w:t>
      </w:r>
    </w:p>
    <w:p w14:paraId="591B8B52">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组织拟订全市卫生健康政策。负责拟订卫生健康事业发展政策、规划并组织实施。统筹规划全市卫生健康资源配置。制定并组织实施推进卫生健康基本公共服务均等化、普惠化、便捷化和公共资源向基层延伸等政策措施。</w:t>
      </w:r>
    </w:p>
    <w:p w14:paraId="40A19516">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牵头推进全市深化医药卫生体制改革。研究提出深化改革重大政策、措施的建议。组织深化公立医院综合改革，建立健全现代医院管理制度。制定并组织实施推动卫生健康公共服务提供主体多元化、提供方式多样化的政策措施。</w:t>
      </w:r>
    </w:p>
    <w:p w14:paraId="1CD97F1C">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3</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制定并组织落实全市疾病预防控制规划、免疫规划以及严重危害人民健康的艾滋病等重大传染病、寄生虫病、地方病等公共卫生问题的干预措施。负责全市卫生应急工作，组织和指导全市突发公共卫生事件预防控制和各类突发公共事件的医疗卫生救援。收集、报告法定传染病疫情信息、突发公共卫生事件应急处置信息。依照国家检疫传染病和监测传染病目录，参与开展检疫监测工作。</w:t>
      </w:r>
    </w:p>
    <w:p w14:paraId="5CA3EA9E">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4</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.贯彻落实国家药物政策和国家基本药物制度。开展药械使用监测、临床综合评价和短缺药品预警，组织执行国家药典和国家基本药物目录，制定基本药物使用的政策措施。</w:t>
      </w:r>
    </w:p>
    <w:p w14:paraId="50CD70D5">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5</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.组织实施食品安全风险监测，开展食品安全企业标准备案，组织开展食品安全事故流行病学调查。</w:t>
      </w:r>
    </w:p>
    <w:p w14:paraId="1B9EEE10">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6</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.负责职责范围内的职业卫生、放射卫生、环境卫生、学校卫生、公共场所卫生、饮用水卫生等公共卫生的监督管理。负责传染病防治监督，健全卫生健康综合监管体系。</w:t>
      </w:r>
    </w:p>
    <w:p w14:paraId="31AEDC4C">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7</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制定全市医疗机构、医疗服务行业管理办法并监督实施，建立医疗服务评价和监督管理体系。会同有关部门实施卫生健康专业技术人员资格标准。制定并组织实施医疗服务规范、标准和卫生健康专业技术人员执业规则、服务规范。负责医疗机构、人员和行为的日常监管。</w:t>
      </w:r>
    </w:p>
    <w:p w14:paraId="408DD327">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8</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负责全市中医药传承与发展研究、健康服务标准应用、中医药适宜技术推广、交流合作、信息服务等事务性工作。协助开展全市中医药产业发展规划和建设指导工作，提供中医药产业发展标准规范，组织开展中医药人才培养、培训项目实施。负责全市中医药产业统计调查、中医药服务监测、医改监测、数据质控、挖掘、分析、发布等。负责市中医药学会的事务性工作。负责全市中医药行业资格考试、科研教学、评审评价等事务性工作。</w:t>
      </w:r>
    </w:p>
    <w:p w14:paraId="23E1E4A8">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9</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.负责全市计划生育管理和服务工作，开展人口监测预警，研究提出人口与家庭发展相关政策建议，执行计划生育政策。指导市计划生育协会的业务工作。</w:t>
      </w:r>
    </w:p>
    <w:p w14:paraId="03A40CFF">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.指导县（区）卫生健康工作。指导基层医疗卫生、妇幼健康服务体系和基层卫生队伍建设。推进卫生健康科技创新发展。</w:t>
      </w:r>
    </w:p>
    <w:p w14:paraId="66AB6348">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11</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.负责市级确定的保健对象医疗保健工作，负责市级有关部门（单位）离休干部医疗管理工作。负责重要会议与重大活动的医疗卫生保障工作。</w:t>
      </w:r>
    </w:p>
    <w:p w14:paraId="60560E6A">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12</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.依法依规履行卫生健康行业安全生产监管职责，负责职责范围内的生态环境保护、审批服务便民化等工作。</w:t>
      </w:r>
    </w:p>
    <w:p w14:paraId="30A3D2CA">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13</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.完成市委、市政府交办的其他任务。</w:t>
      </w:r>
    </w:p>
    <w:p w14:paraId="0E4E064A">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14</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职能转变。市卫生健康委进一步转变职能，坚持党对卫生健康工作的集中统一领导，贯彻新时代卫生与健康工作方针，全面推进健康中国、健康四川、健康攀枝花建设，把保障人民健康放在优先发展的战略位置，弘扬伟大抗疫精神，认真总结固化疫情防控中经过实践检验的经验和模式，着力提高应对重大突发公共卫生事件的能力和水平，建立健全平战结合的重大疫情防控治体系，织牢公共卫生防护网。</w:t>
      </w:r>
    </w:p>
    <w:p w14:paraId="7660857D">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3" w:firstLineChars="200"/>
        <w:jc w:val="both"/>
        <w:outlineLvl w:val="9"/>
        <w:rPr>
          <w:rFonts w:hint="eastAsia" w:ascii="方正楷体_GBK" w:hAnsi="方正楷体_GBK" w:eastAsia="方正楷体_GBK" w:cs="方正楷体_GBK"/>
          <w:b/>
          <w:bCs/>
          <w:caps w:val="0"/>
          <w:color w:val="auto"/>
          <w:kern w:val="2"/>
          <w:sz w:val="32"/>
          <w:szCs w:val="32"/>
          <w:vertAlign w:val="baseline"/>
          <w:lang w:bidi="ar"/>
        </w:rPr>
      </w:pPr>
      <w:r>
        <w:rPr>
          <w:rFonts w:hint="eastAsia" w:ascii="方正楷体_GBK" w:hAnsi="方正楷体_GBK" w:eastAsia="方正楷体_GBK" w:cs="方正楷体_GBK"/>
          <w:b/>
          <w:bCs/>
          <w:caps w:val="0"/>
          <w:color w:val="auto"/>
          <w:kern w:val="0"/>
          <w:sz w:val="32"/>
          <w:szCs w:val="32"/>
          <w:shd w:val="clear" w:fill="FFFFFF"/>
          <w:vertAlign w:val="baseline"/>
          <w:lang w:val="en-US" w:eastAsia="zh-CN" w:bidi="ar"/>
        </w:rPr>
        <w:t>（三）人员概况</w:t>
      </w:r>
    </w:p>
    <w:p w14:paraId="12FE317A">
      <w:pPr>
        <w:keepNext w:val="0"/>
        <w:keepLines w:val="0"/>
        <w:pageBreakBefore w:val="0"/>
        <w:widowControl w:val="0"/>
        <w:suppressLineNumbers w:val="0"/>
        <w:suppressAutoHyphens w:val="0"/>
        <w:kinsoku/>
        <w:wordWrap/>
        <w:overflowPunct/>
        <w:topLinePunct w:val="0"/>
        <w:autoSpaceDE/>
        <w:autoSpaceDN w:val="0"/>
        <w:bidi w:val="0"/>
        <w:adjustRightInd/>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年年末实有人数</w:t>
      </w:r>
      <w:r>
        <w:rPr>
          <w:rFonts w:hint="default" w:ascii="Times New Roman" w:hAnsi="Times New Roman" w:eastAsia="方正仿宋_GBK" w:cs="Times New Roman"/>
          <w:b w:val="0"/>
          <w:bCs w:val="0"/>
          <w:caps w:val="0"/>
          <w:color w:val="auto"/>
          <w:kern w:val="2"/>
          <w:sz w:val="32"/>
          <w:szCs w:val="32"/>
          <w:vertAlign w:val="baseline"/>
          <w:lang w:val="en-US" w:eastAsia="zh-CN" w:bidi="ar"/>
        </w:rPr>
        <w:t>3826</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人，其中编制内实有人员</w:t>
      </w:r>
      <w:r>
        <w:rPr>
          <w:rFonts w:hint="default" w:ascii="Times New Roman" w:hAnsi="Times New Roman" w:eastAsia="方正仿宋_GBK" w:cs="Times New Roman"/>
          <w:b w:val="0"/>
          <w:bCs w:val="0"/>
          <w:caps w:val="0"/>
          <w:color w:val="auto"/>
          <w:kern w:val="2"/>
          <w:sz w:val="32"/>
          <w:szCs w:val="32"/>
          <w:vertAlign w:val="baseline"/>
          <w:lang w:val="en-US" w:eastAsia="zh-CN" w:bidi="ar"/>
        </w:rPr>
        <w:t>1716</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人，其他人员</w:t>
      </w:r>
      <w:r>
        <w:rPr>
          <w:rFonts w:hint="default" w:ascii="Times New Roman" w:hAnsi="Times New Roman" w:eastAsia="方正仿宋_GBK" w:cs="Times New Roman"/>
          <w:b w:val="0"/>
          <w:bCs w:val="0"/>
          <w:caps w:val="0"/>
          <w:color w:val="auto"/>
          <w:kern w:val="2"/>
          <w:sz w:val="32"/>
          <w:szCs w:val="32"/>
          <w:vertAlign w:val="baseline"/>
          <w:lang w:val="en-US" w:eastAsia="zh-CN" w:bidi="ar"/>
        </w:rPr>
        <w:t>2110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人。与</w:t>
      </w:r>
      <w:r>
        <w:rPr>
          <w:rFonts w:hint="default" w:ascii="Times New Roman" w:hAnsi="Times New Roman" w:eastAsia="方正仿宋_GBK" w:cs="Times New Roman"/>
          <w:b w:val="0"/>
          <w:bCs w:val="0"/>
          <w:caps w:val="0"/>
          <w:color w:val="auto"/>
          <w:kern w:val="2"/>
          <w:sz w:val="32"/>
          <w:szCs w:val="32"/>
          <w:vertAlign w:val="baseline"/>
          <w:lang w:val="en-US" w:eastAsia="zh-CN" w:bidi="ar"/>
        </w:rPr>
        <w:t>2024</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年相比，年末实有人数增加</w:t>
      </w:r>
      <w:r>
        <w:rPr>
          <w:rFonts w:hint="default" w:ascii="Times New Roman" w:hAnsi="Times New Roman" w:eastAsia="方正仿宋_GBK" w:cs="Times New Roman"/>
          <w:b w:val="0"/>
          <w:bCs w:val="0"/>
          <w:caps w:val="0"/>
          <w:color w:val="auto"/>
          <w:kern w:val="2"/>
          <w:sz w:val="32"/>
          <w:szCs w:val="32"/>
          <w:vertAlign w:val="baseline"/>
          <w:lang w:val="en-US" w:eastAsia="zh-CN" w:bidi="ar"/>
        </w:rPr>
        <w:t>39</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人，其中编制内实有人员减少</w:t>
      </w:r>
      <w:r>
        <w:rPr>
          <w:rFonts w:hint="default" w:ascii="Times New Roman" w:hAnsi="Times New Roman" w:eastAsia="方正仿宋_GBK" w:cs="Times New Roman"/>
          <w:b w:val="0"/>
          <w:bCs w:val="0"/>
          <w:caps w:val="0"/>
          <w:color w:val="auto"/>
          <w:kern w:val="2"/>
          <w:sz w:val="32"/>
          <w:szCs w:val="32"/>
          <w:vertAlign w:val="baseline"/>
          <w:lang w:val="en-US" w:eastAsia="zh-CN" w:bidi="ar"/>
        </w:rPr>
        <w:t>11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人；其他人员增加</w:t>
      </w:r>
      <w:r>
        <w:rPr>
          <w:rFonts w:hint="default" w:ascii="Times New Roman" w:hAnsi="Times New Roman" w:eastAsia="方正仿宋_GBK" w:cs="Times New Roman"/>
          <w:b w:val="0"/>
          <w:bCs w:val="0"/>
          <w:caps w:val="0"/>
          <w:color w:val="auto"/>
          <w:kern w:val="2"/>
          <w:sz w:val="32"/>
          <w:szCs w:val="32"/>
          <w:vertAlign w:val="baseline"/>
          <w:lang w:val="en-US" w:eastAsia="zh-CN" w:bidi="ar"/>
        </w:rPr>
        <w:t>50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人。</w:t>
      </w:r>
    </w:p>
    <w:p w14:paraId="687E0C9C">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黑体_GBK" w:hAnsi="方正黑体_GBK" w:eastAsia="方正黑体_GBK" w:cs="方正黑体_GBK"/>
          <w:caps w:val="0"/>
          <w:color w:val="auto"/>
          <w:kern w:val="0"/>
          <w:sz w:val="32"/>
          <w:szCs w:val="32"/>
          <w:shd w:val="clear" w:fill="FFFFFF"/>
          <w:vertAlign w:val="baseline"/>
          <w:lang w:bidi="ar"/>
        </w:rPr>
      </w:pPr>
      <w:r>
        <w:rPr>
          <w:rFonts w:hint="eastAsia" w:ascii="方正黑体_GBK" w:hAnsi="方正黑体_GBK" w:eastAsia="方正黑体_GBK" w:cs="方正黑体_GBK"/>
          <w:b w:val="0"/>
          <w:bCs w:val="0"/>
          <w:caps w:val="0"/>
          <w:color w:val="auto"/>
          <w:kern w:val="0"/>
          <w:sz w:val="32"/>
          <w:szCs w:val="32"/>
          <w:shd w:val="clear" w:fill="FFFFFF"/>
          <w:vertAlign w:val="baseline"/>
          <w:lang w:val="en-US" w:eastAsia="zh-CN" w:bidi="ar"/>
        </w:rPr>
        <w:t>二、部门资金收支情况</w:t>
      </w:r>
    </w:p>
    <w:p w14:paraId="50342970">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楷体_GBK" w:hAnsi="方正楷体_GBK" w:eastAsia="方正楷体_GBK" w:cs="方正楷体_GBK"/>
          <w:caps w:val="0"/>
          <w:color w:val="auto"/>
          <w:kern w:val="2"/>
          <w:sz w:val="32"/>
          <w:szCs w:val="32"/>
          <w:vertAlign w:val="baseline"/>
          <w:lang w:bidi="ar"/>
        </w:rPr>
      </w:pPr>
      <w:r>
        <w:rPr>
          <w:rFonts w:hint="eastAsia" w:ascii="方正楷体_GBK" w:hAnsi="方正楷体_GBK" w:eastAsia="方正楷体_GBK" w:cs="方正楷体_GBK"/>
          <w:b/>
          <w:bCs/>
          <w:caps w:val="0"/>
          <w:color w:val="auto"/>
          <w:kern w:val="0"/>
          <w:sz w:val="32"/>
          <w:szCs w:val="32"/>
          <w:shd w:val="clear" w:fill="FFFFFF"/>
          <w:vertAlign w:val="baseline"/>
          <w:lang w:val="en-US" w:eastAsia="zh-CN" w:bidi="ar"/>
        </w:rPr>
        <w:t>（一）收入情况</w:t>
      </w:r>
    </w:p>
    <w:p w14:paraId="03D38B47">
      <w:pPr>
        <w:keepNext w:val="0"/>
        <w:keepLines w:val="0"/>
        <w:pageBreakBefore w:val="0"/>
        <w:widowControl w:val="0"/>
        <w:suppressLineNumbers w:val="0"/>
        <w:suppressAutoHyphens w:val="0"/>
        <w:kinsoku/>
        <w:wordWrap/>
        <w:overflowPunct/>
        <w:topLinePunct w:val="0"/>
        <w:autoSpaceDE/>
        <w:autoSpaceDN w:val="0"/>
        <w:bidi w:val="0"/>
        <w:adjustRightInd/>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val="0"/>
          <w:bCs w:val="0"/>
          <w:caps w:val="0"/>
          <w:color w:val="auto"/>
          <w:kern w:val="2"/>
          <w:sz w:val="32"/>
          <w:szCs w:val="32"/>
          <w:vertAlign w:val="baseline"/>
          <w:lang w:val="en-US" w:eastAsia="zh-CN" w:bidi="ar"/>
        </w:rPr>
        <w:t>市卫生健康委</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年财政拨款收入、支出年初预算安排</w:t>
      </w:r>
      <w:r>
        <w:rPr>
          <w:rFonts w:hint="default" w:ascii="Times New Roman" w:hAnsi="Times New Roman" w:eastAsia="方正仿宋_GBK" w:cs="Times New Roman"/>
          <w:b w:val="0"/>
          <w:bCs w:val="0"/>
          <w:caps w:val="0"/>
          <w:color w:val="auto"/>
          <w:kern w:val="2"/>
          <w:sz w:val="32"/>
          <w:szCs w:val="32"/>
          <w:vertAlign w:val="baseline"/>
          <w:lang w:val="en-US" w:eastAsia="zh-CN" w:bidi="ar"/>
        </w:rPr>
        <w:t>8937</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33</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万元，其中一般公共预算财政拨款收入</w:t>
      </w:r>
      <w:r>
        <w:rPr>
          <w:rFonts w:hint="default" w:ascii="Times New Roman" w:hAnsi="Times New Roman" w:eastAsia="方正仿宋_GBK" w:cs="Times New Roman"/>
          <w:b w:val="0"/>
          <w:bCs w:val="0"/>
          <w:caps w:val="0"/>
          <w:color w:val="auto"/>
          <w:kern w:val="2"/>
          <w:sz w:val="32"/>
          <w:szCs w:val="32"/>
          <w:vertAlign w:val="baseline"/>
          <w:lang w:val="en-US" w:eastAsia="zh-CN" w:bidi="ar"/>
        </w:rPr>
        <w:t>8937</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33</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万元。其中人员经费</w:t>
      </w:r>
      <w:r>
        <w:rPr>
          <w:rFonts w:hint="default" w:ascii="Times New Roman" w:hAnsi="Times New Roman" w:eastAsia="方正仿宋_GBK" w:cs="Times New Roman"/>
          <w:b w:val="0"/>
          <w:bCs w:val="0"/>
          <w:caps w:val="0"/>
          <w:color w:val="auto"/>
          <w:kern w:val="2"/>
          <w:sz w:val="32"/>
          <w:szCs w:val="32"/>
          <w:vertAlign w:val="baseline"/>
          <w:lang w:val="en-US" w:eastAsia="zh-CN" w:bidi="ar"/>
        </w:rPr>
        <w:t>7134</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91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万元，公用经费</w:t>
      </w:r>
      <w:r>
        <w:rPr>
          <w:rFonts w:hint="default" w:ascii="Times New Roman" w:hAnsi="Times New Roman" w:eastAsia="方正仿宋_GBK" w:cs="Times New Roman"/>
          <w:b w:val="0"/>
          <w:bCs w:val="0"/>
          <w:caps w:val="0"/>
          <w:color w:val="auto"/>
          <w:kern w:val="2"/>
          <w:sz w:val="32"/>
          <w:szCs w:val="32"/>
          <w:vertAlign w:val="baseline"/>
          <w:lang w:val="en-US" w:eastAsia="zh-CN" w:bidi="ar"/>
        </w:rPr>
        <w:t>861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53</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万元，项目支出</w:t>
      </w:r>
      <w:r>
        <w:rPr>
          <w:rFonts w:hint="default" w:ascii="Times New Roman" w:hAnsi="Times New Roman" w:eastAsia="方正仿宋_GBK" w:cs="Times New Roman"/>
          <w:b w:val="0"/>
          <w:bCs w:val="0"/>
          <w:caps w:val="0"/>
          <w:color w:val="auto"/>
          <w:kern w:val="2"/>
          <w:sz w:val="32"/>
          <w:szCs w:val="32"/>
          <w:vertAlign w:val="baseline"/>
          <w:lang w:val="en-US" w:eastAsia="zh-CN" w:bidi="ar"/>
        </w:rPr>
        <w:t>940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89</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w:t>
      </w:r>
    </w:p>
    <w:p w14:paraId="57A5D808">
      <w:pPr>
        <w:keepNext w:val="0"/>
        <w:keepLines w:val="0"/>
        <w:pageBreakBefore w:val="0"/>
        <w:widowControl w:val="0"/>
        <w:suppressLineNumbers w:val="0"/>
        <w:suppressAutoHyphens w:val="0"/>
        <w:kinsoku/>
        <w:wordWrap/>
        <w:overflowPunct/>
        <w:topLinePunct w:val="0"/>
        <w:autoSpaceDE/>
        <w:autoSpaceDN w:val="0"/>
        <w:bidi w:val="0"/>
        <w:adjustRightInd/>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val="0"/>
          <w:bCs w:val="0"/>
          <w:caps w:val="0"/>
          <w:color w:val="auto"/>
          <w:kern w:val="2"/>
          <w:sz w:val="32"/>
          <w:szCs w:val="32"/>
          <w:vertAlign w:val="baseline"/>
          <w:lang w:val="en-US" w:eastAsia="zh-CN" w:bidi="ar"/>
        </w:rPr>
        <w:t>市卫生健康委</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年财政拨款收入决算数</w:t>
      </w:r>
      <w:r>
        <w:rPr>
          <w:rFonts w:hint="default" w:ascii="Times New Roman" w:hAnsi="Times New Roman" w:eastAsia="方正仿宋_GBK" w:cs="Times New Roman"/>
          <w:b w:val="0"/>
          <w:bCs w:val="0"/>
          <w:caps w:val="0"/>
          <w:color w:val="auto"/>
          <w:kern w:val="2"/>
          <w:sz w:val="32"/>
          <w:szCs w:val="32"/>
          <w:vertAlign w:val="baseline"/>
          <w:lang w:val="en-US" w:eastAsia="zh-CN" w:bidi="ar"/>
        </w:rPr>
        <w:t>19540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14</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万元，其中一般公共预算财政拨款收入</w:t>
      </w:r>
      <w:r>
        <w:rPr>
          <w:rFonts w:hint="default" w:ascii="Times New Roman" w:hAnsi="Times New Roman" w:eastAsia="方正仿宋_GBK" w:cs="Times New Roman"/>
          <w:b w:val="0"/>
          <w:bCs w:val="0"/>
          <w:caps w:val="0"/>
          <w:color w:val="auto"/>
          <w:kern w:val="2"/>
          <w:sz w:val="32"/>
          <w:szCs w:val="32"/>
          <w:vertAlign w:val="baseline"/>
          <w:lang w:val="en-US" w:eastAsia="zh-CN" w:bidi="ar"/>
        </w:rPr>
        <w:t>17515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14</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万元，政府性基金财政拨款收入</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w:t>
      </w:r>
    </w:p>
    <w:p w14:paraId="3E62CBD7">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楷体_GBK" w:hAnsi="方正楷体_GBK" w:eastAsia="方正楷体_GBK" w:cs="方正楷体_GBK"/>
          <w:caps w:val="0"/>
          <w:color w:val="auto"/>
          <w:kern w:val="2"/>
          <w:sz w:val="32"/>
          <w:szCs w:val="32"/>
          <w:vertAlign w:val="baseline"/>
          <w:lang w:bidi="ar"/>
        </w:rPr>
      </w:pPr>
      <w:r>
        <w:rPr>
          <w:rFonts w:hint="eastAsia" w:ascii="方正楷体_GBK" w:hAnsi="方正楷体_GBK" w:eastAsia="方正楷体_GBK" w:cs="方正楷体_GBK"/>
          <w:b/>
          <w:bCs/>
          <w:caps w:val="0"/>
          <w:color w:val="auto"/>
          <w:kern w:val="0"/>
          <w:sz w:val="32"/>
          <w:szCs w:val="32"/>
          <w:shd w:val="clear" w:fill="FFFFFF"/>
          <w:vertAlign w:val="baseline"/>
          <w:lang w:val="en-US" w:eastAsia="zh-CN" w:bidi="ar"/>
        </w:rPr>
        <w:t>（二）支出情况</w:t>
      </w:r>
    </w:p>
    <w:p w14:paraId="4BADF087">
      <w:pPr>
        <w:keepNext w:val="0"/>
        <w:keepLines w:val="0"/>
        <w:pageBreakBefore w:val="0"/>
        <w:widowControl w:val="0"/>
        <w:suppressLineNumbers w:val="0"/>
        <w:suppressAutoHyphens w:val="0"/>
        <w:kinsoku/>
        <w:wordWrap/>
        <w:overflowPunct/>
        <w:topLinePunct w:val="0"/>
        <w:autoSpaceDE/>
        <w:autoSpaceDN w:val="0"/>
        <w:bidi w:val="0"/>
        <w:adjustRightInd/>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val="0"/>
          <w:bCs w:val="0"/>
          <w:caps w:val="0"/>
          <w:color w:val="auto"/>
          <w:kern w:val="2"/>
          <w:sz w:val="32"/>
          <w:szCs w:val="32"/>
          <w:vertAlign w:val="baseline"/>
          <w:lang w:val="en-US" w:eastAsia="zh-CN" w:bidi="ar"/>
        </w:rPr>
        <w:t>市卫生健康委</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年财政拨款收入、支出年初预算安排</w:t>
      </w:r>
      <w:r>
        <w:rPr>
          <w:rFonts w:hint="default" w:ascii="Times New Roman" w:hAnsi="Times New Roman" w:eastAsia="方正仿宋_GBK" w:cs="Times New Roman"/>
          <w:b w:val="0"/>
          <w:bCs w:val="0"/>
          <w:caps w:val="0"/>
          <w:color w:val="auto"/>
          <w:kern w:val="2"/>
          <w:sz w:val="32"/>
          <w:szCs w:val="32"/>
          <w:vertAlign w:val="baseline"/>
          <w:lang w:val="en-US" w:eastAsia="zh-CN" w:bidi="ar"/>
        </w:rPr>
        <w:t>8937</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33</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万元，其中一般公共预算财政拨款收入</w:t>
      </w:r>
      <w:r>
        <w:rPr>
          <w:rFonts w:hint="default" w:ascii="Times New Roman" w:hAnsi="Times New Roman" w:eastAsia="方正仿宋_GBK" w:cs="Times New Roman"/>
          <w:b w:val="0"/>
          <w:bCs w:val="0"/>
          <w:caps w:val="0"/>
          <w:color w:val="auto"/>
          <w:kern w:val="2"/>
          <w:sz w:val="32"/>
          <w:szCs w:val="32"/>
          <w:vertAlign w:val="baseline"/>
          <w:lang w:val="en-US" w:eastAsia="zh-CN" w:bidi="ar"/>
        </w:rPr>
        <w:t>8937</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33</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万元。其中人员经费</w:t>
      </w:r>
      <w:r>
        <w:rPr>
          <w:rFonts w:hint="default" w:ascii="Times New Roman" w:hAnsi="Times New Roman" w:eastAsia="方正仿宋_GBK" w:cs="Times New Roman"/>
          <w:b w:val="0"/>
          <w:bCs w:val="0"/>
          <w:caps w:val="0"/>
          <w:color w:val="auto"/>
          <w:kern w:val="2"/>
          <w:sz w:val="32"/>
          <w:szCs w:val="32"/>
          <w:vertAlign w:val="baseline"/>
          <w:lang w:val="en-US" w:eastAsia="zh-CN" w:bidi="ar"/>
        </w:rPr>
        <w:t>7134</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91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万元，公用经费</w:t>
      </w:r>
      <w:r>
        <w:rPr>
          <w:rFonts w:hint="default" w:ascii="Times New Roman" w:hAnsi="Times New Roman" w:eastAsia="方正仿宋_GBK" w:cs="Times New Roman"/>
          <w:b w:val="0"/>
          <w:bCs w:val="0"/>
          <w:caps w:val="0"/>
          <w:color w:val="auto"/>
          <w:kern w:val="2"/>
          <w:sz w:val="32"/>
          <w:szCs w:val="32"/>
          <w:vertAlign w:val="baseline"/>
          <w:lang w:val="en-US" w:eastAsia="zh-CN" w:bidi="ar"/>
        </w:rPr>
        <w:t>861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53</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万元，项目支出</w:t>
      </w:r>
      <w:r>
        <w:rPr>
          <w:rFonts w:hint="default" w:ascii="Times New Roman" w:hAnsi="Times New Roman" w:eastAsia="方正仿宋_GBK" w:cs="Times New Roman"/>
          <w:b w:val="0"/>
          <w:bCs w:val="0"/>
          <w:caps w:val="0"/>
          <w:color w:val="auto"/>
          <w:kern w:val="2"/>
          <w:sz w:val="32"/>
          <w:szCs w:val="32"/>
          <w:vertAlign w:val="baseline"/>
          <w:lang w:val="en-US" w:eastAsia="zh-CN" w:bidi="ar"/>
        </w:rPr>
        <w:t>940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89</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w:t>
      </w:r>
    </w:p>
    <w:p w14:paraId="0FE9A20B">
      <w:pPr>
        <w:keepNext w:val="0"/>
        <w:keepLines w:val="0"/>
        <w:pageBreakBefore w:val="0"/>
        <w:widowControl w:val="0"/>
        <w:suppressLineNumbers w:val="0"/>
        <w:suppressAutoHyphens w:val="0"/>
        <w:kinsoku/>
        <w:wordWrap/>
        <w:overflowPunct/>
        <w:topLinePunct w:val="0"/>
        <w:autoSpaceDE/>
        <w:autoSpaceDN w:val="0"/>
        <w:bidi w:val="0"/>
        <w:adjustRightInd/>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val="0"/>
          <w:bCs w:val="0"/>
          <w:caps w:val="0"/>
          <w:color w:val="auto"/>
          <w:kern w:val="2"/>
          <w:sz w:val="32"/>
          <w:szCs w:val="32"/>
          <w:shd w:val="clear" w:fill="FFFFFF"/>
          <w:vertAlign w:val="baseline"/>
          <w:lang w:val="en-US" w:eastAsia="zh-CN" w:bidi="ar"/>
        </w:rPr>
        <w:t>市卫生健康委</w:t>
      </w:r>
      <w:r>
        <w:rPr>
          <w:rFonts w:hint="default" w:ascii="Times New Roman" w:hAnsi="Times New Roman" w:eastAsia="方正仿宋_GBK" w:cs="Times New Roman"/>
          <w:b w:val="0"/>
          <w:bCs w:val="0"/>
          <w:caps w:val="0"/>
          <w:color w:val="auto"/>
          <w:kern w:val="2"/>
          <w:sz w:val="32"/>
          <w:szCs w:val="32"/>
          <w:shd w:val="clear" w:fill="FFFFFF"/>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shd w:val="clear" w:fill="FFFFFF"/>
          <w:vertAlign w:val="baseline"/>
          <w:lang w:val="en-US" w:eastAsia="zh-CN" w:bidi="ar"/>
        </w:rPr>
        <w:t>年财政拨款支出决算数</w:t>
      </w:r>
      <w:r>
        <w:rPr>
          <w:rFonts w:hint="default" w:ascii="Times New Roman" w:hAnsi="Times New Roman" w:eastAsia="方正仿宋_GBK" w:cs="Times New Roman"/>
          <w:b w:val="0"/>
          <w:bCs w:val="0"/>
          <w:caps w:val="0"/>
          <w:color w:val="auto"/>
          <w:kern w:val="2"/>
          <w:sz w:val="32"/>
          <w:szCs w:val="32"/>
          <w:shd w:val="clear" w:fill="FFFFFF"/>
          <w:vertAlign w:val="baseline"/>
          <w:lang w:val="en-US" w:eastAsia="zh-CN" w:bidi="ar"/>
        </w:rPr>
        <w:t>19540</w:t>
      </w:r>
      <w:r>
        <w:rPr>
          <w:rFonts w:hint="eastAsia" w:ascii="方正仿宋_GBK" w:hAnsi="方正仿宋_GBK" w:eastAsia="方正仿宋_GBK" w:cs="方正仿宋_GBK"/>
          <w:b w:val="0"/>
          <w:bCs w:val="0"/>
          <w:caps w:val="0"/>
          <w:color w:val="auto"/>
          <w:kern w:val="2"/>
          <w:sz w:val="32"/>
          <w:szCs w:val="32"/>
          <w:shd w:val="clear" w:fill="FFFFFF"/>
          <w:vertAlign w:val="baseline"/>
          <w:lang w:val="en-US" w:eastAsia="zh-CN" w:bidi="ar"/>
        </w:rPr>
        <w:t>.</w:t>
      </w:r>
      <w:r>
        <w:rPr>
          <w:rFonts w:hint="default" w:ascii="Times New Roman" w:hAnsi="Times New Roman" w:eastAsia="方正仿宋_GBK" w:cs="Times New Roman"/>
          <w:b w:val="0"/>
          <w:bCs w:val="0"/>
          <w:caps w:val="0"/>
          <w:color w:val="auto"/>
          <w:kern w:val="2"/>
          <w:sz w:val="32"/>
          <w:szCs w:val="32"/>
          <w:shd w:val="clear" w:fill="FFFFFF"/>
          <w:vertAlign w:val="baseline"/>
          <w:lang w:val="en-US" w:eastAsia="zh-CN" w:bidi="ar"/>
        </w:rPr>
        <w:t>14</w:t>
      </w:r>
      <w:r>
        <w:rPr>
          <w:rFonts w:hint="eastAsia" w:ascii="方正仿宋_GBK" w:hAnsi="方正仿宋_GBK" w:eastAsia="方正仿宋_GBK" w:cs="方正仿宋_GBK"/>
          <w:b w:val="0"/>
          <w:bCs w:val="0"/>
          <w:caps w:val="0"/>
          <w:color w:val="auto"/>
          <w:kern w:val="2"/>
          <w:sz w:val="32"/>
          <w:szCs w:val="32"/>
          <w:shd w:val="clear" w:fill="FFFFFF"/>
          <w:vertAlign w:val="baseline"/>
          <w:lang w:val="en-US" w:eastAsia="zh-CN" w:bidi="ar"/>
        </w:rPr>
        <w:t>万</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元，</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其中一般公共预算财政拨款收入</w:t>
      </w:r>
      <w:r>
        <w:rPr>
          <w:rFonts w:hint="default" w:ascii="Times New Roman" w:hAnsi="Times New Roman" w:eastAsia="方正仿宋_GBK" w:cs="Times New Roman"/>
          <w:b w:val="0"/>
          <w:bCs w:val="0"/>
          <w:caps w:val="0"/>
          <w:color w:val="auto"/>
          <w:kern w:val="2"/>
          <w:sz w:val="32"/>
          <w:szCs w:val="32"/>
          <w:vertAlign w:val="baseline"/>
          <w:lang w:val="en-US" w:eastAsia="zh-CN" w:bidi="ar"/>
        </w:rPr>
        <w:t>17515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14</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万元，政府性基金财政拨款收入</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万元。其中人员经费</w:t>
      </w:r>
      <w:r>
        <w:rPr>
          <w:rFonts w:hint="default" w:ascii="Times New Roman" w:hAnsi="Times New Roman" w:eastAsia="方正仿宋_GBK" w:cs="Times New Roman"/>
          <w:b w:val="0"/>
          <w:bCs w:val="0"/>
          <w:caps w:val="0"/>
          <w:color w:val="auto"/>
          <w:kern w:val="2"/>
          <w:sz w:val="32"/>
          <w:szCs w:val="32"/>
          <w:vertAlign w:val="baseline"/>
          <w:lang w:val="en-US" w:eastAsia="zh-CN" w:bidi="ar"/>
        </w:rPr>
        <w:t>8115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68</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万元，公用经费</w:t>
      </w:r>
      <w:r>
        <w:rPr>
          <w:rFonts w:hint="default" w:ascii="Times New Roman" w:hAnsi="Times New Roman" w:eastAsia="方正仿宋_GBK" w:cs="Times New Roman"/>
          <w:b w:val="0"/>
          <w:bCs w:val="0"/>
          <w:caps w:val="0"/>
          <w:color w:val="auto"/>
          <w:kern w:val="2"/>
          <w:sz w:val="32"/>
          <w:szCs w:val="32"/>
          <w:vertAlign w:val="baseline"/>
          <w:lang w:val="en-US" w:eastAsia="zh-CN" w:bidi="ar"/>
        </w:rPr>
        <w:t>453</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67</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万元，项目支出</w:t>
      </w:r>
      <w:r>
        <w:rPr>
          <w:rFonts w:hint="default" w:ascii="Times New Roman" w:hAnsi="Times New Roman" w:eastAsia="方正仿宋_GBK" w:cs="Times New Roman"/>
          <w:b w:val="0"/>
          <w:bCs w:val="0"/>
          <w:caps w:val="0"/>
          <w:color w:val="auto"/>
          <w:kern w:val="2"/>
          <w:sz w:val="32"/>
          <w:szCs w:val="32"/>
          <w:vertAlign w:val="baseline"/>
          <w:lang w:val="en-US" w:eastAsia="zh-CN" w:bidi="ar"/>
        </w:rPr>
        <w:t>10970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78</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w:t>
      </w:r>
    </w:p>
    <w:p w14:paraId="66E9B33A">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楷体_GBK" w:hAnsi="方正楷体_GBK" w:eastAsia="方正楷体_GBK" w:cs="方正楷体_GBK"/>
          <w:b/>
          <w:bCs/>
          <w:caps w:val="0"/>
          <w:color w:val="auto"/>
          <w:kern w:val="2"/>
          <w:sz w:val="32"/>
          <w:szCs w:val="32"/>
          <w:vertAlign w:val="baseline"/>
          <w:lang w:bidi="ar"/>
        </w:rPr>
      </w:pPr>
      <w:r>
        <w:rPr>
          <w:rFonts w:hint="eastAsia" w:ascii="方正楷体_GBK" w:hAnsi="方正楷体_GBK" w:eastAsia="方正楷体_GBK" w:cs="方正楷体_GBK"/>
          <w:b/>
          <w:bCs/>
          <w:caps w:val="0"/>
          <w:color w:val="auto"/>
          <w:kern w:val="0"/>
          <w:sz w:val="32"/>
          <w:szCs w:val="32"/>
          <w:shd w:val="clear" w:fill="FFFFFF"/>
          <w:vertAlign w:val="baseline"/>
          <w:lang w:val="en-US" w:eastAsia="zh-CN" w:bidi="ar"/>
        </w:rPr>
        <w:t>（三）</w:t>
      </w:r>
      <w:r>
        <w:rPr>
          <w:rFonts w:hint="eastAsia" w:ascii="方正楷体_GBK" w:hAnsi="方正楷体_GBK" w:eastAsia="方正楷体_GBK" w:cs="方正楷体_GBK"/>
          <w:b/>
          <w:bCs/>
          <w:caps w:val="0"/>
          <w:color w:val="auto"/>
          <w:kern w:val="2"/>
          <w:sz w:val="32"/>
          <w:szCs w:val="32"/>
          <w:vertAlign w:val="baseline"/>
          <w:lang w:val="en-US" w:eastAsia="zh-CN" w:bidi="ar"/>
        </w:rPr>
        <w:t>结余分配和结转结余情况</w:t>
      </w:r>
    </w:p>
    <w:p w14:paraId="4C2D2C7D">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eastAsia" w:ascii="方正仿宋_GBK" w:hAnsi="方正仿宋_GBK" w:eastAsia="方正仿宋_GBK" w:cs="方正仿宋_GBK"/>
          <w:b w:val="0"/>
          <w:bCs w:val="0"/>
          <w:caps w:val="0"/>
          <w:color w:val="auto"/>
          <w:kern w:val="2"/>
          <w:sz w:val="32"/>
          <w:szCs w:val="32"/>
          <w:vertAlign w:val="baseline"/>
          <w:lang w:val="en-US" w:eastAsia="zh-CN" w:bidi="ar"/>
        </w:rPr>
        <w:t>市卫生健康委</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年财政拨款</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结转结余决算数为</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w:t>
      </w:r>
    </w:p>
    <w:p w14:paraId="48D3FCE3">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黑体_GBK" w:hAnsi="方正黑体_GBK" w:eastAsia="方正黑体_GBK" w:cs="方正黑体_GBK"/>
          <w:caps w:val="0"/>
          <w:color w:val="auto"/>
          <w:kern w:val="0"/>
          <w:sz w:val="32"/>
          <w:szCs w:val="32"/>
          <w:shd w:val="clear" w:fill="FFFFFF"/>
          <w:vertAlign w:val="baseline"/>
          <w:lang w:bidi="ar"/>
        </w:rPr>
      </w:pPr>
      <w:r>
        <w:rPr>
          <w:rFonts w:hint="eastAsia" w:ascii="方正黑体_GBK" w:hAnsi="方正黑体_GBK" w:eastAsia="方正黑体_GBK" w:cs="方正黑体_GBK"/>
          <w:b w:val="0"/>
          <w:bCs w:val="0"/>
          <w:caps w:val="0"/>
          <w:color w:val="auto"/>
          <w:kern w:val="0"/>
          <w:sz w:val="32"/>
          <w:szCs w:val="32"/>
          <w:shd w:val="clear" w:fill="FFFFFF"/>
          <w:vertAlign w:val="baseline"/>
          <w:lang w:val="en-US" w:eastAsia="zh-CN" w:bidi="ar"/>
        </w:rPr>
        <w:t>三、部门预算绩效分析</w:t>
      </w:r>
    </w:p>
    <w:p w14:paraId="15D57E6E">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楷体_GBK" w:hAnsi="方正楷体_GBK" w:eastAsia="方正楷体_GBK" w:cs="方正楷体_GBK"/>
          <w:b/>
          <w:bCs/>
          <w:caps w:val="0"/>
          <w:color w:val="auto"/>
          <w:kern w:val="0"/>
          <w:sz w:val="32"/>
          <w:szCs w:val="32"/>
          <w:shd w:val="clear" w:fill="FFFFFF"/>
          <w:vertAlign w:val="baseline"/>
          <w:lang w:bidi="ar"/>
        </w:rPr>
      </w:pPr>
      <w:r>
        <w:rPr>
          <w:rFonts w:hint="eastAsia" w:ascii="方正楷体_GBK" w:hAnsi="方正楷体_GBK" w:eastAsia="方正楷体_GBK" w:cs="方正楷体_GBK"/>
          <w:b/>
          <w:bCs/>
          <w:caps w:val="0"/>
          <w:color w:val="auto"/>
          <w:kern w:val="0"/>
          <w:sz w:val="32"/>
          <w:szCs w:val="32"/>
          <w:shd w:val="clear" w:fill="FFFFFF"/>
          <w:vertAlign w:val="baseline"/>
          <w:lang w:val="en-US" w:eastAsia="zh-CN" w:bidi="ar"/>
        </w:rPr>
        <w:t>（一）部门预算总体绩效分析</w:t>
      </w:r>
    </w:p>
    <w:p w14:paraId="13773196">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.履职效能。</w:t>
      </w:r>
    </w:p>
    <w:p w14:paraId="47FEBE98">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2"/>
          <w:sz w:val="32"/>
          <w:szCs w:val="32"/>
          <w:vertAlign w:val="baseline"/>
          <w:lang w:val="en-US" w:eastAsia="zh-CN" w:bidi="ar"/>
        </w:rPr>
        <w:t>一是</w:t>
      </w:r>
      <w:r>
        <w:rPr>
          <w:rFonts w:hint="eastAsia" w:ascii="方正仿宋_GBK" w:hAnsi="方正仿宋_GBK" w:eastAsia="方正仿宋_GBK" w:cs="方正仿宋_GBK"/>
          <w:b w:val="0"/>
          <w:bCs/>
          <w:caps w:val="0"/>
          <w:color w:val="auto"/>
          <w:kern w:val="2"/>
          <w:sz w:val="32"/>
          <w:szCs w:val="32"/>
          <w:vertAlign w:val="baseline"/>
          <w:lang w:val="en-US" w:eastAsia="zh-CN" w:bidi="ar"/>
        </w:rPr>
        <w:t>共同富裕健康根基不断夯实。</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印发《攀枝花市城乡贯通整合型医疗服务体系实施方案》，建成市检查检验结果互认共享平台，将互认项目拓展至</w:t>
      </w:r>
      <w:r>
        <w:rPr>
          <w:rFonts w:hint="default" w:ascii="Times New Roman" w:hAnsi="Times New Roman" w:eastAsia="方正仿宋_GBK" w:cs="Times New Roman"/>
          <w:b w:val="0"/>
          <w:bCs w:val="0"/>
          <w:caps w:val="0"/>
          <w:color w:val="auto"/>
          <w:kern w:val="2"/>
          <w:sz w:val="32"/>
          <w:szCs w:val="32"/>
          <w:vertAlign w:val="baseline"/>
          <w:lang w:val="en-US" w:eastAsia="zh-CN" w:bidi="ar"/>
        </w:rPr>
        <w:t>222</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项，目前累计互认</w:t>
      </w:r>
      <w:r>
        <w:rPr>
          <w:rFonts w:hint="default" w:ascii="Times New Roman" w:hAnsi="Times New Roman" w:eastAsia="方正仿宋_GBK" w:cs="Times New Roman"/>
          <w:b w:val="0"/>
          <w:bCs w:val="0"/>
          <w:caps w:val="0"/>
          <w:color w:val="auto"/>
          <w:kern w:val="2"/>
          <w:sz w:val="32"/>
          <w:szCs w:val="32"/>
          <w:vertAlign w:val="baseline"/>
          <w:lang w:val="en-US" w:eastAsia="zh-CN" w:bidi="ar"/>
        </w:rPr>
        <w:t>2</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8</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万余人次为患者节约</w:t>
      </w:r>
      <w:r>
        <w:rPr>
          <w:rFonts w:hint="default" w:ascii="Times New Roman" w:hAnsi="Times New Roman" w:eastAsia="方正仿宋_GBK" w:cs="Times New Roman"/>
          <w:b w:val="0"/>
          <w:bCs w:val="0"/>
          <w:caps w:val="0"/>
          <w:color w:val="auto"/>
          <w:kern w:val="2"/>
          <w:sz w:val="32"/>
          <w:szCs w:val="32"/>
          <w:vertAlign w:val="baseline"/>
          <w:lang w:val="en-US" w:eastAsia="zh-CN" w:bidi="ar"/>
        </w:rPr>
        <w:t>203</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万元；实施“一次挂号管三天”、重点人群先诊疗后付费等惠民便民举措，惠及</w:t>
      </w:r>
      <w:r>
        <w:rPr>
          <w:rFonts w:hint="default" w:ascii="Times New Roman" w:hAnsi="Times New Roman" w:eastAsia="方正仿宋_GBK" w:cs="Times New Roman"/>
          <w:b w:val="0"/>
          <w:bCs w:val="0"/>
          <w:caps w:val="0"/>
          <w:color w:val="auto"/>
          <w:kern w:val="2"/>
          <w:sz w:val="32"/>
          <w:szCs w:val="32"/>
          <w:vertAlign w:val="baseline"/>
          <w:lang w:val="en-US" w:eastAsia="zh-CN" w:bidi="ar"/>
        </w:rPr>
        <w:t>8</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万余人次。卫生健康系统</w:t>
      </w:r>
      <w:r>
        <w:rPr>
          <w:rFonts w:hint="default" w:ascii="Times New Roman" w:hAnsi="Times New Roman" w:eastAsia="方正仿宋_GBK" w:cs="Times New Roman"/>
          <w:b w:val="0"/>
          <w:bCs w:val="0"/>
          <w:caps w:val="0"/>
          <w:color w:val="auto"/>
          <w:kern w:val="2"/>
          <w:sz w:val="32"/>
          <w:szCs w:val="32"/>
          <w:vertAlign w:val="baseline"/>
          <w:lang w:val="en-US" w:eastAsia="zh-CN" w:bidi="ar"/>
        </w:rPr>
        <w:t>2</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项改革事项被确定为共同富裕试验区建设首批重点改革事项，形成《构建整合型医疗服务体系 促进城乡医疗卫生服务均衡可及》《探索“孕娩养育住”生育集成改革 推动建设生育友好型社会》等白皮书和典型案例。</w:t>
      </w:r>
    </w:p>
    <w:p w14:paraId="04E2377D">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2"/>
          <w:sz w:val="32"/>
          <w:szCs w:val="32"/>
          <w:vertAlign w:val="baseline"/>
          <w:lang w:val="en-US" w:eastAsia="zh-CN" w:bidi="ar"/>
        </w:rPr>
        <w:t>二是</w:t>
      </w:r>
      <w:r>
        <w:rPr>
          <w:rFonts w:hint="eastAsia" w:ascii="方正仿宋_GBK" w:hAnsi="方正仿宋_GBK" w:eastAsia="方正仿宋_GBK" w:cs="方正仿宋_GBK"/>
          <w:b w:val="0"/>
          <w:bCs/>
          <w:caps w:val="0"/>
          <w:color w:val="auto"/>
          <w:kern w:val="2"/>
          <w:sz w:val="32"/>
          <w:szCs w:val="32"/>
          <w:vertAlign w:val="baseline"/>
          <w:lang w:val="en-US" w:eastAsia="zh-CN" w:bidi="ar"/>
        </w:rPr>
        <w:t>医药卫生体制改革纵深推进。</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稳步推进疾控体系改革，顺利完成原卫生监督机构相关职能、人员向疾控中心整体移交和融合。成功争取到</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年中央财政支持公立医院改革与高质量发展示范项目，获中央财政补助资金</w:t>
      </w:r>
      <w:r>
        <w:rPr>
          <w:rFonts w:hint="default" w:ascii="Times New Roman" w:hAnsi="Times New Roman" w:eastAsia="方正仿宋_GBK" w:cs="Times New Roman"/>
          <w:b w:val="0"/>
          <w:bCs w:val="0"/>
          <w:caps w:val="0"/>
          <w:color w:val="auto"/>
          <w:kern w:val="2"/>
          <w:sz w:val="32"/>
          <w:szCs w:val="32"/>
          <w:vertAlign w:val="baseline"/>
          <w:lang w:val="en-US" w:eastAsia="zh-CN" w:bidi="ar"/>
        </w:rPr>
        <w:t>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亿元、省级财政补助资金</w:t>
      </w:r>
      <w:r>
        <w:rPr>
          <w:rFonts w:hint="default" w:ascii="Times New Roman" w:hAnsi="Times New Roman" w:eastAsia="方正仿宋_GBK" w:cs="Times New Roman"/>
          <w:b w:val="0"/>
          <w:bCs w:val="0"/>
          <w:caps w:val="0"/>
          <w:color w:val="auto"/>
          <w:kern w:val="2"/>
          <w:sz w:val="32"/>
          <w:szCs w:val="32"/>
          <w:vertAlign w:val="baseline"/>
          <w:lang w:val="en-US" w:eastAsia="zh-CN" w:bidi="ar"/>
        </w:rPr>
        <w:t>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亿元支持。建立市委、市政府主要领导为双组长的示范项目工作专班、制定示范项目管理办法和议事规则，并与三明市建立联系机制，聘请三明市医改专家委为政府顾问，扎实推进示范项目实施见效。最新国家医改监测结果排名较上一年度全国、区域和全省排名分别提升</w:t>
      </w:r>
      <w:r>
        <w:rPr>
          <w:rFonts w:hint="default" w:ascii="Times New Roman" w:hAnsi="Times New Roman" w:eastAsia="方正仿宋_GBK" w:cs="Times New Roman"/>
          <w:b w:val="0"/>
          <w:bCs w:val="0"/>
          <w:caps w:val="0"/>
          <w:color w:val="auto"/>
          <w:kern w:val="2"/>
          <w:sz w:val="32"/>
          <w:szCs w:val="32"/>
          <w:vertAlign w:val="baseline"/>
          <w:lang w:val="en-US" w:eastAsia="zh-CN" w:bidi="ar"/>
        </w:rPr>
        <w:t>85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位、</w:t>
      </w:r>
      <w:r>
        <w:rPr>
          <w:rFonts w:hint="default" w:ascii="Times New Roman" w:hAnsi="Times New Roman" w:eastAsia="方正仿宋_GBK" w:cs="Times New Roman"/>
          <w:b w:val="0"/>
          <w:bCs w:val="0"/>
          <w:caps w:val="0"/>
          <w:color w:val="auto"/>
          <w:kern w:val="2"/>
          <w:sz w:val="32"/>
          <w:szCs w:val="32"/>
          <w:vertAlign w:val="baseline"/>
          <w:lang w:val="en-US" w:eastAsia="zh-CN" w:bidi="ar"/>
        </w:rPr>
        <w:t>52</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位和</w:t>
      </w:r>
      <w:r>
        <w:rPr>
          <w:rFonts w:hint="default" w:ascii="Times New Roman" w:hAnsi="Times New Roman" w:eastAsia="方正仿宋_GBK" w:cs="Times New Roman"/>
          <w:b w:val="0"/>
          <w:bCs w:val="0"/>
          <w:caps w:val="0"/>
          <w:color w:val="auto"/>
          <w:kern w:val="2"/>
          <w:sz w:val="32"/>
          <w:szCs w:val="32"/>
          <w:vertAlign w:val="baseline"/>
          <w:lang w:val="en-US" w:eastAsia="zh-CN" w:bidi="ar"/>
        </w:rPr>
        <w:t>7</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位。</w:t>
      </w:r>
    </w:p>
    <w:p w14:paraId="221C9A12">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2"/>
          <w:sz w:val="32"/>
          <w:szCs w:val="32"/>
          <w:vertAlign w:val="baseline"/>
          <w:lang w:val="en-US" w:eastAsia="zh-CN" w:bidi="ar"/>
        </w:rPr>
        <w:t>三是</w:t>
      </w:r>
      <w:r>
        <w:rPr>
          <w:rFonts w:hint="eastAsia" w:ascii="方正仿宋_GBK" w:hAnsi="方正仿宋_GBK" w:eastAsia="方正仿宋_GBK" w:cs="方正仿宋_GBK"/>
          <w:b w:val="0"/>
          <w:bCs/>
          <w:caps w:val="0"/>
          <w:color w:val="auto"/>
          <w:kern w:val="2"/>
          <w:sz w:val="32"/>
          <w:szCs w:val="32"/>
          <w:vertAlign w:val="baseline"/>
          <w:lang w:val="en-US" w:eastAsia="zh-CN" w:bidi="ar"/>
        </w:rPr>
        <w:t>生育友好环境不断巩固。</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出台《攀枝花市“五位一体”生育友好集成改革的十二条措施》，制定《攀枝花市发放托育补贴券实施办法》《攀枝花市普惠托育机构认定和补助管理实施细则》等配套政策，修订《攀枝花市育儿补贴金实施方案》，全市</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年发放育儿补贴金</w:t>
      </w:r>
      <w:r>
        <w:rPr>
          <w:rFonts w:hint="default" w:ascii="Times New Roman" w:hAnsi="Times New Roman" w:eastAsia="方正仿宋_GBK" w:cs="Times New Roman"/>
          <w:b w:val="0"/>
          <w:bCs w:val="0"/>
          <w:caps w:val="0"/>
          <w:color w:val="auto"/>
          <w:kern w:val="2"/>
          <w:sz w:val="32"/>
          <w:szCs w:val="32"/>
          <w:vertAlign w:val="baseline"/>
          <w:lang w:val="en-US" w:eastAsia="zh-CN" w:bidi="ar"/>
        </w:rPr>
        <w:t>6894</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24</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万元，惠及</w:t>
      </w:r>
      <w:r>
        <w:rPr>
          <w:rFonts w:hint="default" w:ascii="Times New Roman" w:hAnsi="Times New Roman" w:eastAsia="方正仿宋_GBK" w:cs="Times New Roman"/>
          <w:b w:val="0"/>
          <w:bCs w:val="0"/>
          <w:caps w:val="0"/>
          <w:color w:val="auto"/>
          <w:kern w:val="2"/>
          <w:sz w:val="32"/>
          <w:szCs w:val="32"/>
          <w:vertAlign w:val="baseline"/>
          <w:lang w:val="en-US" w:eastAsia="zh-CN" w:bidi="ar"/>
        </w:rPr>
        <w:t>21361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人。改扩建市实验幼儿园</w:t>
      </w:r>
      <w:r>
        <w:rPr>
          <w:rFonts w:hint="default" w:ascii="Times New Roman" w:hAnsi="Times New Roman" w:eastAsia="方正仿宋_GBK" w:cs="Times New Roman"/>
          <w:b w:val="0"/>
          <w:bCs w:val="0"/>
          <w:caps w:val="0"/>
          <w:color w:val="auto"/>
          <w:kern w:val="2"/>
          <w:sz w:val="32"/>
          <w:szCs w:val="32"/>
          <w:vertAlign w:val="baseline"/>
          <w:lang w:val="en-US" w:eastAsia="zh-CN" w:bidi="ar"/>
        </w:rPr>
        <w:t>40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个托位，争取中央预算内投资</w:t>
      </w:r>
      <w:r>
        <w:rPr>
          <w:rFonts w:hint="default" w:ascii="Times New Roman" w:hAnsi="Times New Roman" w:eastAsia="方正仿宋_GBK" w:cs="Times New Roman"/>
          <w:b w:val="0"/>
          <w:bCs w:val="0"/>
          <w:caps w:val="0"/>
          <w:color w:val="auto"/>
          <w:kern w:val="2"/>
          <w:sz w:val="32"/>
          <w:szCs w:val="32"/>
          <w:vertAlign w:val="baseline"/>
          <w:lang w:val="en-US" w:eastAsia="zh-CN" w:bidi="ar"/>
        </w:rPr>
        <w:t>1248</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 xml:space="preserve">万元新建东区托育指导中心。    </w:t>
      </w:r>
    </w:p>
    <w:p w14:paraId="1066AFD9">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2"/>
          <w:sz w:val="32"/>
          <w:szCs w:val="32"/>
          <w:vertAlign w:val="baseline"/>
          <w:lang w:val="en-US" w:eastAsia="zh-CN" w:bidi="ar"/>
        </w:rPr>
        <w:t>四是</w:t>
      </w:r>
      <w:r>
        <w:rPr>
          <w:rFonts w:hint="eastAsia" w:ascii="方正仿宋_GBK" w:hAnsi="方正仿宋_GBK" w:eastAsia="方正仿宋_GBK" w:cs="方正仿宋_GBK"/>
          <w:b w:val="0"/>
          <w:bCs/>
          <w:caps w:val="0"/>
          <w:color w:val="auto"/>
          <w:kern w:val="2"/>
          <w:sz w:val="32"/>
          <w:szCs w:val="32"/>
          <w:vertAlign w:val="baseline"/>
          <w:lang w:val="en-US" w:eastAsia="zh-CN" w:bidi="ar"/>
        </w:rPr>
        <w:t>区域医疗中心建设持续推进。</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全面实施临床重点专科培优提质行动，与华西医院合作共建神经疾病专家工作站，新增国家标准化心脏康复中心</w:t>
      </w:r>
      <w:r>
        <w:rPr>
          <w:rFonts w:hint="default" w:ascii="Times New Roman" w:hAnsi="Times New Roman" w:eastAsia="方正仿宋_GBK" w:cs="Times New Roman"/>
          <w:b w:val="0"/>
          <w:bCs w:val="0"/>
          <w:caps w:val="0"/>
          <w:color w:val="auto"/>
          <w:kern w:val="2"/>
          <w:sz w:val="32"/>
          <w:szCs w:val="32"/>
          <w:vertAlign w:val="baseline"/>
          <w:lang w:val="en-US" w:eastAsia="zh-CN" w:bidi="ar"/>
        </w:rPr>
        <w:t>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个、立项省级临床重点专科</w:t>
      </w:r>
      <w:r>
        <w:rPr>
          <w:rFonts w:hint="default" w:ascii="Times New Roman" w:hAnsi="Times New Roman" w:eastAsia="方正仿宋_GBK" w:cs="Times New Roman"/>
          <w:b w:val="0"/>
          <w:bCs w:val="0"/>
          <w:caps w:val="0"/>
          <w:color w:val="auto"/>
          <w:kern w:val="2"/>
          <w:sz w:val="32"/>
          <w:szCs w:val="32"/>
          <w:vertAlign w:val="baseline"/>
          <w:lang w:val="en-US" w:eastAsia="zh-CN" w:bidi="ar"/>
        </w:rPr>
        <w:t>2</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个，启动建设市、县临床重点专科</w:t>
      </w:r>
      <w:r>
        <w:rPr>
          <w:rFonts w:hint="default" w:ascii="Times New Roman" w:hAnsi="Times New Roman" w:eastAsia="方正仿宋_GBK" w:cs="Times New Roman"/>
          <w:b w:val="0"/>
          <w:bCs w:val="0"/>
          <w:caps w:val="0"/>
          <w:color w:val="auto"/>
          <w:kern w:val="2"/>
          <w:sz w:val="32"/>
          <w:szCs w:val="32"/>
          <w:vertAlign w:val="baseline"/>
          <w:lang w:val="en-US" w:eastAsia="zh-CN" w:bidi="ar"/>
        </w:rPr>
        <w:t>16</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个和市级专病诊疗中心</w:t>
      </w:r>
      <w:r>
        <w:rPr>
          <w:rFonts w:hint="default" w:ascii="Times New Roman" w:hAnsi="Times New Roman" w:eastAsia="方正仿宋_GBK" w:cs="Times New Roman"/>
          <w:b w:val="0"/>
          <w:bCs w:val="0"/>
          <w:caps w:val="0"/>
          <w:color w:val="auto"/>
          <w:kern w:val="2"/>
          <w:sz w:val="32"/>
          <w:szCs w:val="32"/>
          <w:vertAlign w:val="baseline"/>
          <w:lang w:val="en-US" w:eastAsia="zh-CN" w:bidi="ar"/>
        </w:rPr>
        <w:t>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个，成功获批省级骨科、老年、精神疾病区域医疗中心，全市</w:t>
      </w:r>
      <w:r>
        <w:rPr>
          <w:rFonts w:hint="default" w:ascii="Times New Roman" w:hAnsi="Times New Roman" w:eastAsia="方正仿宋_GBK" w:cs="Times New Roman"/>
          <w:b w:val="0"/>
          <w:bCs w:val="0"/>
          <w:caps w:val="0"/>
          <w:color w:val="auto"/>
          <w:kern w:val="2"/>
          <w:sz w:val="32"/>
          <w:szCs w:val="32"/>
          <w:vertAlign w:val="baseline"/>
          <w:lang w:val="en-US" w:eastAsia="zh-CN" w:bidi="ar"/>
        </w:rPr>
        <w:t>2</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家三级医院、</w:t>
      </w:r>
      <w:r>
        <w:rPr>
          <w:rFonts w:hint="default" w:ascii="Times New Roman" w:hAnsi="Times New Roman" w:eastAsia="方正仿宋_GBK" w:cs="Times New Roman"/>
          <w:b w:val="0"/>
          <w:bCs w:val="0"/>
          <w:caps w:val="0"/>
          <w:color w:val="auto"/>
          <w:kern w:val="2"/>
          <w:sz w:val="32"/>
          <w:szCs w:val="32"/>
          <w:vertAlign w:val="baseline"/>
          <w:lang w:val="en-US" w:eastAsia="zh-CN" w:bidi="ar"/>
        </w:rPr>
        <w:t>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家二级医院获评国家公立医院绩效监测A等次，三级医院市外住院患者占比达</w:t>
      </w:r>
      <w:r>
        <w:rPr>
          <w:rFonts w:hint="default" w:ascii="Times New Roman" w:hAnsi="Times New Roman" w:eastAsia="方正仿宋_GBK" w:cs="Times New Roman"/>
          <w:b w:val="0"/>
          <w:bCs w:val="0"/>
          <w:caps w:val="0"/>
          <w:color w:val="auto"/>
          <w:kern w:val="2"/>
          <w:sz w:val="32"/>
          <w:szCs w:val="32"/>
          <w:vertAlign w:val="baseline"/>
          <w:lang w:val="en-US" w:eastAsia="zh-CN" w:bidi="ar"/>
        </w:rPr>
        <w:t>31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%以上。持续提升基层医疗服务能力，全市</w:t>
      </w:r>
      <w:r>
        <w:rPr>
          <w:rFonts w:hint="default" w:ascii="Times New Roman" w:hAnsi="Times New Roman" w:eastAsia="方正仿宋_GBK" w:cs="Times New Roman"/>
          <w:b w:val="0"/>
          <w:bCs w:val="0"/>
          <w:caps w:val="0"/>
          <w:color w:val="auto"/>
          <w:kern w:val="2"/>
          <w:sz w:val="32"/>
          <w:szCs w:val="32"/>
          <w:vertAlign w:val="baseline"/>
          <w:lang w:val="en-US" w:eastAsia="zh-CN" w:bidi="ar"/>
        </w:rPr>
        <w:t>51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家基层医疗卫生机构“优质服务基层行”基本标准达标率</w:t>
      </w:r>
      <w:r>
        <w:rPr>
          <w:rFonts w:hint="default" w:ascii="Times New Roman" w:hAnsi="Times New Roman" w:eastAsia="方正仿宋_GBK" w:cs="Times New Roman"/>
          <w:b w:val="0"/>
          <w:bCs w:val="0"/>
          <w:caps w:val="0"/>
          <w:color w:val="auto"/>
          <w:kern w:val="2"/>
          <w:sz w:val="32"/>
          <w:szCs w:val="32"/>
          <w:vertAlign w:val="baseline"/>
          <w:lang w:val="en-US" w:eastAsia="zh-CN" w:bidi="ar"/>
        </w:rPr>
        <w:t>100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%，累计建成推荐标准机构</w:t>
      </w:r>
      <w:r>
        <w:rPr>
          <w:rFonts w:hint="default" w:ascii="Times New Roman" w:hAnsi="Times New Roman" w:eastAsia="方正仿宋_GBK" w:cs="Times New Roman"/>
          <w:b w:val="0"/>
          <w:bCs w:val="0"/>
          <w:caps w:val="0"/>
          <w:color w:val="auto"/>
          <w:kern w:val="2"/>
          <w:sz w:val="32"/>
          <w:szCs w:val="32"/>
          <w:vertAlign w:val="baseline"/>
          <w:lang w:val="en-US" w:eastAsia="zh-CN" w:bidi="ar"/>
        </w:rPr>
        <w:t>11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家（占比达</w:t>
      </w:r>
      <w:r>
        <w:rPr>
          <w:rFonts w:hint="default" w:ascii="Times New Roman" w:hAnsi="Times New Roman" w:eastAsia="方正仿宋_GBK" w:cs="Times New Roman"/>
          <w:b w:val="0"/>
          <w:bCs w:val="0"/>
          <w:caps w:val="0"/>
          <w:color w:val="auto"/>
          <w:kern w:val="2"/>
          <w:sz w:val="32"/>
          <w:szCs w:val="32"/>
          <w:vertAlign w:val="baseline"/>
          <w:lang w:val="en-US" w:eastAsia="zh-CN" w:bidi="ar"/>
        </w:rPr>
        <w:t>21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57</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%），建成社区医院</w:t>
      </w:r>
      <w:r>
        <w:rPr>
          <w:rFonts w:hint="default" w:ascii="Times New Roman" w:hAnsi="Times New Roman" w:eastAsia="方正仿宋_GBK" w:cs="Times New Roman"/>
          <w:b w:val="0"/>
          <w:bCs w:val="0"/>
          <w:caps w:val="0"/>
          <w:color w:val="auto"/>
          <w:kern w:val="2"/>
          <w:sz w:val="32"/>
          <w:szCs w:val="32"/>
          <w:vertAlign w:val="baseline"/>
          <w:lang w:val="en-US" w:eastAsia="zh-CN" w:bidi="ar"/>
        </w:rPr>
        <w:t>6</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家（占比达</w:t>
      </w:r>
      <w:r>
        <w:rPr>
          <w:rFonts w:hint="default" w:ascii="Times New Roman" w:hAnsi="Times New Roman" w:eastAsia="方正仿宋_GBK" w:cs="Times New Roman"/>
          <w:b w:val="0"/>
          <w:bCs w:val="0"/>
          <w:caps w:val="0"/>
          <w:color w:val="auto"/>
          <w:kern w:val="2"/>
          <w:sz w:val="32"/>
          <w:szCs w:val="32"/>
          <w:vertAlign w:val="baseline"/>
          <w:lang w:val="en-US" w:eastAsia="zh-CN" w:bidi="ar"/>
        </w:rPr>
        <w:t>11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76</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p>
    <w:p w14:paraId="196102E0">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2"/>
          <w:sz w:val="32"/>
          <w:szCs w:val="32"/>
          <w:vertAlign w:val="baseline"/>
          <w:lang w:val="en-US" w:eastAsia="zh-CN" w:bidi="ar"/>
        </w:rPr>
        <w:t>五是</w:t>
      </w:r>
      <w:r>
        <w:rPr>
          <w:rFonts w:hint="eastAsia" w:ascii="方正仿宋_GBK" w:hAnsi="方正仿宋_GBK" w:eastAsia="方正仿宋_GBK" w:cs="方正仿宋_GBK"/>
          <w:b w:val="0"/>
          <w:bCs/>
          <w:caps w:val="0"/>
          <w:color w:val="auto"/>
          <w:kern w:val="2"/>
          <w:sz w:val="32"/>
          <w:szCs w:val="32"/>
          <w:vertAlign w:val="baseline"/>
          <w:lang w:val="en-US" w:eastAsia="zh-CN" w:bidi="ar"/>
        </w:rPr>
        <w:t>健康服务能力有效提升。</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扎实推进疾控机构等级达标创建，东区、西区、仁和区、盐边县疾控中心成功创建为二级甲等疾控机构，米易县疾控中心成功创建为三级乙等疾控机构。攀枝花市、市第四人民医院获批国家传染病防控医防协同医防融合试点。我市成为全国首批以立法形式建立健康影响评估制度的城市，</w:t>
      </w:r>
      <w:r>
        <w:rPr>
          <w:rFonts w:hint="default" w:ascii="Times New Roman" w:hAnsi="Times New Roman" w:eastAsia="方正仿宋_GBK" w:cs="Times New Roman"/>
          <w:b w:val="0"/>
          <w:bCs w:val="0"/>
          <w:caps w:val="0"/>
          <w:color w:val="auto"/>
          <w:kern w:val="2"/>
          <w:sz w:val="32"/>
          <w:szCs w:val="32"/>
          <w:vertAlign w:val="baseline"/>
          <w:lang w:val="en-US" w:eastAsia="zh-CN" w:bidi="ar"/>
        </w:rPr>
        <w:t>8</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月</w:t>
      </w:r>
      <w:r>
        <w:rPr>
          <w:rFonts w:hint="default" w:ascii="Times New Roman" w:hAnsi="Times New Roman" w:eastAsia="方正仿宋_GBK" w:cs="Times New Roman"/>
          <w:b w:val="0"/>
          <w:bCs w:val="0"/>
          <w:caps w:val="0"/>
          <w:color w:val="auto"/>
          <w:kern w:val="2"/>
          <w:sz w:val="32"/>
          <w:szCs w:val="32"/>
          <w:vertAlign w:val="baseline"/>
          <w:lang w:val="en-US" w:eastAsia="zh-CN" w:bidi="ar"/>
        </w:rPr>
        <w:t>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日起施行《攀枝花市健康影响评估办法》。开展“体重管理年”活动，在全市</w:t>
      </w:r>
      <w:r>
        <w:rPr>
          <w:rFonts w:hint="default" w:ascii="Times New Roman" w:hAnsi="Times New Roman" w:eastAsia="方正仿宋_GBK" w:cs="Times New Roman"/>
          <w:b w:val="0"/>
          <w:bCs w:val="0"/>
          <w:caps w:val="0"/>
          <w:color w:val="auto"/>
          <w:kern w:val="2"/>
          <w:sz w:val="32"/>
          <w:szCs w:val="32"/>
          <w:vertAlign w:val="baseline"/>
          <w:lang w:val="en-US" w:eastAsia="zh-CN" w:bidi="ar"/>
        </w:rPr>
        <w:t>8</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家二级及以上综合医院设立体重管理门诊或肥胖门诊。</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年全市法定传染病报告发病率</w:t>
      </w:r>
      <w:r>
        <w:rPr>
          <w:rFonts w:hint="default" w:ascii="Times New Roman" w:hAnsi="Times New Roman" w:eastAsia="方正仿宋_GBK" w:cs="Times New Roman"/>
          <w:b w:val="0"/>
          <w:bCs w:val="0"/>
          <w:caps w:val="0"/>
          <w:color w:val="auto"/>
          <w:kern w:val="2"/>
          <w:sz w:val="32"/>
          <w:szCs w:val="32"/>
          <w:vertAlign w:val="baseline"/>
          <w:lang w:val="en-US" w:eastAsia="zh-CN" w:bidi="ar"/>
        </w:rPr>
        <w:t>1077</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32</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10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万，预计居民健康素养水平为</w:t>
      </w:r>
      <w:r>
        <w:rPr>
          <w:rFonts w:hint="default" w:ascii="Times New Roman" w:hAnsi="Times New Roman" w:eastAsia="方正仿宋_GBK" w:cs="Times New Roman"/>
          <w:b w:val="0"/>
          <w:bCs w:val="0"/>
          <w:caps w:val="0"/>
          <w:color w:val="auto"/>
          <w:kern w:val="2"/>
          <w:sz w:val="32"/>
          <w:szCs w:val="32"/>
          <w:vertAlign w:val="baseline"/>
          <w:lang w:val="en-US" w:eastAsia="zh-CN" w:bidi="ar"/>
        </w:rPr>
        <w:t>36</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r>
        <w:rPr>
          <w:rFonts w:hint="default" w:ascii="Times New Roman" w:hAnsi="Times New Roman" w:eastAsia="方正仿宋_GBK" w:cs="Times New Roman"/>
          <w:b w:val="0"/>
          <w:bCs w:val="0"/>
          <w:caps w:val="0"/>
          <w:color w:val="auto"/>
          <w:kern w:val="2"/>
          <w:sz w:val="32"/>
          <w:szCs w:val="32"/>
          <w:vertAlign w:val="baseline"/>
          <w:lang w:val="en-US" w:eastAsia="zh-CN" w:bidi="ar"/>
        </w:rPr>
        <w:t>57</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个百分点。</w:t>
      </w:r>
    </w:p>
    <w:p w14:paraId="48E81658">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2"/>
          <w:sz w:val="32"/>
          <w:szCs w:val="32"/>
          <w:vertAlign w:val="baseline"/>
          <w:lang w:val="en-US" w:eastAsia="zh-CN" w:bidi="ar"/>
        </w:rPr>
        <w:t>六是</w:t>
      </w:r>
      <w:r>
        <w:rPr>
          <w:rFonts w:hint="eastAsia" w:ascii="方正仿宋_GBK" w:hAnsi="方正仿宋_GBK" w:eastAsia="方正仿宋_GBK" w:cs="方正仿宋_GBK"/>
          <w:b w:val="0"/>
          <w:bCs/>
          <w:caps w:val="0"/>
          <w:color w:val="auto"/>
          <w:kern w:val="2"/>
          <w:sz w:val="32"/>
          <w:szCs w:val="32"/>
          <w:vertAlign w:val="baseline"/>
          <w:lang w:val="en-US" w:eastAsia="zh-CN" w:bidi="ar"/>
        </w:rPr>
        <w:t>医疗卫生应急能力显著增强。</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完成攀钢集团总医院密地院区停机坪建设投用，增开“攀枝花—会理新安傣族乡”空中救援航线，覆盖川西南、滇西北</w:t>
      </w:r>
      <w:r>
        <w:rPr>
          <w:rFonts w:hint="default" w:ascii="Times New Roman" w:hAnsi="Times New Roman" w:eastAsia="方正仿宋_GBK" w:cs="Times New Roman"/>
          <w:b w:val="0"/>
          <w:bCs w:val="0"/>
          <w:caps w:val="0"/>
          <w:color w:val="auto"/>
          <w:kern w:val="2"/>
          <w:sz w:val="32"/>
          <w:szCs w:val="32"/>
          <w:vertAlign w:val="baseline"/>
          <w:lang w:val="en-US" w:eastAsia="zh-CN" w:bidi="ar"/>
        </w:rPr>
        <w:t>11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个市（县）的航空救援航线达到</w:t>
      </w:r>
      <w:r>
        <w:rPr>
          <w:rFonts w:hint="default" w:ascii="Times New Roman" w:hAnsi="Times New Roman" w:eastAsia="方正仿宋_GBK" w:cs="Times New Roman"/>
          <w:b w:val="0"/>
          <w:bCs w:val="0"/>
          <w:caps w:val="0"/>
          <w:color w:val="auto"/>
          <w:kern w:val="2"/>
          <w:sz w:val="32"/>
          <w:szCs w:val="32"/>
          <w:vertAlign w:val="baseline"/>
          <w:lang w:val="en-US" w:eastAsia="zh-CN" w:bidi="ar"/>
        </w:rPr>
        <w:t>23</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条，“空中</w:t>
      </w:r>
      <w:r>
        <w:rPr>
          <w:rFonts w:hint="default" w:ascii="Times New Roman" w:hAnsi="Times New Roman" w:eastAsia="方正仿宋_GBK" w:cs="Times New Roman"/>
          <w:b w:val="0"/>
          <w:bCs w:val="0"/>
          <w:caps w:val="0"/>
          <w:color w:val="auto"/>
          <w:kern w:val="2"/>
          <w:sz w:val="32"/>
          <w:szCs w:val="32"/>
          <w:vertAlign w:val="baseline"/>
          <w:lang w:val="en-US" w:eastAsia="zh-CN" w:bidi="ar"/>
        </w:rPr>
        <w:t>120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”全年执飞</w:t>
      </w:r>
      <w:r>
        <w:rPr>
          <w:rFonts w:hint="default" w:ascii="Times New Roman" w:hAnsi="Times New Roman" w:eastAsia="方正仿宋_GBK" w:cs="Times New Roman"/>
          <w:b w:val="0"/>
          <w:bCs w:val="0"/>
          <w:caps w:val="0"/>
          <w:color w:val="auto"/>
          <w:kern w:val="2"/>
          <w:sz w:val="32"/>
          <w:szCs w:val="32"/>
          <w:vertAlign w:val="baseline"/>
          <w:lang w:val="en-US" w:eastAsia="zh-CN" w:bidi="ar"/>
        </w:rPr>
        <w:t>60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余架次。组建市、县（区）两级应急背囊小分队</w:t>
      </w:r>
      <w:r>
        <w:rPr>
          <w:rFonts w:hint="default" w:ascii="Times New Roman" w:hAnsi="Times New Roman" w:eastAsia="方正仿宋_GBK" w:cs="Times New Roman"/>
          <w:b w:val="0"/>
          <w:bCs w:val="0"/>
          <w:caps w:val="0"/>
          <w:color w:val="auto"/>
          <w:kern w:val="2"/>
          <w:sz w:val="32"/>
          <w:szCs w:val="32"/>
          <w:vertAlign w:val="baseline"/>
          <w:lang w:val="en-US" w:eastAsia="zh-CN" w:bidi="ar"/>
        </w:rPr>
        <w:t>6</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支，选拔</w:t>
      </w:r>
      <w:r>
        <w:rPr>
          <w:rFonts w:hint="default" w:ascii="Times New Roman" w:hAnsi="Times New Roman" w:eastAsia="方正仿宋_GBK" w:cs="Times New Roman"/>
          <w:b w:val="0"/>
          <w:bCs w:val="0"/>
          <w:caps w:val="0"/>
          <w:color w:val="auto"/>
          <w:kern w:val="2"/>
          <w:sz w:val="32"/>
          <w:szCs w:val="32"/>
          <w:vertAlign w:val="baseline"/>
          <w:lang w:val="en-US" w:eastAsia="zh-CN" w:bidi="ar"/>
        </w:rPr>
        <w:t>39</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名队员成立攀枝花市航空医疗救护大队。首次实现与丽江市信息互通、资源调配、联合指挥等场景的跨区域地震灾害卫生应急演练。</w:t>
      </w:r>
    </w:p>
    <w:p w14:paraId="6C5EAF44">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2"/>
          <w:sz w:val="32"/>
          <w:szCs w:val="32"/>
          <w:vertAlign w:val="baseline"/>
          <w:lang w:val="en-US" w:eastAsia="zh-CN" w:bidi="ar"/>
        </w:rPr>
        <w:t>七是</w:t>
      </w:r>
      <w:r>
        <w:rPr>
          <w:rFonts w:hint="eastAsia" w:ascii="方正仿宋_GBK" w:hAnsi="方正仿宋_GBK" w:eastAsia="方正仿宋_GBK" w:cs="方正仿宋_GBK"/>
          <w:b w:val="0"/>
          <w:bCs/>
          <w:caps w:val="0"/>
          <w:color w:val="auto"/>
          <w:kern w:val="2"/>
          <w:sz w:val="32"/>
          <w:szCs w:val="32"/>
          <w:vertAlign w:val="baseline"/>
          <w:lang w:val="en-US" w:eastAsia="zh-CN" w:bidi="ar"/>
        </w:rPr>
        <w:t>患者就医体验全面提升。</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组织实施国家基本公共卫生服务项目，开展医疗服务“满意度提升年”行动，全面推广“互联网+护理服务”。所有二级以上医疗机构上线“康年年”医康护数智平台，发布基础护理、医疗专护等“群众点单、医护上门”居家服务</w:t>
      </w:r>
      <w:r>
        <w:rPr>
          <w:rFonts w:hint="default" w:ascii="Times New Roman" w:hAnsi="Times New Roman" w:eastAsia="方正仿宋_GBK" w:cs="Times New Roman"/>
          <w:b w:val="0"/>
          <w:bCs w:val="0"/>
          <w:caps w:val="0"/>
          <w:color w:val="auto"/>
          <w:kern w:val="2"/>
          <w:sz w:val="32"/>
          <w:szCs w:val="32"/>
          <w:vertAlign w:val="baseline"/>
          <w:lang w:val="en-US" w:eastAsia="zh-CN" w:bidi="ar"/>
        </w:rPr>
        <w:t>394</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项，实现“互联网+护理服务”县（区）全覆盖，今年来，累计服务群众</w:t>
      </w:r>
      <w:r>
        <w:rPr>
          <w:rFonts w:hint="default" w:ascii="Times New Roman" w:hAnsi="Times New Roman" w:eastAsia="方正仿宋_GBK" w:cs="Times New Roman"/>
          <w:b w:val="0"/>
          <w:bCs w:val="0"/>
          <w:caps w:val="0"/>
          <w:color w:val="auto"/>
          <w:kern w:val="2"/>
          <w:sz w:val="32"/>
          <w:szCs w:val="32"/>
          <w:vertAlign w:val="baseline"/>
          <w:lang w:val="en-US" w:eastAsia="zh-CN" w:bidi="ar"/>
        </w:rPr>
        <w:t>1500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余人次。</w:t>
      </w:r>
    </w:p>
    <w:p w14:paraId="4465DD4E">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2"/>
          <w:sz w:val="32"/>
          <w:szCs w:val="32"/>
          <w:vertAlign w:val="baseline"/>
          <w:lang w:val="en-US" w:eastAsia="zh-CN" w:bidi="ar"/>
        </w:rPr>
        <w:t>八是</w:t>
      </w:r>
      <w:r>
        <w:rPr>
          <w:rFonts w:hint="eastAsia" w:ascii="方正仿宋_GBK" w:hAnsi="方正仿宋_GBK" w:eastAsia="方正仿宋_GBK" w:cs="方正仿宋_GBK"/>
          <w:b w:val="0"/>
          <w:bCs/>
          <w:caps w:val="0"/>
          <w:color w:val="auto"/>
          <w:kern w:val="2"/>
          <w:sz w:val="32"/>
          <w:szCs w:val="32"/>
          <w:vertAlign w:val="baseline"/>
          <w:lang w:val="en-US" w:eastAsia="zh-CN" w:bidi="ar"/>
        </w:rPr>
        <w:t>中医药服务能力不断增强。</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遴选推荐国家、省级中医优势专科和中西医协同旗舰科室</w:t>
      </w:r>
      <w:r>
        <w:rPr>
          <w:rFonts w:hint="default" w:ascii="Times New Roman" w:hAnsi="Times New Roman" w:eastAsia="方正仿宋_GBK" w:cs="Times New Roman"/>
          <w:b w:val="0"/>
          <w:bCs w:val="0"/>
          <w:caps w:val="0"/>
          <w:color w:val="auto"/>
          <w:kern w:val="2"/>
          <w:sz w:val="32"/>
          <w:szCs w:val="32"/>
          <w:vertAlign w:val="baseline"/>
          <w:lang w:val="en-US" w:eastAsia="zh-CN" w:bidi="ar"/>
        </w:rPr>
        <w:t>12</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个，获批省级中医药科研专项课题</w:t>
      </w:r>
      <w:r>
        <w:rPr>
          <w:rFonts w:hint="default" w:ascii="Times New Roman" w:hAnsi="Times New Roman" w:eastAsia="方正仿宋_GBK" w:cs="Times New Roman"/>
          <w:b w:val="0"/>
          <w:bCs w:val="0"/>
          <w:caps w:val="0"/>
          <w:color w:val="auto"/>
          <w:kern w:val="2"/>
          <w:sz w:val="32"/>
          <w:szCs w:val="32"/>
          <w:vertAlign w:val="baseline"/>
          <w:lang w:val="en-US" w:eastAsia="zh-CN" w:bidi="ar"/>
        </w:rPr>
        <w:t>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项，新建省级名中医传承工作室</w:t>
      </w:r>
      <w:r>
        <w:rPr>
          <w:rFonts w:hint="default" w:ascii="Times New Roman" w:hAnsi="Times New Roman" w:eastAsia="方正仿宋_GBK" w:cs="Times New Roman"/>
          <w:b w:val="0"/>
          <w:bCs w:val="0"/>
          <w:caps w:val="0"/>
          <w:color w:val="auto"/>
          <w:kern w:val="2"/>
          <w:sz w:val="32"/>
          <w:szCs w:val="32"/>
          <w:vertAlign w:val="baseline"/>
          <w:lang w:val="en-US" w:eastAsia="zh-CN" w:bidi="ar"/>
        </w:rPr>
        <w:t>1</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个、县域中医医疗次中心</w:t>
      </w:r>
      <w:r>
        <w:rPr>
          <w:rFonts w:hint="default" w:ascii="Times New Roman" w:hAnsi="Times New Roman" w:eastAsia="方正仿宋_GBK" w:cs="Times New Roman"/>
          <w:b w:val="0"/>
          <w:bCs w:val="0"/>
          <w:caps w:val="0"/>
          <w:color w:val="auto"/>
          <w:kern w:val="2"/>
          <w:sz w:val="32"/>
          <w:szCs w:val="32"/>
          <w:vertAlign w:val="baseline"/>
          <w:lang w:val="en-US" w:eastAsia="zh-CN" w:bidi="ar"/>
        </w:rPr>
        <w:t>2</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个、县级中医治未病中心</w:t>
      </w:r>
      <w:r>
        <w:rPr>
          <w:rFonts w:hint="default" w:ascii="Times New Roman" w:hAnsi="Times New Roman" w:eastAsia="方正仿宋_GBK" w:cs="Times New Roman"/>
          <w:b w:val="0"/>
          <w:bCs w:val="0"/>
          <w:caps w:val="0"/>
          <w:color w:val="auto"/>
          <w:kern w:val="2"/>
          <w:sz w:val="32"/>
          <w:szCs w:val="32"/>
          <w:vertAlign w:val="baseline"/>
          <w:lang w:val="en-US" w:eastAsia="zh-CN" w:bidi="ar"/>
        </w:rPr>
        <w:t>2</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个，提档升级</w:t>
      </w:r>
      <w:r>
        <w:rPr>
          <w:rFonts w:hint="default" w:ascii="Times New Roman" w:hAnsi="Times New Roman" w:eastAsia="方正仿宋_GBK" w:cs="Times New Roman"/>
          <w:b w:val="0"/>
          <w:bCs w:val="0"/>
          <w:caps w:val="0"/>
          <w:color w:val="auto"/>
          <w:kern w:val="2"/>
          <w:sz w:val="32"/>
          <w:szCs w:val="32"/>
          <w:vertAlign w:val="baseline"/>
          <w:lang w:val="en-US" w:eastAsia="zh-CN" w:bidi="ar"/>
        </w:rPr>
        <w:t>6</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个乡镇卫生院中医馆，市级中医医疗机构域外患者占比达</w:t>
      </w:r>
      <w:r>
        <w:rPr>
          <w:rFonts w:hint="default" w:ascii="Times New Roman" w:hAnsi="Times New Roman" w:eastAsia="方正仿宋_GBK" w:cs="Times New Roman"/>
          <w:b w:val="0"/>
          <w:bCs w:val="0"/>
          <w:caps w:val="0"/>
          <w:color w:val="auto"/>
          <w:kern w:val="2"/>
          <w:sz w:val="32"/>
          <w:szCs w:val="32"/>
          <w:vertAlign w:val="baseline"/>
          <w:lang w:val="en-US" w:eastAsia="zh-CN" w:bidi="ar"/>
        </w:rPr>
        <w:t>40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%。建成攀枝花市智慧共享中药房，全年流转中药处方</w:t>
      </w:r>
      <w:r>
        <w:rPr>
          <w:rFonts w:hint="default" w:ascii="Times New Roman" w:hAnsi="Times New Roman" w:eastAsia="方正仿宋_GBK" w:cs="Times New Roman"/>
          <w:b w:val="0"/>
          <w:bCs w:val="0"/>
          <w:caps w:val="0"/>
          <w:color w:val="auto"/>
          <w:kern w:val="2"/>
          <w:sz w:val="32"/>
          <w:szCs w:val="32"/>
          <w:vertAlign w:val="baseline"/>
          <w:lang w:val="en-US" w:eastAsia="zh-CN" w:bidi="ar"/>
        </w:rPr>
        <w:t>6</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万余张，免费代煎、配送中药约</w:t>
      </w:r>
      <w:r>
        <w:rPr>
          <w:rFonts w:hint="default" w:ascii="Times New Roman" w:hAnsi="Times New Roman" w:eastAsia="方正仿宋_GBK" w:cs="Times New Roman"/>
          <w:b w:val="0"/>
          <w:bCs w:val="0"/>
          <w:caps w:val="0"/>
          <w:color w:val="auto"/>
          <w:kern w:val="2"/>
          <w:sz w:val="32"/>
          <w:szCs w:val="32"/>
          <w:vertAlign w:val="baseline"/>
          <w:lang w:val="en-US" w:eastAsia="zh-CN" w:bidi="ar"/>
        </w:rPr>
        <w:t>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万剂，服务患者</w:t>
      </w:r>
      <w:r>
        <w:rPr>
          <w:rFonts w:hint="default" w:ascii="Times New Roman" w:hAnsi="Times New Roman" w:eastAsia="方正仿宋_GBK" w:cs="Times New Roman"/>
          <w:b w:val="0"/>
          <w:bCs w:val="0"/>
          <w:caps w:val="0"/>
          <w:color w:val="auto"/>
          <w:kern w:val="2"/>
          <w:sz w:val="32"/>
          <w:szCs w:val="32"/>
          <w:vertAlign w:val="baseline"/>
          <w:lang w:val="en-US" w:eastAsia="zh-CN" w:bidi="ar"/>
        </w:rPr>
        <w:t>12</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万余人次。</w:t>
      </w:r>
    </w:p>
    <w:p w14:paraId="70CFC8F6">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2"/>
          <w:sz w:val="32"/>
          <w:szCs w:val="32"/>
          <w:vertAlign w:val="baseline"/>
          <w:lang w:val="en-US" w:eastAsia="zh-CN" w:bidi="ar"/>
        </w:rPr>
        <w:t>九是</w:t>
      </w:r>
      <w:r>
        <w:rPr>
          <w:rFonts w:hint="eastAsia" w:ascii="方正仿宋_GBK" w:hAnsi="方正仿宋_GBK" w:eastAsia="方正仿宋_GBK" w:cs="方正仿宋_GBK"/>
          <w:b w:val="0"/>
          <w:bCs/>
          <w:caps w:val="0"/>
          <w:color w:val="auto"/>
          <w:kern w:val="2"/>
          <w:sz w:val="32"/>
          <w:szCs w:val="32"/>
          <w:vertAlign w:val="baseline"/>
          <w:lang w:val="en-US" w:eastAsia="zh-CN" w:bidi="ar"/>
        </w:rPr>
        <w:t>医养结合服务供给不断丰富。</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在全省率先出台医养结合机构质量控制标准，组织专家对医养结合机构全覆盖开展质量控制。依托医康养护平台，推广“群众点单、医护上门”服务模式，开展基础护理、医疗专护、体检检测等上门服务</w:t>
      </w:r>
      <w:r>
        <w:rPr>
          <w:rFonts w:hint="default" w:ascii="Times New Roman" w:hAnsi="Times New Roman" w:eastAsia="方正仿宋_GBK" w:cs="Times New Roman"/>
          <w:b w:val="0"/>
          <w:bCs w:val="0"/>
          <w:caps w:val="0"/>
          <w:color w:val="auto"/>
          <w:kern w:val="2"/>
          <w:sz w:val="32"/>
          <w:szCs w:val="32"/>
          <w:vertAlign w:val="baseline"/>
          <w:lang w:val="en-US" w:eastAsia="zh-CN" w:bidi="ar"/>
        </w:rPr>
        <w:t>394</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项。市二医院成为全省医养服务人才培训基地，成功承办全国老年医学人才继续教育项目全省医养结合机构护士培训班。安宁疗护工作在全省交流经验，医养结合等工作被央视等媒体报道宣传，</w:t>
      </w:r>
      <w:r>
        <w:rPr>
          <w:rFonts w:hint="default" w:ascii="Times New Roman" w:hAnsi="Times New Roman" w:eastAsia="方正仿宋_GBK" w:cs="Times New Roman"/>
          <w:b w:val="0"/>
          <w:bCs w:val="0"/>
          <w:caps w:val="0"/>
          <w:color w:val="auto"/>
          <w:kern w:val="2"/>
          <w:sz w:val="32"/>
          <w:szCs w:val="32"/>
          <w:vertAlign w:val="baseline"/>
          <w:lang w:val="en-US" w:eastAsia="zh-CN" w:bidi="ar"/>
        </w:rPr>
        <w:t>2</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个案例入选四川省老年健康典型案例。</w:t>
      </w:r>
    </w:p>
    <w:p w14:paraId="437EBB32">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2"/>
          <w:sz w:val="32"/>
          <w:szCs w:val="32"/>
          <w:vertAlign w:val="baseline"/>
          <w:lang w:val="en-US" w:eastAsia="zh-CN" w:bidi="ar"/>
        </w:rPr>
        <w:t>十是</w:t>
      </w:r>
      <w:r>
        <w:rPr>
          <w:rFonts w:hint="eastAsia" w:ascii="方正仿宋_GBK" w:hAnsi="方正仿宋_GBK" w:eastAsia="方正仿宋_GBK" w:cs="方正仿宋_GBK"/>
          <w:b w:val="0"/>
          <w:bCs/>
          <w:caps w:val="0"/>
          <w:color w:val="auto"/>
          <w:kern w:val="2"/>
          <w:sz w:val="32"/>
          <w:szCs w:val="32"/>
          <w:vertAlign w:val="baseline"/>
          <w:lang w:val="en-US" w:eastAsia="zh-CN" w:bidi="ar"/>
        </w:rPr>
        <w:t>信息化建设水平进一步提升。</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建成市级互联网分院建设平台、市级检查检验共享互认平台，全市</w:t>
      </w:r>
      <w:r>
        <w:rPr>
          <w:rFonts w:hint="default" w:ascii="Times New Roman" w:hAnsi="Times New Roman" w:eastAsia="方正仿宋_GBK" w:cs="Times New Roman"/>
          <w:b w:val="0"/>
          <w:bCs w:val="0"/>
          <w:caps w:val="0"/>
          <w:color w:val="auto"/>
          <w:kern w:val="2"/>
          <w:sz w:val="32"/>
          <w:szCs w:val="32"/>
          <w:vertAlign w:val="baseline"/>
          <w:lang w:val="en-US" w:eastAsia="zh-CN" w:bidi="ar"/>
        </w:rPr>
        <w:t>13</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 xml:space="preserve"> 家二级及以上公立医疗机构接入平台。探索“AI+医疗”应用，市中西医结合医院、市中心医院、米易县人民医院等医院实现AI大模型在智能导诊、影像诊断、辅助决策中的应用。全市</w:t>
      </w:r>
      <w:r>
        <w:rPr>
          <w:rFonts w:hint="default" w:ascii="Times New Roman" w:hAnsi="Times New Roman" w:eastAsia="方正仿宋_GBK" w:cs="Times New Roman"/>
          <w:b w:val="0"/>
          <w:bCs w:val="0"/>
          <w:caps w:val="0"/>
          <w:color w:val="auto"/>
          <w:kern w:val="2"/>
          <w:sz w:val="32"/>
          <w:szCs w:val="32"/>
          <w:vertAlign w:val="baseline"/>
          <w:lang w:val="en-US" w:eastAsia="zh-CN" w:bidi="ar"/>
        </w:rPr>
        <w:t>80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%二级及以上公立医疗机构提供分时段预约诊疗、智能导医分诊、检查检验结果在线查询等线上便民服务。</w:t>
      </w:r>
    </w:p>
    <w:p w14:paraId="6D1FE312">
      <w:pPr>
        <w:keepNext w:val="0"/>
        <w:keepLines w:val="0"/>
        <w:pageBreakBefore w:val="0"/>
        <w:widowControl w:val="0"/>
        <w:suppressLineNumbers w:val="0"/>
        <w:suppressAutoHyphens w:val="0"/>
        <w:kinsoku/>
        <w:wordWrap/>
        <w:overflowPunct/>
        <w:topLinePunct w:val="0"/>
        <w:autoSpaceDE/>
        <w:autoSpaceDN w:val="0"/>
        <w:bidi w:val="0"/>
        <w:adjustRightInd/>
        <w:snapToGrid w:val="0"/>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2"/>
          <w:sz w:val="32"/>
          <w:szCs w:val="32"/>
          <w:vertAlign w:val="baseline"/>
          <w:lang w:val="en-US" w:eastAsia="zh-CN" w:bidi="ar"/>
        </w:rPr>
        <w:t>十一是</w:t>
      </w:r>
      <w:r>
        <w:rPr>
          <w:rFonts w:hint="eastAsia" w:ascii="方正仿宋_GBK" w:hAnsi="方正仿宋_GBK" w:eastAsia="方正仿宋_GBK" w:cs="方正仿宋_GBK"/>
          <w:b w:val="0"/>
          <w:bCs/>
          <w:caps w:val="0"/>
          <w:color w:val="auto"/>
          <w:kern w:val="2"/>
          <w:sz w:val="32"/>
          <w:szCs w:val="32"/>
          <w:vertAlign w:val="baseline"/>
          <w:lang w:val="en-US" w:eastAsia="zh-CN" w:bidi="ar"/>
        </w:rPr>
        <w:t>安全生产责任进一步压实。</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制定《</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年全市卫生健康系统安全生产工作要点》和加强安全生产工作的六条措施，指导医疗卫生机构修订完善安全生产主体责任清单、岗位责任清单、三级安全员工作制度等安全管理核心制度，逐级签订安全目标责任书</w:t>
      </w:r>
      <w:r>
        <w:rPr>
          <w:rFonts w:hint="default" w:ascii="Times New Roman" w:hAnsi="Times New Roman" w:eastAsia="方正仿宋_GBK" w:cs="Times New Roman"/>
          <w:b w:val="0"/>
          <w:bCs w:val="0"/>
          <w:caps w:val="0"/>
          <w:color w:val="auto"/>
          <w:kern w:val="2"/>
          <w:sz w:val="32"/>
          <w:szCs w:val="32"/>
          <w:vertAlign w:val="baseline"/>
          <w:lang w:val="en-US" w:eastAsia="zh-CN" w:bidi="ar"/>
        </w:rPr>
        <w:t>1300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余份。全系统</w:t>
      </w:r>
      <w:r>
        <w:rPr>
          <w:rFonts w:hint="default" w:ascii="Times New Roman" w:hAnsi="Times New Roman" w:eastAsia="方正仿宋_GBK" w:cs="Times New Roman"/>
          <w:b w:val="0"/>
          <w:bCs w:val="0"/>
          <w:caps w:val="0"/>
          <w:color w:val="auto"/>
          <w:kern w:val="2"/>
          <w:sz w:val="32"/>
          <w:szCs w:val="32"/>
          <w:vertAlign w:val="baseline"/>
          <w:lang w:val="en-US" w:eastAsia="zh-CN" w:bidi="ar"/>
        </w:rPr>
        <w:t>2025</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年开展安全应急演练</w:t>
      </w:r>
      <w:r>
        <w:rPr>
          <w:rFonts w:hint="default" w:ascii="Times New Roman" w:hAnsi="Times New Roman" w:eastAsia="方正仿宋_GBK" w:cs="Times New Roman"/>
          <w:b w:val="0"/>
          <w:bCs w:val="0"/>
          <w:caps w:val="0"/>
          <w:color w:val="auto"/>
          <w:kern w:val="2"/>
          <w:sz w:val="32"/>
          <w:szCs w:val="32"/>
          <w:vertAlign w:val="baseline"/>
          <w:lang w:val="en-US" w:eastAsia="zh-CN" w:bidi="ar"/>
        </w:rPr>
        <w:t>500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余次。全市二级以上公立医院警务室设置率达</w:t>
      </w:r>
      <w:r>
        <w:rPr>
          <w:rFonts w:hint="default" w:ascii="Times New Roman" w:hAnsi="Times New Roman" w:eastAsia="方正仿宋_GBK" w:cs="Times New Roman"/>
          <w:b w:val="0"/>
          <w:bCs w:val="0"/>
          <w:caps w:val="0"/>
          <w:color w:val="auto"/>
          <w:kern w:val="2"/>
          <w:sz w:val="32"/>
          <w:szCs w:val="32"/>
          <w:vertAlign w:val="baseline"/>
          <w:lang w:val="en-US" w:eastAsia="zh-CN" w:bidi="ar"/>
        </w:rPr>
        <w:t>100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%，X光机及安检门设置率达</w:t>
      </w:r>
      <w:r>
        <w:rPr>
          <w:rFonts w:hint="default" w:ascii="Times New Roman" w:hAnsi="Times New Roman" w:eastAsia="方正仿宋_GBK" w:cs="Times New Roman"/>
          <w:b w:val="0"/>
          <w:bCs w:val="0"/>
          <w:caps w:val="0"/>
          <w:color w:val="auto"/>
          <w:kern w:val="2"/>
          <w:sz w:val="32"/>
          <w:szCs w:val="32"/>
          <w:vertAlign w:val="baseline"/>
          <w:lang w:val="en-US" w:eastAsia="zh-CN" w:bidi="ar"/>
        </w:rPr>
        <w:t>100</w:t>
      </w:r>
      <w:r>
        <w:rPr>
          <w:rFonts w:hint="eastAsia" w:ascii="方正仿宋_GBK" w:hAnsi="方正仿宋_GBK" w:eastAsia="方正仿宋_GBK" w:cs="方正仿宋_GBK"/>
          <w:b w:val="0"/>
          <w:bCs w:val="0"/>
          <w:caps w:val="0"/>
          <w:color w:val="auto"/>
          <w:kern w:val="2"/>
          <w:sz w:val="32"/>
          <w:szCs w:val="32"/>
          <w:vertAlign w:val="baseline"/>
          <w:lang w:val="en-US" w:eastAsia="zh-CN" w:bidi="ar"/>
        </w:rPr>
        <w:t>%。</w:t>
      </w:r>
    </w:p>
    <w:p w14:paraId="26F68578">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.预算管理。</w:t>
      </w:r>
    </w:p>
    <w:p w14:paraId="485788E6">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0"/>
          <w:sz w:val="32"/>
          <w:szCs w:val="32"/>
          <w:shd w:val="clear" w:fill="FFFFFF"/>
          <w:vertAlign w:val="baseline"/>
          <w:lang w:val="en-US" w:eastAsia="zh-CN" w:bidi="ar"/>
        </w:rPr>
        <w:t>一是</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预算编制质量。严格按要求编制年初部门预算，预算偏离度</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w:t>
      </w:r>
      <w:r>
        <w:rPr>
          <w:rFonts w:hint="eastAsia" w:ascii="方正仿宋_GBK" w:hAnsi="方正仿宋_GBK" w:eastAsia="方正仿宋_GBK" w:cs="方正仿宋_GBK"/>
          <w:b/>
          <w:bCs/>
          <w:caps w:val="0"/>
          <w:color w:val="auto"/>
          <w:kern w:val="0"/>
          <w:sz w:val="32"/>
          <w:szCs w:val="32"/>
          <w:shd w:val="clear" w:fill="FFFFFF"/>
          <w:vertAlign w:val="baseline"/>
          <w:lang w:val="en-US" w:eastAsia="zh-CN" w:bidi="ar"/>
        </w:rPr>
        <w:t>二是</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支出执行进度。</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2025</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年预算执行率</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100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w:t>
      </w:r>
      <w:r>
        <w:rPr>
          <w:rFonts w:hint="eastAsia" w:ascii="方正仿宋_GBK" w:hAnsi="方正仿宋_GBK" w:eastAsia="方正仿宋_GBK" w:cs="方正仿宋_GBK"/>
          <w:b/>
          <w:bCs/>
          <w:caps w:val="0"/>
          <w:color w:val="auto"/>
          <w:kern w:val="0"/>
          <w:sz w:val="32"/>
          <w:szCs w:val="32"/>
          <w:shd w:val="clear" w:fill="FFFFFF"/>
          <w:vertAlign w:val="baseline"/>
          <w:lang w:val="en-US" w:eastAsia="zh-CN" w:bidi="ar"/>
        </w:rPr>
        <w:t>三是</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预算年终结余。部门及下属单位年终结余率</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w:t>
      </w:r>
      <w:r>
        <w:rPr>
          <w:rFonts w:hint="eastAsia" w:ascii="方正仿宋_GBK" w:hAnsi="方正仿宋_GBK" w:eastAsia="方正仿宋_GBK" w:cs="方正仿宋_GBK"/>
          <w:b/>
          <w:bCs/>
          <w:caps w:val="0"/>
          <w:color w:val="auto"/>
          <w:kern w:val="0"/>
          <w:sz w:val="32"/>
          <w:szCs w:val="32"/>
          <w:shd w:val="clear" w:fill="FFFFFF"/>
          <w:vertAlign w:val="baseline"/>
          <w:lang w:val="en-US" w:eastAsia="zh-CN" w:bidi="ar"/>
        </w:rPr>
        <w:t>四是</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严控一般性支出。部门及下属单位严控“三公”经费、会议、培训、差旅、办节办展、办公设备购置、信息网络及软件购置更新、课题经费等</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8</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项一般性支出情况，控制较好。</w:t>
      </w:r>
    </w:p>
    <w:p w14:paraId="79FFC7F6">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3</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.财务管理。</w:t>
      </w:r>
    </w:p>
    <w:p w14:paraId="77B014D2">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eastAsia" w:ascii="方正仿宋_GBK" w:hAnsi="方正仿宋_GBK" w:eastAsia="方正仿宋_GBK" w:cs="方正仿宋_GBK"/>
          <w:b/>
          <w:bCs/>
          <w:caps w:val="0"/>
          <w:color w:val="auto"/>
          <w:kern w:val="0"/>
          <w:sz w:val="32"/>
          <w:szCs w:val="32"/>
          <w:shd w:val="clear" w:fill="FFFFFF"/>
          <w:vertAlign w:val="baseline"/>
          <w:lang w:val="en-US" w:eastAsia="zh-CN" w:bidi="ar"/>
        </w:rPr>
        <w:t>一是</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建立了规范的财务管理制度。</w:t>
      </w:r>
      <w:r>
        <w:rPr>
          <w:rFonts w:hint="eastAsia" w:ascii="方正仿宋_GBK" w:hAnsi="方正仿宋_GBK" w:eastAsia="方正仿宋_GBK" w:cs="方正仿宋_GBK"/>
          <w:b/>
          <w:bCs/>
          <w:caps w:val="0"/>
          <w:color w:val="auto"/>
          <w:kern w:val="0"/>
          <w:sz w:val="32"/>
          <w:szCs w:val="32"/>
          <w:shd w:val="clear" w:fill="FFFFFF"/>
          <w:vertAlign w:val="baseline"/>
          <w:lang w:val="en-US" w:eastAsia="zh-CN" w:bidi="ar"/>
        </w:rPr>
        <w:t>二是</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财务岗位设置符合相关财务管理要求。</w:t>
      </w:r>
      <w:r>
        <w:rPr>
          <w:rFonts w:hint="eastAsia" w:ascii="方正仿宋_GBK" w:hAnsi="方正仿宋_GBK" w:eastAsia="方正仿宋_GBK" w:cs="方正仿宋_GBK"/>
          <w:b/>
          <w:bCs/>
          <w:caps w:val="0"/>
          <w:color w:val="auto"/>
          <w:kern w:val="0"/>
          <w:sz w:val="32"/>
          <w:szCs w:val="32"/>
          <w:shd w:val="clear" w:fill="FFFFFF"/>
          <w:vertAlign w:val="baseline"/>
          <w:lang w:val="en-US" w:eastAsia="zh-CN" w:bidi="ar"/>
        </w:rPr>
        <w:t>三是</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财政资金符合财务管理制度规定，严格执行国库集中支付、政府采购、公务卡结算等制度，专项资金专款专用，专账管理。</w:t>
      </w:r>
    </w:p>
    <w:p w14:paraId="20172616">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4</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.资产管理。</w:t>
      </w:r>
    </w:p>
    <w:p w14:paraId="29B746E1">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资产管理规范有序，超过最低使用年限但仍能使用的资产继续使用，无闲置资产，资产利用率较高，满足节约效率原则。</w:t>
      </w:r>
    </w:p>
    <w:p w14:paraId="5DF4C5B6">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5</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.采购管理。</w:t>
      </w:r>
    </w:p>
    <w:p w14:paraId="4FF0A8CD">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b/>
          <w:bCs/>
          <w:caps w:val="0"/>
          <w:color w:val="auto"/>
          <w:kern w:val="0"/>
          <w:sz w:val="32"/>
          <w:szCs w:val="32"/>
          <w:shd w:val="clear" w:fill="FFFFFF"/>
          <w:vertAlign w:val="baseline"/>
          <w:lang w:bidi="ar"/>
        </w:rPr>
      </w:pP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政府采购严格按照相关管理制度开展，在采购预算范围内进行采购，严格执行政府采购促进中小企业发展相关管理办法。</w:t>
      </w:r>
    </w:p>
    <w:p w14:paraId="58D1CE7E">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楷体_GBK" w:hAnsi="方正楷体_GBK" w:eastAsia="方正楷体_GBK" w:cs="方正楷体_GBK"/>
          <w:caps w:val="0"/>
          <w:color w:val="auto"/>
          <w:kern w:val="0"/>
          <w:sz w:val="32"/>
          <w:szCs w:val="32"/>
          <w:shd w:val="clear" w:fill="FFFFFF"/>
          <w:vertAlign w:val="baseline"/>
          <w:lang w:bidi="ar"/>
        </w:rPr>
      </w:pPr>
      <w:r>
        <w:rPr>
          <w:rFonts w:hint="eastAsia" w:ascii="方正楷体_GBK" w:hAnsi="方正楷体_GBK" w:eastAsia="方正楷体_GBK" w:cs="方正楷体_GBK"/>
          <w:b/>
          <w:bCs/>
          <w:caps w:val="0"/>
          <w:color w:val="auto"/>
          <w:kern w:val="0"/>
          <w:sz w:val="32"/>
          <w:szCs w:val="32"/>
          <w:shd w:val="clear" w:fill="FFFFFF"/>
          <w:vertAlign w:val="baseline"/>
          <w:lang w:val="en-US" w:eastAsia="zh-CN" w:bidi="ar"/>
        </w:rPr>
        <w:t>（二）部门预算项目绩效分析（本级）</w:t>
      </w:r>
    </w:p>
    <w:p w14:paraId="752E90C9">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常年项目绩效分析。该类项目总数</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个，涉及预算总金额</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27</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66</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万元，</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12</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月预算执行总体进度为</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100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 xml:space="preserve"> %，其中：预算结余率大于</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%的项目共计</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个。</w:t>
      </w:r>
    </w:p>
    <w:p w14:paraId="7BB8FA6D">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阶段（含一次性）项目绩效分析。该类项目总数</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个，涉及预算总金额</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3</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76</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万元，</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12</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月预算执行总体进度为</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100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%，其中：预算结余率大于</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%的项目共计</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个。</w:t>
      </w:r>
    </w:p>
    <w:p w14:paraId="22C97425">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.项目决策。部门预算项目履行事前评估，按规定申报。绩效目标设置科学合理、规范完整、量化细化，与预算匹配。项目在规定时间内完成项目入库。</w:t>
      </w:r>
    </w:p>
    <w:p w14:paraId="56F70C11">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.项目执行。部门预算项目实际列支内容与绩效目标设置方向相符。部门预算项目预算执行率</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100</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w:t>
      </w:r>
    </w:p>
    <w:p w14:paraId="139982DA">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3</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.目标实现。部门预算项目绩效目标数量指标按期完成。绩效目标实现程度与预期目标未发生偏离。</w:t>
      </w:r>
    </w:p>
    <w:p w14:paraId="031C412D">
      <w:pPr>
        <w:keepNext w:val="0"/>
        <w:keepLines w:val="0"/>
        <w:pageBreakBefore w:val="0"/>
        <w:widowControl w:val="0"/>
        <w:suppressLineNumbers w:val="0"/>
        <w:suppressAutoHyphens w:val="0"/>
        <w:kinsoku/>
        <w:wordWrap/>
        <w:overflowPunct/>
        <w:topLinePunct w:val="0"/>
        <w:autoSpaceDE/>
        <w:autoSpaceDN w:val="0"/>
        <w:bidi w:val="0"/>
        <w:adjustRightInd/>
        <w:snapToGrid w:val="0"/>
        <w:spacing w:before="0" w:beforeAutospacing="0" w:after="0" w:afterAutospacing="0" w:line="600" w:lineRule="exact"/>
        <w:ind w:left="0" w:right="0" w:firstLine="643" w:firstLineChars="200"/>
        <w:jc w:val="both"/>
        <w:outlineLvl w:val="9"/>
        <w:rPr>
          <w:rFonts w:hint="eastAsia" w:ascii="方正楷体_GBK" w:hAnsi="方正楷体_GBK" w:eastAsia="方正楷体_GBK" w:cs="方正楷体_GBK"/>
          <w:caps w:val="0"/>
          <w:color w:val="auto"/>
          <w:kern w:val="0"/>
          <w:sz w:val="32"/>
          <w:szCs w:val="32"/>
          <w:shd w:val="clear" w:fill="FFFFFF"/>
          <w:vertAlign w:val="baseline"/>
          <w:lang w:bidi="ar"/>
        </w:rPr>
      </w:pPr>
      <w:r>
        <w:rPr>
          <w:rFonts w:hint="eastAsia" w:ascii="方正楷体_GBK" w:hAnsi="方正楷体_GBK" w:eastAsia="方正楷体_GBK" w:cs="方正楷体_GBK"/>
          <w:b/>
          <w:bCs/>
          <w:caps w:val="0"/>
          <w:color w:val="auto"/>
          <w:kern w:val="0"/>
          <w:sz w:val="32"/>
          <w:szCs w:val="32"/>
          <w:shd w:val="clear" w:fill="FFFFFF"/>
          <w:vertAlign w:val="baseline"/>
          <w:lang w:val="en-US" w:eastAsia="zh-CN" w:bidi="ar"/>
        </w:rPr>
        <w:t>（三）</w:t>
      </w:r>
      <w:r>
        <w:rPr>
          <w:rFonts w:hint="eastAsia" w:ascii="方正楷体_GBK" w:hAnsi="方正楷体_GBK" w:eastAsia="方正楷体_GBK" w:cs="方正楷体_GBK"/>
          <w:b/>
          <w:bCs/>
          <w:caps w:val="0"/>
          <w:color w:val="auto"/>
          <w:kern w:val="2"/>
          <w:sz w:val="32"/>
          <w:szCs w:val="32"/>
          <w:vertAlign w:val="baseline"/>
          <w:lang w:val="en-US" w:eastAsia="zh-CN" w:bidi="ar"/>
        </w:rPr>
        <w:t>绩效结果应用情况</w:t>
      </w:r>
    </w:p>
    <w:p w14:paraId="27D10310">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bCs/>
          <w:caps w:val="0"/>
          <w:color w:val="auto"/>
          <w:kern w:val="0"/>
          <w:sz w:val="32"/>
          <w:szCs w:val="32"/>
          <w:shd w:val="clear" w:fill="FFFFFF"/>
          <w:vertAlign w:val="baseline"/>
          <w:lang w:val="en-US" w:eastAsia="zh-CN" w:bidi="ar"/>
        </w:rPr>
        <w:t>一是</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按照中央、省、市关于全面实施预算绩效管理的要求，我委对一般公共预算财政拨款、政府性基金预算财政拨款、国有资本经营预算进行了绩效自评，并将自评结果应用于下一年资金分配。</w:t>
      </w:r>
      <w:r>
        <w:rPr>
          <w:rFonts w:hint="eastAsia" w:ascii="方正仿宋_GBK" w:hAnsi="方正仿宋_GBK" w:eastAsia="方正仿宋_GBK" w:cs="方正仿宋_GBK"/>
          <w:b/>
          <w:bCs/>
          <w:caps w:val="0"/>
          <w:color w:val="auto"/>
          <w:kern w:val="0"/>
          <w:sz w:val="32"/>
          <w:szCs w:val="32"/>
          <w:shd w:val="clear" w:fill="FFFFFF"/>
          <w:vertAlign w:val="baseline"/>
          <w:lang w:val="en-US" w:eastAsia="zh-CN" w:bidi="ar"/>
        </w:rPr>
        <w:t>二是</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在对</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2025</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年项目资金进行分配时，市卫生健康委充分结合</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2024</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年度各项目单位工作完成情况、市级绩效评价结果排名情况，各县（区）服务人口数量、服务成本等因素，对</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2025</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年中央补助资金和省级补助资金进行统筹分配，项目资金向工作任务完成得好的项目单位倾斜。</w:t>
      </w:r>
    </w:p>
    <w:p w14:paraId="0611E0BD">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黑体_GBK" w:hAnsi="方正黑体_GBK" w:eastAsia="方正黑体_GBK" w:cs="方正黑体_GBK"/>
          <w:caps w:val="0"/>
          <w:color w:val="auto"/>
          <w:kern w:val="0"/>
          <w:sz w:val="32"/>
          <w:szCs w:val="32"/>
          <w:shd w:val="clear" w:fill="FFFFFF"/>
          <w:vertAlign w:val="baseline"/>
          <w:lang w:bidi="ar"/>
        </w:rPr>
      </w:pPr>
      <w:r>
        <w:rPr>
          <w:rFonts w:hint="eastAsia" w:ascii="方正黑体_GBK" w:hAnsi="方正黑体_GBK" w:eastAsia="方正黑体_GBK" w:cs="方正黑体_GBK"/>
          <w:b w:val="0"/>
          <w:bCs w:val="0"/>
          <w:caps w:val="0"/>
          <w:color w:val="auto"/>
          <w:kern w:val="0"/>
          <w:sz w:val="32"/>
          <w:szCs w:val="32"/>
          <w:shd w:val="clear" w:fill="FFFFFF"/>
          <w:vertAlign w:val="baseline"/>
          <w:lang w:val="en-US" w:eastAsia="zh-CN" w:bidi="ar"/>
        </w:rPr>
        <w:t>四、评价结论及建议</w:t>
      </w:r>
    </w:p>
    <w:p w14:paraId="3886C324">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楷体_GBK" w:hAnsi="方正楷体_GBK" w:eastAsia="方正楷体_GBK" w:cs="方正楷体_GBK"/>
          <w:b/>
          <w:bCs/>
          <w:caps w:val="0"/>
          <w:color w:val="auto"/>
          <w:kern w:val="0"/>
          <w:sz w:val="32"/>
          <w:szCs w:val="32"/>
          <w:vertAlign w:val="baseline"/>
          <w:lang w:bidi="ar"/>
        </w:rPr>
      </w:pPr>
      <w:r>
        <w:rPr>
          <w:rFonts w:hint="eastAsia" w:ascii="方正楷体_GBK" w:hAnsi="方正楷体_GBK" w:eastAsia="方正楷体_GBK" w:cs="方正楷体_GBK"/>
          <w:b/>
          <w:bCs/>
          <w:caps w:val="0"/>
          <w:color w:val="auto"/>
          <w:kern w:val="0"/>
          <w:sz w:val="32"/>
          <w:szCs w:val="32"/>
          <w:shd w:val="clear" w:fill="FFFFFF"/>
          <w:vertAlign w:val="baseline"/>
          <w:lang w:val="en-US" w:eastAsia="zh-CN" w:bidi="ar"/>
        </w:rPr>
        <w:t>（一）评价结论</w:t>
      </w:r>
    </w:p>
    <w:p w14:paraId="65DFFDC6">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2"/>
          <w:sz w:val="32"/>
          <w:szCs w:val="32"/>
          <w:vertAlign w:val="baseline"/>
          <w:lang w:bidi="ar"/>
        </w:rPr>
      </w:pP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市卫生健康委</w:t>
      </w:r>
      <w:r>
        <w:rPr>
          <w:rFonts w:hint="default" w:ascii="Times New Roman" w:hAnsi="Times New Roman" w:eastAsia="方正仿宋_GBK" w:cs="Times New Roman"/>
          <w:b w:val="0"/>
          <w:bCs w:val="0"/>
          <w:caps w:val="0"/>
          <w:color w:val="auto"/>
          <w:kern w:val="0"/>
          <w:sz w:val="32"/>
          <w:szCs w:val="32"/>
          <w:shd w:val="clear" w:fill="FFFFFF"/>
          <w:vertAlign w:val="baseline"/>
          <w:lang w:val="en-US" w:eastAsia="zh-CN" w:bidi="ar"/>
        </w:rPr>
        <w:t>2025</w:t>
      </w: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年整体支出保障了部门的有效运转和卫生健康相关工作的开展，医疗卫生机构紧紧围绕部门预算绩效目标，有序推进卫生健康工作，有效发挥职能职责，预算执行规范，资金使用安全，绩效目标基本完成。市卫生健康委制定直达资金通报制度，切实加快预算资金的执行进度，提高资金使用效率，组织开展中央对地方转移支付预算执行情况绩效自评工作，资金执行率较高，评价结论较好，医疗卫生服务能力持续提升。</w:t>
      </w:r>
    </w:p>
    <w:p w14:paraId="0F3536CE">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楷体_GBK" w:hAnsi="方正楷体_GBK" w:eastAsia="方正楷体_GBK" w:cs="方正楷体_GBK"/>
          <w:b/>
          <w:bCs/>
          <w:caps w:val="0"/>
          <w:color w:val="auto"/>
          <w:kern w:val="0"/>
          <w:sz w:val="32"/>
          <w:szCs w:val="32"/>
          <w:shd w:val="clear" w:fill="FFFFFF"/>
          <w:vertAlign w:val="baseline"/>
          <w:lang w:bidi="ar"/>
        </w:rPr>
      </w:pPr>
      <w:r>
        <w:rPr>
          <w:rFonts w:hint="eastAsia" w:ascii="方正楷体_GBK" w:hAnsi="方正楷体_GBK" w:eastAsia="方正楷体_GBK" w:cs="方正楷体_GBK"/>
          <w:b/>
          <w:bCs/>
          <w:caps w:val="0"/>
          <w:color w:val="auto"/>
          <w:kern w:val="0"/>
          <w:sz w:val="32"/>
          <w:szCs w:val="32"/>
          <w:shd w:val="clear" w:fill="FFFFFF"/>
          <w:vertAlign w:val="baseline"/>
          <w:lang w:val="en-US" w:eastAsia="zh-CN" w:bidi="ar"/>
        </w:rPr>
        <w:t>（二）存在问题</w:t>
      </w:r>
    </w:p>
    <w:p w14:paraId="71C17089">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rPr>
          <w:rFonts w:hint="eastAsia" w:ascii="方正仿宋_GBK" w:hAnsi="方正仿宋_GBK" w:eastAsia="方正仿宋_GBK" w:cs="方正仿宋_GBK"/>
          <w:caps w:val="0"/>
          <w:color w:val="auto"/>
          <w:kern w:val="0"/>
          <w:sz w:val="32"/>
          <w:szCs w:val="32"/>
          <w:shd w:val="clear" w:fill="FFFFFF"/>
          <w:vertAlign w:val="baseline"/>
          <w:lang w:bidi="ar"/>
        </w:rPr>
      </w:pP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无。</w:t>
      </w:r>
    </w:p>
    <w:p w14:paraId="66A22C61">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3" w:firstLineChars="200"/>
        <w:jc w:val="both"/>
        <w:outlineLvl w:val="9"/>
        <w:rPr>
          <w:rFonts w:hint="eastAsia" w:ascii="方正楷体_GBK" w:hAnsi="方正楷体_GBK" w:eastAsia="方正楷体_GBK" w:cs="方正楷体_GBK"/>
          <w:b/>
          <w:bCs/>
          <w:caps w:val="0"/>
          <w:color w:val="auto"/>
          <w:kern w:val="0"/>
          <w:sz w:val="32"/>
          <w:szCs w:val="32"/>
          <w:shd w:val="clear" w:fill="FFFFFF"/>
          <w:vertAlign w:val="baseline"/>
          <w:lang w:bidi="ar"/>
        </w:rPr>
      </w:pPr>
      <w:r>
        <w:rPr>
          <w:rFonts w:hint="eastAsia" w:ascii="方正楷体_GBK" w:hAnsi="方正楷体_GBK" w:eastAsia="方正楷体_GBK" w:cs="方正楷体_GBK"/>
          <w:b/>
          <w:bCs/>
          <w:caps w:val="0"/>
          <w:color w:val="auto"/>
          <w:kern w:val="0"/>
          <w:sz w:val="32"/>
          <w:szCs w:val="32"/>
          <w:shd w:val="clear" w:fill="FFFFFF"/>
          <w:vertAlign w:val="baseline"/>
          <w:lang w:val="en-US" w:eastAsia="zh-CN" w:bidi="ar"/>
        </w:rPr>
        <w:t>（三）改进建议</w:t>
      </w:r>
    </w:p>
    <w:p w14:paraId="1A26B51E">
      <w:pPr>
        <w:keepNext w:val="0"/>
        <w:keepLines w:val="0"/>
        <w:pageBreakBefore w:val="0"/>
        <w:widowControl w:val="0"/>
        <w:suppressLineNumbers w:val="0"/>
        <w:suppressAutoHyphens w:val="0"/>
        <w:kinsoku/>
        <w:wordWrap/>
        <w:overflowPunct/>
        <w:topLinePunct w:val="0"/>
        <w:autoSpaceDE/>
        <w:autoSpaceDN w:val="0"/>
        <w:bidi w:val="0"/>
        <w:adjustRightInd w:val="0"/>
        <w:snapToGrid w:val="0"/>
        <w:spacing w:before="0" w:beforeAutospacing="0" w:after="0" w:afterAutospacing="0" w:line="600" w:lineRule="exact"/>
        <w:ind w:left="0" w:right="0" w:firstLine="640" w:firstLineChars="200"/>
        <w:jc w:val="both"/>
        <w:outlineLvl w:val="9"/>
      </w:pPr>
      <w:r>
        <w:rPr>
          <w:rFonts w:hint="eastAsia" w:ascii="方正仿宋_GBK" w:hAnsi="方正仿宋_GBK" w:eastAsia="方正仿宋_GBK" w:cs="方正仿宋_GBK"/>
          <w:b w:val="0"/>
          <w:bCs w:val="0"/>
          <w:caps w:val="0"/>
          <w:color w:val="auto"/>
          <w:kern w:val="0"/>
          <w:sz w:val="32"/>
          <w:szCs w:val="32"/>
          <w:shd w:val="clear" w:fill="FFFFFF"/>
          <w:vertAlign w:val="baseline"/>
          <w:lang w:val="en-US" w:eastAsia="zh-CN" w:bidi="ar"/>
        </w:rPr>
        <w:t>无。</w:t>
      </w:r>
    </w:p>
    <w:p w14:paraId="35437A23">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2D1C4EF0">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7782B045">
      <w:pPr>
        <w:pStyle w:val="8"/>
        <w:rPr>
          <w:rFonts w:hint="eastAsia" w:ascii="Times New Roman" w:hAnsi="Times New Roman" w:cs="宋体"/>
          <w:color w:val="FF0000"/>
          <w:kern w:val="0"/>
          <w:sz w:val="32"/>
          <w:szCs w:val="32"/>
          <w:highlight w:val="yellow"/>
          <w:shd w:val="clear" w:color="auto" w:fill="FFFFFF"/>
          <w:lang w:val="zh-CN"/>
        </w:rPr>
      </w:pPr>
    </w:p>
    <w:p w14:paraId="61C47870">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7B94F747">
      <w:pPr>
        <w:keepNext w:val="0"/>
        <w:keepLines w:val="0"/>
        <w:pageBreakBefore w:val="0"/>
        <w:widowControl w:val="0"/>
        <w:kinsoku/>
        <w:wordWrap/>
        <w:overflowPunct/>
        <w:topLinePunct w:val="0"/>
        <w:autoSpaceDE/>
        <w:autoSpaceDN/>
        <w:bidi w:val="0"/>
        <w:spacing w:line="578" w:lineRule="exact"/>
        <w:jc w:val="center"/>
        <w:textAlignment w:val="auto"/>
        <w:outlineLvl w:val="0"/>
        <w:rPr>
          <w:rFonts w:hint="eastAsia" w:ascii="Times New Roman" w:hAnsi="Times New Roman" w:eastAsia="仿宋"/>
          <w:b w:val="0"/>
          <w:color w:val="auto"/>
          <w:highlight w:val="none"/>
        </w:rPr>
      </w:pPr>
      <w:bookmarkStart w:id="85" w:name="_Toc15396618"/>
      <w:bookmarkStart w:id="86" w:name="_Toc217338745"/>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81"/>
      <w:bookmarkEnd w:id="85"/>
      <w:bookmarkEnd w:id="86"/>
      <w:bookmarkStart w:id="87" w:name="_Toc15396619"/>
    </w:p>
    <w:p w14:paraId="77A34EC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A7ABCCA">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87"/>
    </w:p>
    <w:p w14:paraId="1142DD7A">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88" w:name="_Toc15396620"/>
      <w:r>
        <w:rPr>
          <w:rFonts w:hint="eastAsia" w:ascii="Times New Roman" w:hAnsi="Times New Roman" w:eastAsia="仿宋_GB2312" w:cs="仿宋_GB2312"/>
          <w:color w:val="auto"/>
          <w:sz w:val="32"/>
          <w:szCs w:val="32"/>
          <w:highlight w:val="none"/>
        </w:rPr>
        <w:t>二、收入决算表</w:t>
      </w:r>
      <w:bookmarkEnd w:id="88"/>
    </w:p>
    <w:p w14:paraId="4633DEB9">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89" w:name="_Toc15396621"/>
      <w:r>
        <w:rPr>
          <w:rFonts w:hint="eastAsia" w:ascii="Times New Roman" w:hAnsi="Times New Roman" w:eastAsia="仿宋_GB2312" w:cs="仿宋_GB2312"/>
          <w:color w:val="auto"/>
          <w:sz w:val="32"/>
          <w:szCs w:val="32"/>
          <w:highlight w:val="none"/>
        </w:rPr>
        <w:t>三、支出决算表</w:t>
      </w:r>
      <w:bookmarkEnd w:id="89"/>
    </w:p>
    <w:p w14:paraId="5EA100C0">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90" w:name="_Toc15396622"/>
      <w:r>
        <w:rPr>
          <w:rFonts w:hint="eastAsia" w:ascii="Times New Roman" w:hAnsi="Times New Roman" w:eastAsia="仿宋_GB2312" w:cs="仿宋_GB2312"/>
          <w:color w:val="auto"/>
          <w:sz w:val="32"/>
          <w:szCs w:val="32"/>
          <w:highlight w:val="none"/>
        </w:rPr>
        <w:t>四、财政拨款收入支出决算总表</w:t>
      </w:r>
      <w:bookmarkEnd w:id="90"/>
    </w:p>
    <w:p w14:paraId="311703DE">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91" w:name="_Toc15396623"/>
      <w:r>
        <w:rPr>
          <w:rFonts w:hint="eastAsia" w:ascii="Times New Roman" w:hAnsi="Times New Roman" w:eastAsia="仿宋_GB2312" w:cs="仿宋_GB2312"/>
          <w:color w:val="auto"/>
          <w:sz w:val="32"/>
          <w:szCs w:val="32"/>
          <w:highlight w:val="none"/>
        </w:rPr>
        <w:t>五、财政拨款支出决算明细表</w:t>
      </w:r>
      <w:bookmarkEnd w:id="91"/>
      <w:bookmarkStart w:id="92" w:name="_Toc15396624"/>
    </w:p>
    <w:p w14:paraId="770A55EC">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92"/>
    </w:p>
    <w:p w14:paraId="24DEE321">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93" w:name="_Toc15396625"/>
      <w:r>
        <w:rPr>
          <w:rFonts w:hint="eastAsia" w:ascii="Times New Roman" w:hAnsi="Times New Roman" w:eastAsia="仿宋_GB2312" w:cs="仿宋_GB2312"/>
          <w:color w:val="auto"/>
          <w:sz w:val="32"/>
          <w:szCs w:val="32"/>
          <w:highlight w:val="none"/>
        </w:rPr>
        <w:t>七、一般公共预算财政拨款支出决算明细表</w:t>
      </w:r>
      <w:bookmarkEnd w:id="93"/>
    </w:p>
    <w:p w14:paraId="1593457F">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94" w:name="_Toc15396626"/>
      <w:r>
        <w:rPr>
          <w:rFonts w:hint="eastAsia" w:ascii="Times New Roman" w:hAnsi="Times New Roman" w:eastAsia="仿宋_GB2312" w:cs="仿宋_GB2312"/>
          <w:color w:val="auto"/>
          <w:sz w:val="32"/>
          <w:szCs w:val="32"/>
          <w:highlight w:val="none"/>
        </w:rPr>
        <w:t>八、一般公共预算财政拨款基本支出决算表</w:t>
      </w:r>
      <w:bookmarkEnd w:id="94"/>
    </w:p>
    <w:p w14:paraId="7302BA75">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95" w:name="_Toc15396627"/>
      <w:r>
        <w:rPr>
          <w:rFonts w:hint="eastAsia" w:ascii="Times New Roman" w:hAnsi="Times New Roman" w:eastAsia="仿宋_GB2312" w:cs="仿宋_GB2312"/>
          <w:color w:val="auto"/>
          <w:sz w:val="32"/>
          <w:szCs w:val="32"/>
          <w:highlight w:val="none"/>
        </w:rPr>
        <w:t>九、一般公共预算财政拨款项目支出决算表</w:t>
      </w:r>
      <w:bookmarkEnd w:id="95"/>
    </w:p>
    <w:p w14:paraId="547F8818">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96" w:name="_Toc15396628"/>
      <w:r>
        <w:rPr>
          <w:rFonts w:hint="eastAsia" w:ascii="Times New Roman" w:hAnsi="Times New Roman" w:eastAsia="仿宋_GB2312" w:cs="仿宋_GB2312"/>
          <w:color w:val="auto"/>
          <w:sz w:val="32"/>
          <w:szCs w:val="32"/>
          <w:highlight w:val="none"/>
        </w:rPr>
        <w:t>十、</w:t>
      </w:r>
      <w:bookmarkEnd w:id="96"/>
      <w:r>
        <w:rPr>
          <w:rFonts w:hint="eastAsia" w:ascii="Times New Roman" w:hAnsi="Times New Roman" w:eastAsia="仿宋_GB2312" w:cs="仿宋_GB2312"/>
          <w:color w:val="auto"/>
          <w:sz w:val="32"/>
          <w:szCs w:val="32"/>
          <w:highlight w:val="none"/>
        </w:rPr>
        <w:t>政府性基金预算财政拨款收入支出决算表</w:t>
      </w:r>
    </w:p>
    <w:p w14:paraId="41B8FB09">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lang w:eastAsia="zh-CN"/>
        </w:rPr>
      </w:pPr>
      <w:bookmarkStart w:id="97" w:name="_Toc15396629"/>
      <w:r>
        <w:rPr>
          <w:rFonts w:hint="eastAsia" w:ascii="Times New Roman" w:hAnsi="Times New Roman" w:eastAsia="仿宋_GB2312" w:cs="仿宋_GB2312"/>
          <w:color w:val="auto"/>
          <w:sz w:val="32"/>
          <w:szCs w:val="32"/>
          <w:highlight w:val="none"/>
        </w:rPr>
        <w:t>十一、</w:t>
      </w:r>
      <w:bookmarkEnd w:id="97"/>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r>
        <w:rPr>
          <w:rFonts w:hint="eastAsia" w:eastAsia="仿宋_GB2312" w:cs="仿宋_GB2312"/>
          <w:color w:val="auto"/>
          <w:sz w:val="32"/>
          <w:szCs w:val="32"/>
          <w:highlight w:val="none"/>
          <w:lang w:eastAsia="zh-CN"/>
        </w:rPr>
        <w:t>（此表无数据）</w:t>
      </w:r>
    </w:p>
    <w:p w14:paraId="506E5AEE">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rPr>
      </w:pPr>
      <w:bookmarkStart w:id="98" w:name="_Toc15396630"/>
      <w:r>
        <w:rPr>
          <w:rFonts w:hint="eastAsia" w:ascii="Times New Roman" w:hAnsi="Times New Roman" w:eastAsia="仿宋_GB2312" w:cs="仿宋_GB2312"/>
          <w:color w:val="auto"/>
          <w:sz w:val="32"/>
          <w:szCs w:val="32"/>
          <w:highlight w:val="none"/>
        </w:rPr>
        <w:t>十二、</w:t>
      </w:r>
      <w:bookmarkEnd w:id="98"/>
      <w:r>
        <w:rPr>
          <w:rFonts w:hint="eastAsia" w:ascii="Times New Roman" w:hAnsi="Times New Roman" w:eastAsia="仿宋_GB2312" w:cs="仿宋_GB2312"/>
          <w:color w:val="auto"/>
          <w:sz w:val="32"/>
          <w:szCs w:val="32"/>
          <w:highlight w:val="none"/>
          <w:lang w:eastAsia="zh-CN"/>
        </w:rPr>
        <w:t>国有资本经营预算财政拨款支出决算表</w:t>
      </w:r>
      <w:r>
        <w:rPr>
          <w:rFonts w:hint="eastAsia" w:eastAsia="仿宋_GB2312" w:cs="仿宋_GB2312"/>
          <w:color w:val="auto"/>
          <w:sz w:val="32"/>
          <w:szCs w:val="32"/>
          <w:highlight w:val="none"/>
          <w:lang w:eastAsia="zh-CN"/>
        </w:rPr>
        <w:t>（此表无数据）</w:t>
      </w:r>
    </w:p>
    <w:p w14:paraId="6516D89A">
      <w:pPr>
        <w:pStyle w:val="15"/>
        <w:keepNext w:val="0"/>
        <w:keepLines w:val="0"/>
        <w:pageBreakBefore w:val="0"/>
        <w:widowControl w:val="0"/>
        <w:kinsoku/>
        <w:wordWrap/>
        <w:overflowPunct/>
        <w:topLinePunct w:val="0"/>
        <w:autoSpaceDE/>
        <w:autoSpaceDN/>
        <w:bidi w:val="0"/>
        <w:adjustRightInd w:val="0"/>
        <w:snapToGrid w:val="0"/>
        <w:spacing w:line="600" w:lineRule="exact"/>
        <w:jc w:val="left"/>
        <w:textAlignment w:val="auto"/>
        <w:rPr>
          <w:rFonts w:hint="eastAsia" w:ascii="Times New Roman" w:hAnsi="Times New Roman" w:eastAsia="仿宋_GB2312" w:cs="仿宋_GB2312"/>
          <w:color w:val="auto"/>
          <w:sz w:val="32"/>
          <w:szCs w:val="32"/>
          <w:highlight w:val="none"/>
          <w:lang w:eastAsia="zh-CN"/>
        </w:rPr>
      </w:pPr>
      <w:bookmarkStart w:id="99" w:name="_Toc15396631"/>
      <w:r>
        <w:rPr>
          <w:rFonts w:hint="eastAsia" w:ascii="Times New Roman" w:hAnsi="Times New Roman" w:eastAsia="仿宋_GB2312" w:cs="仿宋_GB2312"/>
          <w:color w:val="auto"/>
          <w:sz w:val="32"/>
          <w:szCs w:val="32"/>
          <w:highlight w:val="none"/>
        </w:rPr>
        <w:t>十三、</w:t>
      </w:r>
      <w:bookmarkEnd w:id="99"/>
      <w:r>
        <w:rPr>
          <w:rFonts w:hint="eastAsia" w:ascii="Times New Roman" w:hAnsi="Times New Roman" w:eastAsia="仿宋_GB2312" w:cs="仿宋_GB2312"/>
          <w:color w:val="auto"/>
          <w:sz w:val="32"/>
          <w:szCs w:val="32"/>
          <w:highlight w:val="none"/>
          <w:lang w:eastAsia="zh-CN"/>
        </w:rPr>
        <w:t>财政拨款“三公”经费支出决算表</w:t>
      </w:r>
    </w:p>
    <w:p w14:paraId="18125C2D">
      <w:pPr>
        <w:keepNext w:val="0"/>
        <w:keepLines w:val="0"/>
        <w:pageBreakBefore w:val="0"/>
        <w:widowControl w:val="0"/>
        <w:kinsoku/>
        <w:wordWrap/>
        <w:overflowPunct/>
        <w:topLinePunct w:val="0"/>
        <w:autoSpaceDE/>
        <w:autoSpaceDN/>
        <w:bidi w:val="0"/>
        <w:spacing w:line="600" w:lineRule="exact"/>
        <w:textAlignment w:val="auto"/>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TimesNewRoman">
    <w:altName w:val="Times New Roman"/>
    <w:panose1 w:val="00000000000000000000"/>
    <w:charset w:val="00"/>
    <w:family w:val="auto"/>
    <w:pitch w:val="default"/>
    <w:sig w:usb0="00000000" w:usb1="00000000" w:usb2="00000000" w:usb3="00000000" w:csb0="00000000" w:csb1="00000000"/>
  </w:font>
  <w:font w:name="Times-Roman">
    <w:altName w:val="Times New Roman"/>
    <w:panose1 w:val="00000000000000000000"/>
    <w:charset w:val="00"/>
    <w:family w:val="auto"/>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Book Antiqua">
    <w:panose1 w:val="02040602050305030304"/>
    <w:charset w:val="00"/>
    <w:family w:val="auto"/>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578D6">
    <w:pPr>
      <w:pStyle w:val="11"/>
      <w:jc w:val="center"/>
    </w:pPr>
  </w:p>
  <w:p w14:paraId="323B9FC9">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F4BEB">
    <w:pPr>
      <w:pStyle w:val="11"/>
      <w:jc w:val="center"/>
    </w:pPr>
  </w:p>
  <w:p w14:paraId="71A314B0">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FC996">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BDE76B">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EBDE76B">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8236C">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doNotUseMarginsForDrawingGridOrigin w:val="1"/>
  <w:drawingGridHorizontalOrigin w:val="0"/>
  <w:drawingGridVerticalOrigin w:val="0"/>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E8B986"/>
    <w:rsid w:val="16F13FCB"/>
    <w:rsid w:val="186504BB"/>
    <w:rsid w:val="1938089F"/>
    <w:rsid w:val="19A445FC"/>
    <w:rsid w:val="1B7D550C"/>
    <w:rsid w:val="1BE8440E"/>
    <w:rsid w:val="1D155CEE"/>
    <w:rsid w:val="1DE178F3"/>
    <w:rsid w:val="1E740ACF"/>
    <w:rsid w:val="1FEB3B0D"/>
    <w:rsid w:val="1FEF6DFA"/>
    <w:rsid w:val="1FF35744"/>
    <w:rsid w:val="1FF6BC77"/>
    <w:rsid w:val="21962A9E"/>
    <w:rsid w:val="21AE7C77"/>
    <w:rsid w:val="22BC3C41"/>
    <w:rsid w:val="23860B96"/>
    <w:rsid w:val="240371BF"/>
    <w:rsid w:val="260F557C"/>
    <w:rsid w:val="281408E2"/>
    <w:rsid w:val="29FD04D3"/>
    <w:rsid w:val="2BFF7BC6"/>
    <w:rsid w:val="2C8A61B5"/>
    <w:rsid w:val="2CFD0E4E"/>
    <w:rsid w:val="2D2E01CF"/>
    <w:rsid w:val="2DF04E50"/>
    <w:rsid w:val="2DFFDCA1"/>
    <w:rsid w:val="2E9545B0"/>
    <w:rsid w:val="2F040D46"/>
    <w:rsid w:val="2F7969CE"/>
    <w:rsid w:val="2FAE5751"/>
    <w:rsid w:val="2FB1A395"/>
    <w:rsid w:val="2FD9A7D8"/>
    <w:rsid w:val="2FFE7A6A"/>
    <w:rsid w:val="319F7F4E"/>
    <w:rsid w:val="321B2544"/>
    <w:rsid w:val="3304709D"/>
    <w:rsid w:val="33ABDC59"/>
    <w:rsid w:val="34281836"/>
    <w:rsid w:val="349D6851"/>
    <w:rsid w:val="35BA6CAF"/>
    <w:rsid w:val="35D37231"/>
    <w:rsid w:val="364D14C1"/>
    <w:rsid w:val="36AA5135"/>
    <w:rsid w:val="36BE0DA7"/>
    <w:rsid w:val="376B6AA6"/>
    <w:rsid w:val="376D39B2"/>
    <w:rsid w:val="376DDC55"/>
    <w:rsid w:val="37E16F03"/>
    <w:rsid w:val="37F53A3B"/>
    <w:rsid w:val="37FCCAFF"/>
    <w:rsid w:val="389B6C89"/>
    <w:rsid w:val="38D469F0"/>
    <w:rsid w:val="39627CCD"/>
    <w:rsid w:val="397BAF1F"/>
    <w:rsid w:val="3AB79AF3"/>
    <w:rsid w:val="3B7EF35A"/>
    <w:rsid w:val="3B9FDB6C"/>
    <w:rsid w:val="3BF11D66"/>
    <w:rsid w:val="3BF5BC2F"/>
    <w:rsid w:val="3CEBA265"/>
    <w:rsid w:val="3D98207C"/>
    <w:rsid w:val="3D9B0D99"/>
    <w:rsid w:val="3DEE7CF3"/>
    <w:rsid w:val="3DF02244"/>
    <w:rsid w:val="3E78745D"/>
    <w:rsid w:val="3EE895B0"/>
    <w:rsid w:val="3F6B6FB2"/>
    <w:rsid w:val="3F7DE417"/>
    <w:rsid w:val="3FEFFDE1"/>
    <w:rsid w:val="3FF4CAE0"/>
    <w:rsid w:val="3FF7B227"/>
    <w:rsid w:val="40E54C45"/>
    <w:rsid w:val="41313393"/>
    <w:rsid w:val="43A407DF"/>
    <w:rsid w:val="44515BEA"/>
    <w:rsid w:val="44E268DA"/>
    <w:rsid w:val="451FCBB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7DDFF54"/>
    <w:rsid w:val="5AF92295"/>
    <w:rsid w:val="5BBBB52A"/>
    <w:rsid w:val="5BC7D5A0"/>
    <w:rsid w:val="5BDD79E6"/>
    <w:rsid w:val="5BF561CA"/>
    <w:rsid w:val="5BFF5DFC"/>
    <w:rsid w:val="5CD71FC4"/>
    <w:rsid w:val="5D1F11B5"/>
    <w:rsid w:val="5DAE1B18"/>
    <w:rsid w:val="5DE7D9E5"/>
    <w:rsid w:val="5DFF3518"/>
    <w:rsid w:val="5E7BEB9F"/>
    <w:rsid w:val="5ECEC941"/>
    <w:rsid w:val="5F493CB7"/>
    <w:rsid w:val="5F6F8730"/>
    <w:rsid w:val="5FBF9FF3"/>
    <w:rsid w:val="5FCD4E2C"/>
    <w:rsid w:val="5FD15F49"/>
    <w:rsid w:val="5FEF394A"/>
    <w:rsid w:val="5FF67715"/>
    <w:rsid w:val="5FF80F37"/>
    <w:rsid w:val="5FFF2EF9"/>
    <w:rsid w:val="62BF3928"/>
    <w:rsid w:val="647F5392"/>
    <w:rsid w:val="664B1D71"/>
    <w:rsid w:val="67AA3209"/>
    <w:rsid w:val="67EB665C"/>
    <w:rsid w:val="681C4F0D"/>
    <w:rsid w:val="69046D0F"/>
    <w:rsid w:val="698D0931"/>
    <w:rsid w:val="6A993CED"/>
    <w:rsid w:val="6B053271"/>
    <w:rsid w:val="6BCE6674"/>
    <w:rsid w:val="6C4A05C8"/>
    <w:rsid w:val="6C8742B8"/>
    <w:rsid w:val="6C8A170F"/>
    <w:rsid w:val="6CB54609"/>
    <w:rsid w:val="6DBF5E93"/>
    <w:rsid w:val="6DFF077E"/>
    <w:rsid w:val="6E7E3605"/>
    <w:rsid w:val="6E7FDCC7"/>
    <w:rsid w:val="6E9F7336"/>
    <w:rsid w:val="6ED6A62E"/>
    <w:rsid w:val="6EE00B15"/>
    <w:rsid w:val="6EF5765B"/>
    <w:rsid w:val="6F544B20"/>
    <w:rsid w:val="6F6FB3EB"/>
    <w:rsid w:val="6F784160"/>
    <w:rsid w:val="6F8731EA"/>
    <w:rsid w:val="6FCE6052"/>
    <w:rsid w:val="6FD57C00"/>
    <w:rsid w:val="6FDF5195"/>
    <w:rsid w:val="6FEFFFD8"/>
    <w:rsid w:val="6FF5CC65"/>
    <w:rsid w:val="6FFB47EC"/>
    <w:rsid w:val="6FFF034A"/>
    <w:rsid w:val="70496804"/>
    <w:rsid w:val="712A28F1"/>
    <w:rsid w:val="715C0E4B"/>
    <w:rsid w:val="721F04A3"/>
    <w:rsid w:val="72233669"/>
    <w:rsid w:val="72734D90"/>
    <w:rsid w:val="7332FE48"/>
    <w:rsid w:val="73AB61DA"/>
    <w:rsid w:val="73AD73D5"/>
    <w:rsid w:val="73B6EB34"/>
    <w:rsid w:val="73DE86BA"/>
    <w:rsid w:val="73FA497D"/>
    <w:rsid w:val="73FE31E4"/>
    <w:rsid w:val="744731E5"/>
    <w:rsid w:val="74527205"/>
    <w:rsid w:val="74BBD01D"/>
    <w:rsid w:val="74ED5379"/>
    <w:rsid w:val="74FC2395"/>
    <w:rsid w:val="74FDF91C"/>
    <w:rsid w:val="75DEEEC2"/>
    <w:rsid w:val="75FF4910"/>
    <w:rsid w:val="763F9A16"/>
    <w:rsid w:val="76E3355F"/>
    <w:rsid w:val="76FF5125"/>
    <w:rsid w:val="776F6FFA"/>
    <w:rsid w:val="778769C8"/>
    <w:rsid w:val="77D76646"/>
    <w:rsid w:val="77DC22F5"/>
    <w:rsid w:val="79086DAD"/>
    <w:rsid w:val="79974F09"/>
    <w:rsid w:val="79D15623"/>
    <w:rsid w:val="79D7FD79"/>
    <w:rsid w:val="79EE5BA4"/>
    <w:rsid w:val="7A894339"/>
    <w:rsid w:val="7ABF8983"/>
    <w:rsid w:val="7AFF7572"/>
    <w:rsid w:val="7B5F2635"/>
    <w:rsid w:val="7B6C7DFB"/>
    <w:rsid w:val="7BBFBED0"/>
    <w:rsid w:val="7BC3E394"/>
    <w:rsid w:val="7BFD2BB6"/>
    <w:rsid w:val="7C1F3737"/>
    <w:rsid w:val="7CBFC87B"/>
    <w:rsid w:val="7CFE0F48"/>
    <w:rsid w:val="7D1F9AD6"/>
    <w:rsid w:val="7D735E4A"/>
    <w:rsid w:val="7D7EC23E"/>
    <w:rsid w:val="7D916348"/>
    <w:rsid w:val="7DE00CB2"/>
    <w:rsid w:val="7DEF27E2"/>
    <w:rsid w:val="7E8ADEBF"/>
    <w:rsid w:val="7EEF11D3"/>
    <w:rsid w:val="7EF71884"/>
    <w:rsid w:val="7F03E7EB"/>
    <w:rsid w:val="7F0971A6"/>
    <w:rsid w:val="7F3F679B"/>
    <w:rsid w:val="7F4FC4EF"/>
    <w:rsid w:val="7F5E4D54"/>
    <w:rsid w:val="7F6E0135"/>
    <w:rsid w:val="7F7CAA5C"/>
    <w:rsid w:val="7FA30C79"/>
    <w:rsid w:val="7FAF8ABF"/>
    <w:rsid w:val="7FB7269E"/>
    <w:rsid w:val="7FBD0CCA"/>
    <w:rsid w:val="7FC96657"/>
    <w:rsid w:val="7FDA9588"/>
    <w:rsid w:val="7FDF220F"/>
    <w:rsid w:val="7FDFB198"/>
    <w:rsid w:val="7FEDC5F7"/>
    <w:rsid w:val="7FEDD9DE"/>
    <w:rsid w:val="7FF503BF"/>
    <w:rsid w:val="7FF5890D"/>
    <w:rsid w:val="7FF93490"/>
    <w:rsid w:val="7FFB25A1"/>
    <w:rsid w:val="96FF70D1"/>
    <w:rsid w:val="99FF2014"/>
    <w:rsid w:val="9BFFEB24"/>
    <w:rsid w:val="9FF72E44"/>
    <w:rsid w:val="A6DD0D7F"/>
    <w:rsid w:val="ADC6F725"/>
    <w:rsid w:val="AFBE263F"/>
    <w:rsid w:val="B3FB26E2"/>
    <w:rsid w:val="B75F939F"/>
    <w:rsid w:val="B7CF06AB"/>
    <w:rsid w:val="B7CFA926"/>
    <w:rsid w:val="B7F8786B"/>
    <w:rsid w:val="BABB6AA1"/>
    <w:rsid w:val="BB2F4199"/>
    <w:rsid w:val="BD079C78"/>
    <w:rsid w:val="BD733540"/>
    <w:rsid w:val="BEF31C56"/>
    <w:rsid w:val="BF3735D5"/>
    <w:rsid w:val="BF7F09AC"/>
    <w:rsid w:val="BFD475C3"/>
    <w:rsid w:val="BFDE5EA6"/>
    <w:rsid w:val="BFF73455"/>
    <w:rsid w:val="C52D39E4"/>
    <w:rsid w:val="CF6FC6F3"/>
    <w:rsid w:val="CF9D999E"/>
    <w:rsid w:val="CFD3D3D7"/>
    <w:rsid w:val="CFDF1009"/>
    <w:rsid w:val="D75F7CAB"/>
    <w:rsid w:val="D7D7B16A"/>
    <w:rsid w:val="D8D6DB89"/>
    <w:rsid w:val="D9FF4ACD"/>
    <w:rsid w:val="DB6F4CAB"/>
    <w:rsid w:val="DB777682"/>
    <w:rsid w:val="DCF7EFDE"/>
    <w:rsid w:val="DD1FB521"/>
    <w:rsid w:val="DD377E09"/>
    <w:rsid w:val="DD6BDFB9"/>
    <w:rsid w:val="DD9FA32B"/>
    <w:rsid w:val="DDD78EF1"/>
    <w:rsid w:val="DE3EA899"/>
    <w:rsid w:val="DEFBFEAE"/>
    <w:rsid w:val="DF1F3B80"/>
    <w:rsid w:val="DF4CDE7F"/>
    <w:rsid w:val="DF6F9789"/>
    <w:rsid w:val="DF7CD8B5"/>
    <w:rsid w:val="DF8F6125"/>
    <w:rsid w:val="DFFFA9E8"/>
    <w:rsid w:val="E0DF9EE3"/>
    <w:rsid w:val="E3E2DBA9"/>
    <w:rsid w:val="E5F4E9DC"/>
    <w:rsid w:val="E70FE695"/>
    <w:rsid w:val="ECFED1BC"/>
    <w:rsid w:val="ED1D69BB"/>
    <w:rsid w:val="ED7FD312"/>
    <w:rsid w:val="EF3764EF"/>
    <w:rsid w:val="EF53993F"/>
    <w:rsid w:val="EF6FD633"/>
    <w:rsid w:val="EFBFB2F4"/>
    <w:rsid w:val="EFBFFA21"/>
    <w:rsid w:val="EFFBFC37"/>
    <w:rsid w:val="EFFF0AD5"/>
    <w:rsid w:val="F07F8047"/>
    <w:rsid w:val="F1CFDB1C"/>
    <w:rsid w:val="F2BEBCB8"/>
    <w:rsid w:val="F36FB518"/>
    <w:rsid w:val="F3DE1A04"/>
    <w:rsid w:val="F3F722E5"/>
    <w:rsid w:val="F77FF543"/>
    <w:rsid w:val="F7FA774E"/>
    <w:rsid w:val="F7FDE7FF"/>
    <w:rsid w:val="F7FED972"/>
    <w:rsid w:val="FA5F1E70"/>
    <w:rsid w:val="FA5FDB97"/>
    <w:rsid w:val="FB7F486A"/>
    <w:rsid w:val="FBDC905E"/>
    <w:rsid w:val="FBDDE87F"/>
    <w:rsid w:val="FBFF5B2E"/>
    <w:rsid w:val="FD5B9EC4"/>
    <w:rsid w:val="FD76AB00"/>
    <w:rsid w:val="FD7FFE2B"/>
    <w:rsid w:val="FDD7FEFA"/>
    <w:rsid w:val="FDEE196B"/>
    <w:rsid w:val="FDFBE118"/>
    <w:rsid w:val="FDFE6575"/>
    <w:rsid w:val="FE76B1FE"/>
    <w:rsid w:val="FEDE50F3"/>
    <w:rsid w:val="FEDFDDC2"/>
    <w:rsid w:val="FEED32F6"/>
    <w:rsid w:val="FEF64D58"/>
    <w:rsid w:val="FEF781DD"/>
    <w:rsid w:val="FEFFC4B3"/>
    <w:rsid w:val="FF3F7E3F"/>
    <w:rsid w:val="FF755331"/>
    <w:rsid w:val="FFBA12D7"/>
    <w:rsid w:val="FFBD2671"/>
    <w:rsid w:val="FFBF7683"/>
    <w:rsid w:val="FFDFFAEE"/>
    <w:rsid w:val="FFF5997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7"/>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List"/>
    <w:basedOn w:val="1"/>
    <w:semiHidden/>
    <w:unhideWhenUsed/>
    <w:qFormat/>
    <w:uiPriority w:val="99"/>
    <w:pPr>
      <w:ind w:left="200" w:hanging="200" w:hangingChars="200"/>
    </w:p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next w:val="14"/>
    <w:semiHidden/>
    <w:unhideWhenUsed/>
    <w:qFormat/>
    <w:uiPriority w:val="99"/>
    <w:pPr>
      <w:keepNext w:val="0"/>
      <w:keepLines w:val="0"/>
      <w:widowControl/>
      <w:suppressLineNumbers w:val="0"/>
      <w:suppressAutoHyphens/>
      <w:spacing w:before="0" w:beforeAutospacing="1" w:after="0" w:afterAutospacing="1" w:line="240" w:lineRule="auto"/>
      <w:ind w:left="0" w:right="0" w:firstLine="0"/>
      <w:jc w:val="left"/>
    </w:pPr>
    <w:rPr>
      <w:rFonts w:hint="eastAsia" w:ascii="宋体" w:hAnsi="宋体" w:eastAsia="宋体" w:cs="Times New Roman"/>
      <w:color w:val="auto"/>
      <w:kern w:val="0"/>
      <w:sz w:val="24"/>
      <w:szCs w:val="21"/>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8"/>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5"/>
    <w:qFormat/>
    <w:uiPriority w:val="9"/>
    <w:rPr>
      <w:rFonts w:ascii="Times New Roman" w:hAnsi="Times New Roman"/>
      <w:b/>
      <w:bCs/>
      <w:kern w:val="44"/>
      <w:sz w:val="44"/>
      <w:szCs w:val="44"/>
    </w:rPr>
  </w:style>
  <w:style w:type="character" w:customStyle="1" w:styleId="31">
    <w:name w:val="标题 2 Char"/>
    <w:basedOn w:val="18"/>
    <w:link w:val="6"/>
    <w:qFormat/>
    <w:uiPriority w:val="9"/>
    <w:rPr>
      <w:rFonts w:asciiTheme="majorHAnsi" w:hAnsiTheme="majorHAnsi" w:eastAsiaTheme="majorEastAsia" w:cstheme="majorBidi"/>
      <w:b/>
      <w:bCs/>
      <w:kern w:val="2"/>
      <w:sz w:val="32"/>
      <w:szCs w:val="32"/>
    </w:rPr>
  </w:style>
  <w:style w:type="paragraph" w:customStyle="1" w:styleId="32">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7"/>
    <w:qFormat/>
    <w:uiPriority w:val="9"/>
    <w:rPr>
      <w:rFonts w:ascii="Times New Roman" w:hAnsi="Times New Roman"/>
      <w:b/>
      <w:bCs/>
      <w:kern w:val="2"/>
      <w:sz w:val="32"/>
      <w:szCs w:val="32"/>
    </w:rPr>
  </w:style>
  <w:style w:type="paragraph" w:customStyle="1" w:styleId="35">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7">
    <w:name w:val="font61"/>
    <w:basedOn w:val="18"/>
    <w:qFormat/>
    <w:uiPriority w:val="0"/>
    <w:rPr>
      <w:rFonts w:ascii="仿宋_GB2312" w:eastAsia="仿宋_GB2312" w:cs="仿宋_GB2312"/>
      <w:color w:val="000000"/>
      <w:sz w:val="24"/>
      <w:szCs w:val="24"/>
      <w:u w:val="none"/>
      <w:lang w:bidi="ar"/>
    </w:rPr>
  </w:style>
  <w:style w:type="character" w:customStyle="1" w:styleId="38">
    <w:name w:val="fontstyle41"/>
    <w:basedOn w:val="18"/>
    <w:qFormat/>
    <w:uiPriority w:val="0"/>
    <w:rPr>
      <w:rFonts w:ascii="Calibri" w:cs="Calibri"/>
      <w:color w:val="000000"/>
      <w:sz w:val="32"/>
      <w:szCs w:val="32"/>
      <w:lang w:bidi="ar"/>
    </w:rPr>
  </w:style>
  <w:style w:type="character" w:customStyle="1" w:styleId="39">
    <w:name w:val="font01"/>
    <w:basedOn w:val="18"/>
    <w:qFormat/>
    <w:uiPriority w:val="0"/>
    <w:rPr>
      <w:rFonts w:ascii="宋体" w:eastAsia="宋体" w:cs="宋体"/>
      <w:color w:val="000000"/>
      <w:sz w:val="22"/>
      <w:szCs w:val="22"/>
      <w:u w:val="none"/>
      <w:lang w:bidi="ar"/>
    </w:rPr>
  </w:style>
  <w:style w:type="character" w:customStyle="1" w:styleId="40">
    <w:name w:val="fontstyle11"/>
    <w:basedOn w:val="18"/>
    <w:qFormat/>
    <w:uiPriority w:val="0"/>
    <w:rPr>
      <w:rFonts w:ascii="TimesNewRoman"/>
      <w:color w:val="000000"/>
      <w:sz w:val="34"/>
      <w:szCs w:val="34"/>
    </w:rPr>
  </w:style>
  <w:style w:type="character" w:customStyle="1" w:styleId="41">
    <w:name w:val="fontstyle31"/>
    <w:basedOn w:val="18"/>
    <w:qFormat/>
    <w:uiPriority w:val="0"/>
    <w:rPr>
      <w:rFonts w:ascii="Times-Roman"/>
      <w:color w:val="000000"/>
      <w:sz w:val="32"/>
      <w:szCs w:val="32"/>
    </w:rPr>
  </w:style>
  <w:style w:type="character" w:customStyle="1" w:styleId="42">
    <w:name w:val="UserStyle_6"/>
    <w:basedOn w:val="18"/>
    <w:qFormat/>
    <w:uiPriority w:val="0"/>
    <w:rPr>
      <w:rFonts w:ascii="Times New Roman" w:eastAsia="宋体" w:cs="Times New Roman"/>
      <w:lang w:bidi="ar"/>
    </w:rPr>
  </w:style>
  <w:style w:type="character" w:customStyle="1" w:styleId="43">
    <w:name w:val="font51"/>
    <w:basedOn w:val="18"/>
    <w:qFormat/>
    <w:uiPriority w:val="0"/>
    <w:rPr>
      <w:rFonts w:ascii="仿宋_GB2312" w:eastAsia="仿宋_GB2312" w:cs="仿宋_GB2312"/>
      <w:color w:val="000000"/>
      <w:sz w:val="22"/>
      <w:szCs w:val="22"/>
      <w:u w:val="none"/>
      <w:lang w:bidi="ar"/>
    </w:rPr>
  </w:style>
  <w:style w:type="paragraph" w:customStyle="1" w:styleId="44">
    <w:name w:val="WPSOffice手动目录 1"/>
    <w:qFormat/>
    <w:uiPriority w:val="0"/>
    <w:pPr>
      <w:ind w:leftChars="0"/>
    </w:pPr>
    <w:rPr>
      <w:rFonts w:ascii="Times New Roman" w:hAnsi="Times New Roman" w:eastAsia="宋体" w:cs="Times New Roman"/>
      <w:sz w:val="20"/>
      <w:szCs w:val="20"/>
    </w:rPr>
  </w:style>
  <w:style w:type="paragraph" w:customStyle="1" w:styleId="45">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altLang="en-US"/>
              <a:t>收入、支出决算总计变动情况图</a:t>
            </a:r>
            <a:endParaRPr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strRef>
              <c:f>Sheet1!$A$2</c:f>
              <c:strCache>
                <c:ptCount val="1"/>
                <c:pt idx="0">
                  <c:v>收入、支出总计</c:v>
                </c:pt>
              </c:strCache>
            </c:strRef>
          </c:cat>
          <c:val>
            <c:numRef>
              <c:f>Sheet1!$B$2</c:f>
              <c:numCache>
                <c:formatCode>General</c:formatCode>
                <c:ptCount val="1"/>
                <c:pt idx="0">
                  <c:v>4.3</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strRef>
              <c:f>Sheet1!$A$2</c:f>
              <c:strCache>
                <c:ptCount val="1"/>
                <c:pt idx="0">
                  <c:v>收入、支出总计</c:v>
                </c:pt>
              </c:strCache>
            </c:strRef>
          </c:cat>
          <c:val>
            <c:numRef>
              <c:f>Sheet1!$C$2</c:f>
              <c:numCache>
                <c:formatCode>General</c:formatCode>
                <c:ptCount val="1"/>
                <c:pt idx="0">
                  <c:v>2.4</c:v>
                </c:pt>
              </c:numCache>
            </c:numRef>
          </c:val>
        </c:ser>
        <c:dLbls>
          <c:showLegendKey val="0"/>
          <c:showVal val="0"/>
          <c:showCatName val="0"/>
          <c:showSerName val="0"/>
          <c:showPercent val="0"/>
          <c:showBubbleSize val="0"/>
        </c:dLbls>
        <c:gapWidth val="246"/>
        <c:overlap val="-28"/>
        <c:axId val="603319865"/>
        <c:axId val="553221741"/>
      </c:barChart>
      <c:catAx>
        <c:axId val="60331986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3221741"/>
        <c:crosses val="autoZero"/>
        <c:auto val="1"/>
        <c:lblAlgn val="ctr"/>
        <c:lblOffset val="100"/>
        <c:noMultiLvlLbl val="0"/>
      </c:catAx>
      <c:valAx>
        <c:axId val="55322174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3319865"/>
        <c:crosses val="autoZero"/>
        <c:crossBetween val="between"/>
      </c:valAx>
      <c:spPr>
        <a:noFill/>
        <a:ln>
          <a:noFill/>
        </a:ln>
        <a:effectLst/>
      </c:spPr>
    </c:plotArea>
    <c:legend>
      <c:legendPos val="b"/>
      <c:layout>
        <c:manualLayout>
          <c:xMode val="edge"/>
          <c:yMode val="edge"/>
          <c:x val="0.301159700410727"/>
          <c:y val="0.903314917127072"/>
          <c:w val="0.435008456148828"/>
          <c:h val="0.071185720356991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4d7b751-18e3-4b2a-a2f3-f9db2a74c1e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manualLayout>
                  <c:x val="0.018120318917613"/>
                  <c:y val="-0.0254993625159371"/>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1123459772892"/>
                  <c:y val="0.0127496812579686"/>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204759603769026"/>
                  <c:y val="-0.111347216319592"/>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161270838366755"/>
                  <c:y val="-0.00318742031449214"/>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一般公共预算财政拨款收入</c:v>
                </c:pt>
                <c:pt idx="1">
                  <c:v>政府性基金预算财政拨款收入</c:v>
                </c:pt>
                <c:pt idx="2">
                  <c:v>事业收入</c:v>
                </c:pt>
                <c:pt idx="3">
                  <c:v>其他收入</c:v>
                </c:pt>
              </c:strCache>
            </c:strRef>
          </c:cat>
          <c:val>
            <c:numRef>
              <c:f>Sheet1!$B$2:$B$5</c:f>
              <c:numCache>
                <c:formatCode>General</c:formatCode>
                <c:ptCount val="4"/>
                <c:pt idx="0">
                  <c:v>17515.14</c:v>
                </c:pt>
                <c:pt idx="1">
                  <c:v>2025</c:v>
                </c:pt>
                <c:pt idx="2">
                  <c:v>205173.16</c:v>
                </c:pt>
                <c:pt idx="3">
                  <c:v>4602.37</c:v>
                </c:pt>
              </c:numCache>
            </c:numRef>
          </c:val>
        </c:ser>
        <c:dLbls>
          <c:showLegendKey val="0"/>
          <c:showVal val="1"/>
          <c:showCatName val="0"/>
          <c:showSerName val="0"/>
          <c:showPercent val="1"/>
          <c:showBubbleSize val="0"/>
          <c:showLeaderLines val="1"/>
        </c:dLbls>
        <c:firstSliceAng val="0"/>
      </c:pieChart>
      <c:spPr>
        <a:noFill/>
        <a:ln>
          <a:noFill/>
        </a:ln>
        <a:effectLst/>
      </c:spPr>
    </c:plotArea>
    <c:legend>
      <c:legendPos val="t"/>
      <c:layout>
        <c:manualLayout>
          <c:xMode val="edge"/>
          <c:yMode val="edge"/>
          <c:x val="0.0251268422324233"/>
          <c:y val="0.134296642583935"/>
          <c:w val="0.94056535395023"/>
          <c:h val="0.070760730981725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c8d4494-bd01-48f3-9901-ffc5950e8ad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manualLayout>
                  <c:x val="0.197511476201981"/>
                  <c:y val="-0.120696982575436"/>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198298.9</c:v>
                </c:pt>
                <c:pt idx="1">
                  <c:v>16588.45</c:v>
                </c:pt>
              </c:numCache>
            </c:numRef>
          </c:val>
        </c:ser>
        <c:dLbls>
          <c:showLegendKey val="0"/>
          <c:showVal val="1"/>
          <c:showCatName val="0"/>
          <c:showSerName val="0"/>
          <c:showPercent val="1"/>
          <c:showBubbleSize val="0"/>
          <c:showLeaderLines val="1"/>
        </c:dLbls>
        <c:firstSliceAng val="0"/>
      </c:pieChart>
      <c:spPr>
        <a:noFill/>
        <a:ln>
          <a:noFill/>
        </a:ln>
        <a:effectLst/>
      </c:spPr>
    </c:plotArea>
    <c:legend>
      <c:legendPos val="t"/>
      <c:layout>
        <c:manualLayout>
          <c:xMode val="edge"/>
          <c:yMode val="edge"/>
          <c:x val="0.264919062575501"/>
          <c:y val="0.134296642583935"/>
          <c:w val="0.447692679391157"/>
          <c:h val="0.070760730981725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65a18b0-0016-4bd8-8257-af4f0af0069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altLang="en-US"/>
              <a:t>财政拨款收、支决算总计变动情况图</a:t>
            </a:r>
            <a:endParaRPr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财政拨款收入、支出总计</c:v>
                </c:pt>
              </c:strCache>
            </c:strRef>
          </c:cat>
          <c:val>
            <c:numRef>
              <c:f>Sheet1!$B$2</c:f>
              <c:numCache>
                <c:formatCode>General</c:formatCode>
                <c:ptCount val="1"/>
                <c:pt idx="0">
                  <c:v>42927.39</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财政拨款收入、支出总计</c:v>
                </c:pt>
              </c:strCache>
            </c:strRef>
          </c:cat>
          <c:val>
            <c:numRef>
              <c:f>Sheet1!$C$2</c:f>
              <c:numCache>
                <c:formatCode>General</c:formatCode>
                <c:ptCount val="1"/>
                <c:pt idx="0">
                  <c:v>19540.14</c:v>
                </c:pt>
              </c:numCache>
            </c:numRef>
          </c:val>
        </c:ser>
        <c:dLbls>
          <c:showLegendKey val="0"/>
          <c:showVal val="0"/>
          <c:showCatName val="0"/>
          <c:showSerName val="0"/>
          <c:showPercent val="0"/>
          <c:showBubbleSize val="0"/>
        </c:dLbls>
        <c:gapWidth val="246"/>
        <c:overlap val="-28"/>
        <c:axId val="302033565"/>
        <c:axId val="590958440"/>
      </c:barChart>
      <c:catAx>
        <c:axId val="30203356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0958440"/>
        <c:crosses val="autoZero"/>
        <c:auto val="1"/>
        <c:lblAlgn val="ctr"/>
        <c:lblOffset val="100"/>
        <c:noMultiLvlLbl val="0"/>
      </c:catAx>
      <c:valAx>
        <c:axId val="5909584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2033565"/>
        <c:crosses val="autoZero"/>
        <c:crossBetween val="between"/>
      </c:valAx>
      <c:spPr>
        <a:noFill/>
        <a:ln>
          <a:noFill/>
        </a:ln>
        <a:effectLst/>
      </c:spPr>
    </c:plotArea>
    <c:legend>
      <c:legendPos val="b"/>
      <c:layout>
        <c:manualLayout>
          <c:xMode val="edge"/>
          <c:yMode val="edge"/>
          <c:x val="0.298381251510027"/>
          <c:y val="0.903314917127072"/>
          <c:w val="0.458564870741725"/>
          <c:h val="0.071185720356991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4fe0b67-fa4f-49c8-a652-9c7ee2421bb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Sheet1!$B$2</c:f>
              <c:numCache>
                <c:formatCode>General</c:formatCode>
                <c:ptCount val="1"/>
                <c:pt idx="0">
                  <c:v>13622.39</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Sheet1!$C$2</c:f>
              <c:numCache>
                <c:formatCode>General</c:formatCode>
                <c:ptCount val="1"/>
                <c:pt idx="0">
                  <c:v>17515.14</c:v>
                </c:pt>
              </c:numCache>
            </c:numRef>
          </c:val>
        </c:ser>
        <c:dLbls>
          <c:showLegendKey val="0"/>
          <c:showVal val="1"/>
          <c:showCatName val="0"/>
          <c:showSerName val="0"/>
          <c:showPercent val="0"/>
          <c:showBubbleSize val="0"/>
        </c:dLbls>
        <c:gapWidth val="246"/>
        <c:overlap val="-28"/>
        <c:axId val="121651871"/>
        <c:axId val="30389254"/>
      </c:barChart>
      <c:catAx>
        <c:axId val="12165187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389254"/>
        <c:crosses val="autoZero"/>
        <c:auto val="1"/>
        <c:lblAlgn val="ctr"/>
        <c:lblOffset val="100"/>
        <c:noMultiLvlLbl val="0"/>
      </c:catAx>
      <c:valAx>
        <c:axId val="3038925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1651871"/>
        <c:crosses val="autoZero"/>
        <c:crossBetween val="between"/>
      </c:valAx>
      <c:spPr>
        <a:noFill/>
        <a:ln>
          <a:noFill/>
        </a:ln>
        <a:effectLst/>
      </c:spPr>
    </c:plotArea>
    <c:legend>
      <c:legendPos val="b"/>
      <c:layout>
        <c:manualLayout>
          <c:xMode val="edge"/>
          <c:yMode val="edge"/>
          <c:x val="0.321937666102923"/>
          <c:y val="0.903314917127072"/>
          <c:w val="0.422324232906499"/>
          <c:h val="0.071185720356991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6b42dd9-7934-44e3-bef7-f0c1cdcc58a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00362406378352259"/>
                  <c:y val="-0.0127496812579686"/>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179391157284368"/>
                  <c:y val="0"/>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942256583715873"/>
                  <c:y val="0.124096897577561"/>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4"/>
              <c:layout>
                <c:manualLayout>
                  <c:x val="-0.231940082145446"/>
                  <c:y val="0.00956226094347641"/>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一般公共服务支出</c:v>
                </c:pt>
                <c:pt idx="1">
                  <c:v>科学技术支出</c:v>
                </c:pt>
                <c:pt idx="2">
                  <c:v>社会保障和就业支出</c:v>
                </c:pt>
                <c:pt idx="3">
                  <c:v>卫生健康支出</c:v>
                </c:pt>
                <c:pt idx="4">
                  <c:v>住房保障支出</c:v>
                </c:pt>
              </c:strCache>
            </c:strRef>
          </c:cat>
          <c:val>
            <c:numRef>
              <c:f>Sheet1!$B$2:$B$6</c:f>
              <c:numCache>
                <c:formatCode>General</c:formatCode>
                <c:ptCount val="5"/>
                <c:pt idx="0">
                  <c:v>17.27</c:v>
                </c:pt>
                <c:pt idx="1">
                  <c:v>48.43</c:v>
                </c:pt>
                <c:pt idx="2">
                  <c:v>4104.43</c:v>
                </c:pt>
                <c:pt idx="3">
                  <c:v>12958.94</c:v>
                </c:pt>
                <c:pt idx="4">
                  <c:v>386.07</c:v>
                </c:pt>
              </c:numCache>
            </c:numRef>
          </c:val>
        </c:ser>
        <c:dLbls>
          <c:showLegendKey val="0"/>
          <c:showVal val="1"/>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5dd2fe7-0434-4de5-afb2-7b1a1302900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财政拨款“三公”经费支出结构图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公务用车购置及运行维护费</c:v>
                </c:pt>
                <c:pt idx="1">
                  <c:v>公务接待费</c:v>
                </c:pt>
              </c:strCache>
            </c:strRef>
          </c:cat>
          <c:val>
            <c:numRef>
              <c:f>Sheet1!$B$2:$B$3</c:f>
              <c:numCache>
                <c:formatCode>General</c:formatCode>
                <c:ptCount val="2"/>
                <c:pt idx="0">
                  <c:v>29.68</c:v>
                </c:pt>
                <c:pt idx="1">
                  <c:v>3.84</c:v>
                </c:pt>
              </c:numCache>
            </c:numRef>
          </c:val>
        </c:ser>
        <c:dLbls>
          <c:showLegendKey val="0"/>
          <c:showVal val="1"/>
          <c:showCatName val="0"/>
          <c:showSerName val="0"/>
          <c:showPercent val="1"/>
          <c:showBubbleSize val="0"/>
          <c:showLeaderLines val="1"/>
        </c:dLbls>
        <c:firstSliceAng val="0"/>
      </c:pieChart>
      <c:spPr>
        <a:noFill/>
        <a:ln>
          <a:noFill/>
        </a:ln>
        <a:effectLst/>
      </c:spPr>
    </c:plotArea>
    <c:legend>
      <c:legendPos val="t"/>
      <c:layout>
        <c:manualLayout>
          <c:xMode val="edge"/>
          <c:yMode val="edge"/>
          <c:x val="0.128673671387239"/>
          <c:y val="0.165228758169935"/>
          <c:w val="0.721790772042028"/>
          <c:h val="0.087058823529411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6f2bca1-fee8-48fc-a018-76c5c0520a7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39</Pages>
  <Words>1299</Words>
  <Characters>7410</Characters>
  <Lines>61</Lines>
  <Paragraphs>17</Paragraphs>
  <TotalTime>2</TotalTime>
  <ScaleCrop>false</ScaleCrop>
  <LinksUpToDate>false</LinksUpToDate>
  <CharactersWithSpaces>8692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2020-08-10T09:49:00Z</dcterms:created>
  <dc:creator>曹颖</dc:creator>
  <cp:lastModifiedBy>user</cp:lastModifiedBy>
  <cp:lastPrinted>2026-08-05T01:27:00Z</cp:lastPrinted>
  <dcterms:modified xsi:type="dcterms:W3CDTF">2026-09-14T11:32:40Z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400D301575C74348A5277D00A7902E06</vt:lpwstr>
  </property>
</Properties>
</file>