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819C82">
      <w:pPr>
        <w:widowControl/>
        <w:jc w:val="both"/>
        <w:rPr>
          <w:rFonts w:ascii="Times New Roman" w:hAnsi="Times New Roman" w:eastAsia="方正小标宋简体"/>
          <w:color w:val="auto"/>
          <w:sz w:val="36"/>
          <w:szCs w:val="36"/>
          <w:highlight w:val="none"/>
        </w:rPr>
      </w:pPr>
    </w:p>
    <w:p w14:paraId="2A71DEA0">
      <w:pPr>
        <w:rPr>
          <w:rFonts w:ascii="Times New Roman" w:hAnsi="Times New Roman" w:eastAsia="方正小标宋简体"/>
          <w:color w:val="auto"/>
          <w:sz w:val="36"/>
          <w:szCs w:val="36"/>
          <w:highlight w:val="none"/>
        </w:rPr>
      </w:pPr>
    </w:p>
    <w:p w14:paraId="22DCACC9">
      <w:pPr>
        <w:pStyle w:val="2"/>
      </w:pPr>
    </w:p>
    <w:p w14:paraId="48C22466">
      <w:pPr>
        <w:pStyle w:val="2"/>
        <w:rPr>
          <w:rFonts w:ascii="Times New Roman" w:hAnsi="Times New Roman" w:eastAsia="方正小标宋简体"/>
          <w:color w:val="auto"/>
          <w:sz w:val="36"/>
          <w:szCs w:val="36"/>
          <w:highlight w:val="none"/>
        </w:rPr>
      </w:pPr>
    </w:p>
    <w:p w14:paraId="34DF2A56">
      <w:pPr>
        <w:pStyle w:val="3"/>
      </w:pPr>
    </w:p>
    <w:p w14:paraId="6D161609">
      <w:pPr>
        <w:widowControl/>
        <w:ind w:firstLine="3960" w:firstLineChars="1100"/>
        <w:jc w:val="both"/>
        <w:rPr>
          <w:rFonts w:ascii="Times New Roman" w:hAnsi="Times New Roman" w:eastAsia="方正小标宋简体"/>
          <w:color w:val="auto"/>
          <w:sz w:val="36"/>
          <w:szCs w:val="36"/>
          <w:highlight w:val="none"/>
        </w:rPr>
      </w:pPr>
    </w:p>
    <w:p w14:paraId="55CAC396">
      <w:pPr>
        <w:pStyle w:val="8"/>
        <w:spacing w:before="93"/>
        <w:jc w:val="center"/>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rPr>
        <w:t>2025年度</w:t>
      </w:r>
      <w:r>
        <w:rPr>
          <w:rFonts w:hint="eastAsia" w:ascii="方正小标宋简体" w:hAnsi="方正小标宋简体" w:eastAsia="方正小标宋简体" w:cs="方正小标宋简体"/>
          <w:kern w:val="2"/>
          <w:sz w:val="44"/>
          <w:szCs w:val="44"/>
          <w:lang w:val="en-US" w:eastAsia="zh-CN"/>
        </w:rPr>
        <w:t>四川省</w:t>
      </w:r>
      <w:r>
        <w:rPr>
          <w:rFonts w:hint="eastAsia" w:ascii="方正小标宋简体" w:hAnsi="方正小标宋简体" w:eastAsia="方正小标宋简体" w:cs="方正小标宋简体"/>
          <w:kern w:val="2"/>
          <w:sz w:val="44"/>
          <w:szCs w:val="44"/>
        </w:rPr>
        <w:t>攀枝花市</w:t>
      </w:r>
      <w:r>
        <w:rPr>
          <w:rFonts w:hint="eastAsia" w:ascii="方正小标宋简体" w:hAnsi="方正小标宋简体" w:eastAsia="方正小标宋简体" w:cs="方正小标宋简体"/>
          <w:kern w:val="2"/>
          <w:sz w:val="44"/>
          <w:szCs w:val="44"/>
          <w:lang w:val="en-US" w:eastAsia="zh-CN"/>
        </w:rPr>
        <w:t>中心医院</w:t>
      </w:r>
    </w:p>
    <w:p w14:paraId="1E9F6F1B">
      <w:pPr>
        <w:pStyle w:val="8"/>
        <w:spacing w:before="93"/>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lang w:val="en-US" w:eastAsia="zh-CN"/>
        </w:rPr>
        <w:t xml:space="preserve"> 单位</w:t>
      </w:r>
      <w:r>
        <w:rPr>
          <w:rFonts w:hint="eastAsia" w:ascii="方正小标宋简体" w:hAnsi="方正小标宋简体" w:eastAsia="方正小标宋简体" w:cs="方正小标宋简体"/>
          <w:kern w:val="2"/>
          <w:sz w:val="44"/>
          <w:szCs w:val="44"/>
        </w:rPr>
        <w:t>决算</w:t>
      </w:r>
    </w:p>
    <w:p w14:paraId="1286ADB9">
      <w:pPr>
        <w:widowControl/>
        <w:ind w:firstLine="3960" w:firstLineChars="1100"/>
        <w:jc w:val="both"/>
        <w:rPr>
          <w:rFonts w:ascii="Times New Roman" w:hAnsi="Times New Roman" w:eastAsia="方正小标宋简体"/>
          <w:color w:val="auto"/>
          <w:sz w:val="36"/>
          <w:szCs w:val="36"/>
          <w:highlight w:val="none"/>
        </w:rPr>
      </w:pPr>
    </w:p>
    <w:p w14:paraId="5F38AE33">
      <w:pPr>
        <w:widowControl/>
        <w:ind w:firstLine="5280" w:firstLineChars="1100"/>
        <w:jc w:val="both"/>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740B256">
      <w:pPr>
        <w:widowControl/>
        <w:ind w:firstLine="3840" w:firstLineChars="8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DB86BB0">
      <w:pPr>
        <w:widowControl/>
        <w:jc w:val="center"/>
        <w:rPr>
          <w:rFonts w:ascii="Times New Roman" w:hAnsi="Times New Roman" w:eastAsia="黑体" w:cstheme="minorBidi"/>
          <w:color w:val="auto"/>
          <w:sz w:val="28"/>
          <w:szCs w:val="28"/>
          <w:highlight w:val="none"/>
        </w:rPr>
      </w:pPr>
    </w:p>
    <w:p w14:paraId="13C619C7">
      <w:pPr>
        <w:pStyle w:val="13"/>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公开时间：20</w:t>
      </w:r>
      <w:r>
        <w:rPr>
          <w:rFonts w:hint="eastAsia" w:ascii="仿宋" w:hAnsi="仿宋" w:eastAsia="仿宋" w:cs="仿宋"/>
          <w:color w:val="auto"/>
          <w:sz w:val="32"/>
          <w:szCs w:val="32"/>
          <w:highlight w:val="none"/>
          <w:lang w:val="en-US" w:eastAsia="zh-CN"/>
        </w:rPr>
        <w:t>2</w:t>
      </w:r>
      <w:r>
        <w:rPr>
          <w:rFonts w:hint="eastAsia" w:cs="仿宋"/>
          <w:color w:val="auto"/>
          <w:sz w:val="32"/>
          <w:szCs w:val="32"/>
          <w:highlight w:val="none"/>
          <w:lang w:val="en-US" w:eastAsia="zh-CN"/>
        </w:rPr>
        <w:t>6</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 xml:space="preserve"> 9 </w:t>
      </w:r>
      <w:r>
        <w:rPr>
          <w:rFonts w:hint="eastAsia" w:ascii="仿宋" w:hAnsi="仿宋" w:eastAsia="仿宋" w:cs="仿宋"/>
          <w:color w:val="auto"/>
          <w:sz w:val="32"/>
          <w:szCs w:val="32"/>
          <w:highlight w:val="none"/>
        </w:rPr>
        <w:t>月</w:t>
      </w:r>
      <w:r>
        <w:rPr>
          <w:rFonts w:hint="eastAsia" w:cs="仿宋"/>
          <w:color w:val="auto"/>
          <w:sz w:val="32"/>
          <w:szCs w:val="32"/>
          <w:highlight w:val="none"/>
          <w:lang w:val="en-US" w:eastAsia="zh-CN"/>
        </w:rPr>
        <w:t>14</w:t>
      </w:r>
      <w:bookmarkStart w:id="51" w:name="_GoBack"/>
      <w:bookmarkEnd w:id="51"/>
      <w:r>
        <w:rPr>
          <w:rFonts w:hint="eastAsia" w:ascii="仿宋" w:hAnsi="仿宋" w:eastAsia="仿宋" w:cs="仿宋"/>
          <w:color w:val="auto"/>
          <w:sz w:val="32"/>
          <w:szCs w:val="32"/>
          <w:highlight w:val="none"/>
        </w:rPr>
        <w:t>日</w:t>
      </w:r>
    </w:p>
    <w:p w14:paraId="1213EBDB">
      <w:pPr>
        <w:rPr>
          <w:rFonts w:ascii="Times New Roman" w:hAnsi="Times New Roman"/>
          <w:color w:val="auto"/>
          <w:highlight w:val="none"/>
        </w:rPr>
      </w:pPr>
    </w:p>
    <w:p w14:paraId="16A3D09D">
      <w:pPr>
        <w:pStyle w:val="13"/>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before="0" w:line="560" w:lineRule="exact"/>
        <w:ind w:right="325" w:rightChars="155"/>
        <w:jc w:val="left"/>
        <w:textAlignment w:val="auto"/>
        <w:outlineLvl w:val="0"/>
        <w:rPr>
          <w:rFonts w:hint="eastAsia" w:ascii="仿宋" w:hAnsi="仿宋" w:eastAsia="仿宋" w:cs="仿宋"/>
          <w:color w:val="auto"/>
          <w:sz w:val="32"/>
          <w:szCs w:val="32"/>
          <w:highlight w:val="none"/>
          <w:lang w:val="en-US" w:eastAsia="zh-CN"/>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w:t>
      </w:r>
      <w:r>
        <w:rPr>
          <w:rFonts w:hint="eastAsia" w:ascii="Times New Roman" w:hAnsi="Times New Roman" w:eastAsia="黑体" w:cs="黑体"/>
          <w:color w:val="auto"/>
          <w:sz w:val="32"/>
          <w:szCs w:val="32"/>
          <w:highlight w:val="none"/>
          <w:lang w:val="en-US" w:eastAsia="zh-CN"/>
        </w:rPr>
        <w:t>况</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cs="仿宋"/>
          <w:color w:val="auto"/>
          <w:sz w:val="32"/>
          <w:szCs w:val="32"/>
          <w:highlight w:val="none"/>
          <w:lang w:val="en-US" w:eastAsia="zh-CN"/>
        </w:rPr>
        <w:t>1</w:t>
      </w:r>
    </w:p>
    <w:p w14:paraId="70D6F420">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638" w:leftChars="304" w:right="-92" w:rightChars="-4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仿宋" w:hAnsi="仿宋" w:eastAsia="仿宋" w:cs="仿宋"/>
          <w:color w:val="auto"/>
          <w:sz w:val="32"/>
          <w:szCs w:val="32"/>
          <w:highlight w:val="none"/>
        </w:rPr>
        <w:t>一、</w:t>
      </w:r>
      <w:r>
        <w:rPr>
          <w:rFonts w:hint="eastAsia" w:ascii="仿宋" w:hAnsi="仿宋" w:eastAsia="仿宋" w:cs="仿宋"/>
          <w:color w:val="auto"/>
          <w:sz w:val="32"/>
          <w:szCs w:val="32"/>
          <w:highlight w:val="none"/>
          <w:lang w:val="en-US" w:eastAsia="zh-CN"/>
        </w:rPr>
        <w:t>单位</w:t>
      </w:r>
      <w:r>
        <w:rPr>
          <w:rFonts w:hint="eastAsia" w:ascii="仿宋" w:hAnsi="仿宋" w:eastAsia="仿宋" w:cs="仿宋"/>
          <w:color w:val="auto"/>
          <w:sz w:val="32"/>
          <w:szCs w:val="32"/>
          <w:highlight w:val="none"/>
          <w:lang w:eastAsia="zh-CN"/>
        </w:rPr>
        <w:t>职责</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二、机构设置</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w:t>
      </w:r>
    </w:p>
    <w:p w14:paraId="3FF09CF2">
      <w:pPr>
        <w:pStyle w:val="13"/>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before="0" w:line="560" w:lineRule="exact"/>
        <w:ind w:right="-92" w:rightChars="-44"/>
        <w:jc w:val="left"/>
        <w:textAlignment w:val="auto"/>
        <w:outlineLvl w:val="0"/>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2025年度单位</w:t>
      </w:r>
      <w:r>
        <w:rPr>
          <w:rFonts w:hint="eastAsia" w:ascii="Times New Roman" w:hAnsi="Times New Roman" w:eastAsia="黑体" w:cs="黑体"/>
          <w:color w:val="auto"/>
          <w:sz w:val="32"/>
          <w:szCs w:val="32"/>
          <w:highlight w:val="none"/>
        </w:rPr>
        <w:t>决算情况说明</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2</w:t>
      </w:r>
    </w:p>
    <w:p w14:paraId="738A5491">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一、收入支出决算总体情况说明</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2</w:t>
      </w:r>
    </w:p>
    <w:p w14:paraId="7394B160">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二、收入决算情况说明</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2</w:t>
      </w:r>
    </w:p>
    <w:p w14:paraId="62164664">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三、支出决算情况说明</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3</w:t>
      </w:r>
    </w:p>
    <w:p w14:paraId="38906F31">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四、财政拨款收入支出决算总体情况说明</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3</w:t>
      </w:r>
    </w:p>
    <w:p w14:paraId="18E4EF04">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五、一般公共预算财政拨款支出决算情况说明</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4</w:t>
      </w:r>
    </w:p>
    <w:p w14:paraId="51CD4300">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六、一般公共预算财政拨款基本支出决算情况说明</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7</w:t>
      </w:r>
    </w:p>
    <w:p w14:paraId="5B5F4D3B">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七、财政拨款</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三公”经费支出决算情况说明</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7</w:t>
      </w:r>
    </w:p>
    <w:p w14:paraId="60CE9E7F">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八、政府性基金预算支出决算情况说明</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8</w:t>
      </w:r>
    </w:p>
    <w:p w14:paraId="0CE7CB0F">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九、</w:t>
      </w:r>
      <w:r>
        <w:rPr>
          <w:rFonts w:hint="eastAsia" w:ascii="仿宋" w:hAnsi="仿宋" w:eastAsia="仿宋" w:cs="仿宋"/>
          <w:color w:val="auto"/>
          <w:sz w:val="32"/>
          <w:szCs w:val="32"/>
          <w:highlight w:val="none"/>
          <w:lang w:eastAsia="zh-CN"/>
        </w:rPr>
        <w:t>国</w:t>
      </w:r>
      <w:r>
        <w:rPr>
          <w:rFonts w:hint="eastAsia" w:ascii="仿宋" w:hAnsi="仿宋" w:eastAsia="仿宋" w:cs="仿宋"/>
          <w:color w:val="auto"/>
          <w:sz w:val="32"/>
          <w:szCs w:val="32"/>
          <w:highlight w:val="none"/>
        </w:rPr>
        <w:t>有资本经营预算支出决算情况说明</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8</w:t>
      </w:r>
    </w:p>
    <w:p w14:paraId="3443A7D8">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十</w:t>
      </w:r>
      <w:r>
        <w:rPr>
          <w:rFonts w:hint="eastAsia" w:ascii="仿宋" w:hAnsi="仿宋" w:eastAsia="仿宋" w:cs="仿宋"/>
          <w:color w:val="auto"/>
          <w:sz w:val="32"/>
          <w:szCs w:val="32"/>
          <w:highlight w:val="none"/>
        </w:rPr>
        <w:t>、其他重要事项的情况说明</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8</w:t>
      </w:r>
    </w:p>
    <w:p w14:paraId="79CB48D3">
      <w:pPr>
        <w:pStyle w:val="13"/>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before="0" w:line="560" w:lineRule="exact"/>
        <w:ind w:right="-92" w:rightChars="-44"/>
        <w:jc w:val="left"/>
        <w:textAlignment w:val="auto"/>
        <w:outlineLvl w:val="0"/>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10</w:t>
      </w:r>
    </w:p>
    <w:p w14:paraId="18B62BC4">
      <w:pPr>
        <w:pStyle w:val="13"/>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before="0" w:line="560" w:lineRule="exact"/>
        <w:ind w:right="-92" w:rightChars="-44"/>
        <w:jc w:val="left"/>
        <w:textAlignment w:val="auto"/>
        <w:outlineLvl w:val="0"/>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13</w:t>
      </w:r>
    </w:p>
    <w:p w14:paraId="67AB0133">
      <w:pPr>
        <w:pStyle w:val="13"/>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before="0" w:line="560" w:lineRule="exact"/>
        <w:ind w:right="-92" w:rightChars="-44"/>
        <w:jc w:val="left"/>
        <w:textAlignment w:val="auto"/>
        <w:outlineLvl w:val="0"/>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14</w:t>
      </w:r>
    </w:p>
    <w:p w14:paraId="54D7F211">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一、收入支出决算总表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5E47568C">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二、收入决算表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6103DABD">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三、支出决算表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52086944">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p>
    <w:p w14:paraId="3EC008A2">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四、财政拨款收入支出决算总表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03648EBD">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五、财政拨款支出决算明细表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616538A6">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六、一般公共预算财政拨款支出决算表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54A3D6B7">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七、一般公共预算财政拨款支出决算明细表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0FF19C4D">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八、一般公共预算财政拨款基本支出决算</w:t>
      </w:r>
      <w:r>
        <w:rPr>
          <w:rFonts w:hint="eastAsia" w:ascii="仿宋" w:hAnsi="仿宋" w:eastAsia="仿宋" w:cs="仿宋"/>
          <w:color w:val="auto"/>
          <w:sz w:val="32"/>
          <w:szCs w:val="32"/>
          <w:highlight w:val="none"/>
          <w:lang w:eastAsia="zh-CN"/>
        </w:rPr>
        <w:t>明细</w:t>
      </w:r>
      <w:r>
        <w:rPr>
          <w:rFonts w:hint="eastAsia" w:ascii="仿宋" w:hAnsi="仿宋" w:eastAsia="仿宋" w:cs="仿宋"/>
          <w:color w:val="auto"/>
          <w:sz w:val="32"/>
          <w:szCs w:val="32"/>
          <w:highlight w:val="none"/>
        </w:rPr>
        <w:t>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0A9A54A4">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九、一般公共预算财政拨款项目支出决算表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70E66608">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十、政府性基金预算财政拨款收入支出决算表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30BF6641">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十一、国有资本经营预算财政拨款收入支出决算表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2F61ADE9">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lang w:val="en-US"/>
        </w:rPr>
      </w:pPr>
      <w:r>
        <w:rPr>
          <w:rFonts w:hint="eastAsia" w:ascii="仿宋" w:hAnsi="仿宋" w:eastAsia="仿宋" w:cs="仿宋"/>
          <w:color w:val="auto"/>
          <w:sz w:val="32"/>
          <w:szCs w:val="32"/>
          <w:highlight w:val="none"/>
        </w:rPr>
        <w:t>十二、</w:t>
      </w:r>
      <w:r>
        <w:rPr>
          <w:rFonts w:hint="eastAsia" w:ascii="仿宋" w:hAnsi="仿宋" w:eastAsia="仿宋" w:cs="仿宋"/>
          <w:color w:val="auto"/>
          <w:sz w:val="32"/>
          <w:szCs w:val="32"/>
          <w:highlight w:val="none"/>
          <w:lang w:val="en-US" w:eastAsia="zh-CN"/>
        </w:rPr>
        <w:t>国有资本经营预算财政拨款支出决算表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6642AC79">
      <w:pPr>
        <w:pStyle w:val="14"/>
        <w:keepNext w:val="0"/>
        <w:keepLines w:val="0"/>
        <w:pageBreakBefore w:val="0"/>
        <w:widowControl w:val="0"/>
        <w:tabs>
          <w:tab w:val="left" w:leader="dot" w:pos="6720"/>
          <w:tab w:val="left" w:leader="dot" w:pos="7980"/>
          <w:tab w:val="clear" w:pos="8296"/>
        </w:tabs>
        <w:kinsoku/>
        <w:wordWrap/>
        <w:overflowPunct/>
        <w:topLinePunct w:val="0"/>
        <w:autoSpaceDE/>
        <w:autoSpaceDN/>
        <w:bidi w:val="0"/>
        <w:adjustRightInd w:val="0"/>
        <w:snapToGrid w:val="0"/>
        <w:spacing w:line="560" w:lineRule="exact"/>
        <w:ind w:left="0" w:leftChars="0" w:right="-92" w:rightChars="-44"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十三、财政拨款“三公”经费支出决算表</w:t>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ab/>
      </w:r>
      <w:r>
        <w:rPr>
          <w:rFonts w:hint="eastAsia" w:ascii="仿宋" w:hAnsi="仿宋" w:eastAsia="仿宋" w:cs="仿宋"/>
          <w:color w:val="auto"/>
          <w:sz w:val="32"/>
          <w:szCs w:val="32"/>
          <w:highlight w:val="none"/>
          <w:lang w:val="en-US" w:eastAsia="zh-CN"/>
        </w:rPr>
        <w:t>14</w:t>
      </w:r>
    </w:p>
    <w:p w14:paraId="40CB0727">
      <w:pPr>
        <w:pStyle w:val="5"/>
        <w:pageBreakBefore w:val="0"/>
        <w:widowControl w:val="0"/>
        <w:tabs>
          <w:tab w:val="left" w:leader="dot" w:pos="6720"/>
          <w:tab w:val="left" w:leader="dot" w:pos="7980"/>
        </w:tabs>
        <w:kinsoku/>
        <w:wordWrap/>
        <w:overflowPunct/>
        <w:topLinePunct w:val="0"/>
        <w:autoSpaceDE/>
        <w:autoSpaceDN/>
        <w:bidi w:val="0"/>
        <w:ind w:right="-92" w:rightChars="-44"/>
        <w:jc w:val="center"/>
        <w:textAlignment w:val="auto"/>
        <w:rPr>
          <w:rFonts w:hint="eastAsia" w:ascii="仿宋" w:hAnsi="仿宋" w:eastAsia="仿宋" w:cs="仿宋"/>
          <w:b w:val="0"/>
          <w:color w:val="auto"/>
          <w:sz w:val="32"/>
          <w:szCs w:val="32"/>
          <w:highlight w:val="none"/>
          <w:lang w:val="en-US" w:eastAsia="zh-CN"/>
        </w:rPr>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pPr>
      <w:bookmarkStart w:id="0" w:name="_Toc15396599"/>
      <w:bookmarkStart w:id="1" w:name="_Toc15377196"/>
    </w:p>
    <w:p w14:paraId="1EFBD59A">
      <w:pPr>
        <w:pStyle w:val="5"/>
        <w:jc w:val="center"/>
        <w:rPr>
          <w:rStyle w:val="1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19"/>
          <w:rFonts w:hint="eastAsia" w:eastAsia="方正小标宋简体" w:cs="方正小标宋简体"/>
          <w:b w:val="0"/>
          <w:bCs w:val="0"/>
          <w:color w:val="auto"/>
          <w:highlight w:val="none"/>
          <w:lang w:val="en-US" w:eastAsia="zh-CN"/>
        </w:rPr>
        <w:t>单位</w:t>
      </w:r>
      <w:r>
        <w:rPr>
          <w:rStyle w:val="19"/>
          <w:rFonts w:hint="eastAsia" w:ascii="Times New Roman" w:hAnsi="Times New Roman" w:eastAsia="方正小标宋简体" w:cs="方正小标宋简体"/>
          <w:b w:val="0"/>
          <w:bCs w:val="0"/>
          <w:color w:val="auto"/>
          <w:highlight w:val="none"/>
        </w:rPr>
        <w:t>概况</w:t>
      </w:r>
      <w:bookmarkEnd w:id="0"/>
      <w:bookmarkEnd w:id="1"/>
    </w:p>
    <w:p w14:paraId="326D231F">
      <w:pPr>
        <w:widowControl/>
        <w:jc w:val="left"/>
        <w:rPr>
          <w:rFonts w:ascii="Times New Roman" w:hAnsi="Times New Roman" w:eastAsia="黑体"/>
          <w:color w:val="auto"/>
          <w:sz w:val="32"/>
          <w:szCs w:val="32"/>
          <w:highlight w:val="none"/>
        </w:rPr>
      </w:pPr>
    </w:p>
    <w:p w14:paraId="458D20DF">
      <w:pPr>
        <w:pStyle w:val="6"/>
        <w:numPr>
          <w:ilvl w:val="0"/>
          <w:numId w:val="0"/>
        </w:numPr>
        <w:rPr>
          <w:rFonts w:hint="eastAsia" w:ascii="Times New Roman" w:hAnsi="Times New Roman" w:eastAsia="黑体"/>
          <w:b w:val="0"/>
          <w:color w:val="auto"/>
          <w:highlight w:val="none"/>
          <w:lang w:eastAsia="zh-CN"/>
        </w:rPr>
      </w:pPr>
      <w:r>
        <w:rPr>
          <w:rFonts w:hint="eastAsia" w:ascii="Times New Roman" w:hAnsi="Times New Roman" w:eastAsia="黑体" w:cstheme="majorBidi"/>
          <w:b w:val="0"/>
          <w:bCs/>
          <w:color w:val="auto"/>
          <w:kern w:val="2"/>
          <w:sz w:val="32"/>
          <w:szCs w:val="32"/>
          <w:lang w:val="en-US" w:eastAsia="zh-CN" w:bidi="ar-SA"/>
        </w:rPr>
        <w:t>一、单位</w:t>
      </w:r>
      <w:r>
        <w:rPr>
          <w:rFonts w:hint="eastAsia" w:ascii="Times New Roman" w:hAnsi="Times New Roman" w:eastAsia="黑体"/>
          <w:b w:val="0"/>
          <w:color w:val="auto"/>
          <w:highlight w:val="none"/>
          <w:lang w:eastAsia="zh-CN"/>
        </w:rPr>
        <w:t>职责</w:t>
      </w:r>
    </w:p>
    <w:p w14:paraId="5AF60426">
      <w:pPr>
        <w:pStyle w:val="6"/>
        <w:numPr>
          <w:ilvl w:val="0"/>
          <w:numId w:val="0"/>
        </w:numPr>
        <w:ind w:firstLine="640" w:firstLineChars="200"/>
        <w:rPr>
          <w:rFonts w:hint="eastAsia"/>
          <w:lang w:eastAsia="zh-CN"/>
        </w:rPr>
      </w:pPr>
      <w:r>
        <w:rPr>
          <w:rFonts w:hint="eastAsia" w:ascii="仿宋" w:hAnsi="仿宋" w:eastAsia="仿宋" w:cs="仿宋"/>
          <w:b w:val="0"/>
          <w:bCs w:val="0"/>
          <w:color w:val="000000"/>
          <w:sz w:val="32"/>
          <w:szCs w:val="32"/>
          <w:lang w:val="en-US" w:eastAsia="zh-CN"/>
        </w:rPr>
        <w:t>四川省</w:t>
      </w:r>
      <w:r>
        <w:rPr>
          <w:rFonts w:hint="eastAsia" w:ascii="仿宋" w:hAnsi="仿宋" w:eastAsia="仿宋" w:cs="仿宋"/>
          <w:b w:val="0"/>
          <w:bCs w:val="0"/>
          <w:color w:val="000000"/>
          <w:sz w:val="32"/>
          <w:szCs w:val="32"/>
        </w:rPr>
        <w:t>攀枝花市中心医院</w:t>
      </w:r>
      <w:r>
        <w:rPr>
          <w:rFonts w:hint="eastAsia" w:ascii="仿宋" w:hAnsi="仿宋" w:eastAsia="仿宋" w:cs="仿宋"/>
          <w:b w:val="0"/>
          <w:bCs w:val="0"/>
          <w:i w:val="0"/>
          <w:iCs w:val="0"/>
          <w:caps w:val="0"/>
          <w:color w:val="000000"/>
          <w:spacing w:val="0"/>
          <w:sz w:val="32"/>
          <w:szCs w:val="32"/>
          <w:shd w:val="clear" w:color="auto" w:fill="FFFFFF"/>
        </w:rPr>
        <w:t>始建于1965年</w:t>
      </w:r>
      <w:r>
        <w:rPr>
          <w:rFonts w:hint="eastAsia" w:ascii="仿宋" w:hAnsi="仿宋" w:eastAsia="仿宋" w:cs="仿宋"/>
          <w:b w:val="0"/>
          <w:bCs w:val="0"/>
          <w:i w:val="0"/>
          <w:iCs w:val="0"/>
          <w:caps w:val="0"/>
          <w:color w:val="000000"/>
          <w:spacing w:val="0"/>
          <w:sz w:val="32"/>
          <w:szCs w:val="32"/>
          <w:shd w:val="clear" w:color="auto" w:fill="FFFFFF"/>
          <w:lang w:eastAsia="zh-CN"/>
        </w:rPr>
        <w:t>，</w:t>
      </w:r>
      <w:r>
        <w:rPr>
          <w:rFonts w:hint="eastAsia" w:ascii="仿宋" w:hAnsi="仿宋" w:eastAsia="仿宋" w:cs="仿宋"/>
          <w:b w:val="0"/>
          <w:bCs w:val="0"/>
          <w:i w:val="0"/>
          <w:iCs w:val="0"/>
          <w:caps w:val="0"/>
          <w:color w:val="000000"/>
          <w:spacing w:val="0"/>
          <w:sz w:val="32"/>
          <w:szCs w:val="32"/>
          <w:shd w:val="clear" w:color="auto" w:fill="FFFFFF"/>
          <w:lang w:val="en-US" w:eastAsia="zh-CN"/>
        </w:rPr>
        <w:t>是</w:t>
      </w:r>
      <w:r>
        <w:rPr>
          <w:rFonts w:hint="eastAsia" w:ascii="仿宋" w:hAnsi="仿宋" w:eastAsia="仿宋" w:cs="仿宋"/>
          <w:b w:val="0"/>
          <w:bCs w:val="0"/>
          <w:color w:val="000000"/>
          <w:sz w:val="32"/>
          <w:szCs w:val="32"/>
        </w:rPr>
        <w:t>一所</w:t>
      </w:r>
      <w:r>
        <w:rPr>
          <w:rFonts w:hint="eastAsia" w:ascii="仿宋" w:hAnsi="仿宋" w:eastAsia="仿宋" w:cs="仿宋"/>
          <w:b w:val="0"/>
          <w:bCs w:val="0"/>
          <w:i w:val="0"/>
          <w:iCs w:val="0"/>
          <w:caps w:val="0"/>
          <w:color w:val="000000"/>
          <w:spacing w:val="0"/>
          <w:sz w:val="32"/>
          <w:szCs w:val="32"/>
          <w:shd w:val="clear" w:color="auto" w:fill="FFFFFF"/>
        </w:rPr>
        <w:t>集医疗、教学、科研、预防保健、健康管理、应急救援、母婴保健、红十字救助、医养结合、老年友善、互联网医院于一体的</w:t>
      </w:r>
      <w:r>
        <w:rPr>
          <w:rFonts w:hint="eastAsia" w:ascii="仿宋" w:hAnsi="仿宋" w:eastAsia="仿宋" w:cs="仿宋"/>
          <w:b w:val="0"/>
          <w:bCs w:val="0"/>
          <w:color w:val="000000"/>
          <w:sz w:val="32"/>
          <w:szCs w:val="32"/>
        </w:rPr>
        <w:t>国家三级甲等</w:t>
      </w:r>
      <w:r>
        <w:rPr>
          <w:rFonts w:hint="eastAsia" w:ascii="仿宋" w:hAnsi="仿宋" w:eastAsia="仿宋" w:cs="仿宋"/>
          <w:b w:val="0"/>
          <w:bCs w:val="0"/>
          <w:color w:val="000000"/>
          <w:sz w:val="32"/>
          <w:szCs w:val="32"/>
          <w:lang w:val="en-US" w:eastAsia="zh-CN"/>
        </w:rPr>
        <w:t>综合</w:t>
      </w:r>
      <w:r>
        <w:rPr>
          <w:rFonts w:hint="eastAsia" w:ascii="仿宋" w:hAnsi="仿宋" w:eastAsia="仿宋" w:cs="仿宋"/>
          <w:b w:val="0"/>
          <w:bCs w:val="0"/>
          <w:color w:val="000000"/>
          <w:sz w:val="32"/>
          <w:szCs w:val="32"/>
        </w:rPr>
        <w:t>医院</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lang w:val="en-US" w:eastAsia="zh-CN"/>
        </w:rPr>
        <w:t>医院不仅</w:t>
      </w:r>
      <w:r>
        <w:rPr>
          <w:rFonts w:hint="eastAsia" w:ascii="仿宋" w:hAnsi="仿宋" w:eastAsia="仿宋" w:cs="仿宋"/>
          <w:b w:val="0"/>
          <w:bCs w:val="0"/>
          <w:color w:val="000000"/>
          <w:sz w:val="32"/>
          <w:szCs w:val="32"/>
        </w:rPr>
        <w:t>为全市人民身体健康提供医疗与护理保健服务</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lang w:val="en-US" w:eastAsia="zh-CN"/>
        </w:rPr>
        <w:t>医疗服务还辐射至周边10余个县市；</w:t>
      </w:r>
      <w:r>
        <w:rPr>
          <w:rFonts w:hint="eastAsia" w:ascii="仿宋" w:hAnsi="仿宋" w:eastAsia="仿宋" w:cs="仿宋"/>
          <w:b w:val="0"/>
          <w:bCs w:val="0"/>
          <w:color w:val="auto"/>
          <w:sz w:val="32"/>
          <w:szCs w:val="32"/>
        </w:rPr>
        <w:t>作为国家住院医师规范化培训基地</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医院充分</w:t>
      </w:r>
      <w:r>
        <w:rPr>
          <w:rFonts w:hint="eastAsia" w:ascii="仿宋" w:hAnsi="仿宋" w:eastAsia="仿宋" w:cs="仿宋"/>
          <w:b w:val="0"/>
          <w:bCs w:val="0"/>
          <w:color w:val="auto"/>
          <w:sz w:val="32"/>
          <w:szCs w:val="32"/>
        </w:rPr>
        <w:t>发挥科教研优势，为培养医学理论技能人才发挥引领作用</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lang w:val="en-US" w:eastAsia="zh-CN"/>
        </w:rPr>
        <w:t>医院还</w:t>
      </w:r>
      <w:r>
        <w:rPr>
          <w:rFonts w:hint="eastAsia" w:ascii="仿宋" w:hAnsi="仿宋" w:eastAsia="仿宋" w:cs="仿宋"/>
          <w:b w:val="0"/>
          <w:bCs w:val="0"/>
          <w:color w:val="000000"/>
          <w:sz w:val="32"/>
          <w:szCs w:val="32"/>
        </w:rPr>
        <w:t>开展健康教育</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rPr>
        <w:t>承担预防保健</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rPr>
        <w:t>急危重症和疑难病症诊治</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rPr>
        <w:t>灾害事故的紧急救援</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rPr>
        <w:t>对下级医疗机构业务技术指导</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rPr>
        <w:t>“精准扶贫”</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rPr>
        <w:t>对口医院支援</w:t>
      </w:r>
      <w:r>
        <w:rPr>
          <w:rFonts w:hint="eastAsia" w:ascii="仿宋" w:hAnsi="仿宋" w:eastAsia="仿宋" w:cs="仿宋"/>
          <w:b w:val="0"/>
          <w:bCs w:val="0"/>
          <w:color w:val="000000"/>
          <w:sz w:val="32"/>
          <w:szCs w:val="32"/>
          <w:lang w:val="en-US" w:eastAsia="zh-CN"/>
        </w:rPr>
        <w:t>等工作。</w:t>
      </w:r>
    </w:p>
    <w:p w14:paraId="6125BC9C">
      <w:pPr>
        <w:pStyle w:val="6"/>
        <w:rPr>
          <w:rStyle w:val="20"/>
          <w:rFonts w:ascii="Times New Roman" w:hAnsi="Times New Roman"/>
          <w:b w:val="0"/>
          <w:bCs w:val="0"/>
          <w:color w:val="auto"/>
          <w:highlight w:val="none"/>
        </w:rPr>
      </w:pPr>
      <w:bookmarkStart w:id="2" w:name="_Toc15377200"/>
      <w:bookmarkStart w:id="3" w:name="_Toc15396601"/>
      <w:r>
        <w:rPr>
          <w:rFonts w:hint="eastAsia" w:ascii="Times New Roman" w:hAnsi="Times New Roman" w:eastAsia="黑体"/>
          <w:b w:val="0"/>
          <w:color w:val="auto"/>
          <w:highlight w:val="none"/>
        </w:rPr>
        <w:t>二、机</w:t>
      </w:r>
      <w:r>
        <w:rPr>
          <w:rStyle w:val="20"/>
          <w:rFonts w:hint="eastAsia" w:ascii="Times New Roman" w:hAnsi="Times New Roman" w:eastAsia="黑体"/>
          <w:b w:val="0"/>
          <w:bCs w:val="0"/>
          <w:color w:val="auto"/>
          <w:highlight w:val="none"/>
        </w:rPr>
        <w:t>构设置</w:t>
      </w:r>
      <w:bookmarkEnd w:id="2"/>
      <w:bookmarkEnd w:id="3"/>
    </w:p>
    <w:p w14:paraId="14AEBAB2">
      <w:pPr>
        <w:ind w:firstLine="640" w:firstLineChars="200"/>
        <w:rPr>
          <w:rFonts w:eastAsia="仿宋_GB2312" w:cs="仿宋_GB2312"/>
          <w:sz w:val="32"/>
          <w:szCs w:val="32"/>
        </w:rPr>
      </w:pPr>
      <w:r>
        <w:rPr>
          <w:rFonts w:hint="eastAsia" w:eastAsia="仿宋_GB2312" w:cs="仿宋_GB2312"/>
          <w:sz w:val="32"/>
          <w:szCs w:val="32"/>
          <w:lang w:val="en-US" w:eastAsia="zh-CN"/>
        </w:rPr>
        <w:t>四川省攀枝花市中心医院</w:t>
      </w:r>
      <w:r>
        <w:rPr>
          <w:rFonts w:hint="eastAsia" w:eastAsia="仿宋_GB2312" w:cs="仿宋_GB2312"/>
          <w:sz w:val="32"/>
          <w:szCs w:val="32"/>
        </w:rPr>
        <w:t>下属二级预算单位</w:t>
      </w:r>
      <w:r>
        <w:rPr>
          <w:rFonts w:hint="eastAsia" w:eastAsia="仿宋_GB2312" w:cs="仿宋_GB2312"/>
          <w:sz w:val="32"/>
          <w:szCs w:val="32"/>
          <w:lang w:val="en-US" w:eastAsia="zh-CN"/>
        </w:rPr>
        <w:t>0</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bCs/>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14:paraId="03F3CB10">
      <w:pPr>
        <w:widowControl/>
        <w:jc w:val="left"/>
        <w:rPr>
          <w:rFonts w:ascii="Times New Roman" w:hAnsi="Times New Roman" w:eastAsia="仿宋"/>
          <w:color w:val="auto"/>
          <w:kern w:val="0"/>
          <w:sz w:val="32"/>
          <w:szCs w:val="32"/>
          <w:highlight w:val="none"/>
        </w:rPr>
      </w:pPr>
    </w:p>
    <w:p w14:paraId="24B005A4">
      <w:pPr>
        <w:pStyle w:val="5"/>
        <w:jc w:val="center"/>
        <w:rPr>
          <w:rFonts w:hint="eastAsia" w:ascii="方正小标宋简体" w:hAnsi="方正小标宋简体" w:eastAsia="方正小标宋简体" w:cs="方正小标宋简体"/>
          <w:b w:val="0"/>
          <w:color w:val="auto"/>
          <w:highlight w:val="none"/>
        </w:rPr>
      </w:pPr>
      <w:bookmarkStart w:id="4" w:name="_Toc15396602"/>
      <w:bookmarkStart w:id="5" w:name="_Toc15377204"/>
      <w:r>
        <w:rPr>
          <w:rFonts w:hint="eastAsia" w:ascii="方正小标宋简体" w:hAnsi="方正小标宋简体" w:eastAsia="方正小标宋简体" w:cs="方正小标宋简体"/>
          <w:b w:val="0"/>
          <w:color w:val="auto"/>
          <w:highlight w:val="none"/>
        </w:rPr>
        <w:t>第二部分</w:t>
      </w:r>
      <w:r>
        <w:rPr>
          <w:rFonts w:hint="eastAsia" w:ascii="方正小标宋简体" w:hAnsi="方正小标宋简体" w:eastAsia="方正小标宋简体" w:cs="方正小标宋简体"/>
          <w:b w:val="0"/>
          <w:color w:val="auto"/>
          <w:highlight w:val="none"/>
          <w:lang w:val="en-US" w:eastAsia="zh-CN"/>
        </w:rPr>
        <w:t xml:space="preserve"> </w:t>
      </w:r>
      <w:r>
        <w:rPr>
          <w:rFonts w:hint="eastAsia" w:ascii="方正小标宋简体" w:hAnsi="方正小标宋简体" w:eastAsia="方正小标宋简体" w:cs="方正小标宋简体"/>
          <w:b w:val="0"/>
          <w:color w:val="auto"/>
          <w:highlight w:val="none"/>
        </w:rPr>
        <w:t xml:space="preserve"> </w:t>
      </w:r>
      <w:r>
        <w:rPr>
          <w:rFonts w:hint="eastAsia" w:ascii="方正小标宋简体" w:hAnsi="方正小标宋简体" w:eastAsia="方正小标宋简体" w:cs="方正小标宋简体"/>
          <w:b w:val="0"/>
          <w:color w:val="auto"/>
          <w:highlight w:val="none"/>
          <w:lang w:val="en-US" w:eastAsia="zh-CN"/>
        </w:rPr>
        <w:t>2025年度单位</w:t>
      </w:r>
      <w:r>
        <w:rPr>
          <w:rFonts w:hint="eastAsia" w:ascii="方正小标宋简体" w:hAnsi="方正小标宋简体" w:eastAsia="方正小标宋简体" w:cs="方正小标宋简体"/>
          <w:b w:val="0"/>
          <w:color w:val="auto"/>
          <w:highlight w:val="none"/>
        </w:rPr>
        <w:t>决算情况说明</w:t>
      </w:r>
      <w:bookmarkEnd w:id="4"/>
      <w:bookmarkEnd w:id="5"/>
    </w:p>
    <w:p w14:paraId="577B3A56">
      <w:pPr>
        <w:rPr>
          <w:rFonts w:ascii="Times New Roman" w:hAnsi="Times New Roman"/>
          <w:color w:val="auto"/>
          <w:highlight w:val="none"/>
        </w:rPr>
      </w:pPr>
    </w:p>
    <w:p w14:paraId="532DD52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0"/>
          <w:rFonts w:hint="eastAsia" w:ascii="Times New Roman" w:hAnsi="Times New Roman" w:eastAsia="黑体"/>
          <w:b w:val="0"/>
          <w:color w:val="auto"/>
          <w:highlight w:val="none"/>
        </w:rPr>
      </w:pPr>
      <w:bookmarkStart w:id="6" w:name="_Toc15377205"/>
      <w:bookmarkStart w:id="7"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0"/>
          <w:rFonts w:hint="eastAsia" w:ascii="Times New Roman" w:hAnsi="Times New Roman" w:eastAsia="黑体"/>
          <w:b w:val="0"/>
          <w:color w:val="auto"/>
          <w:highlight w:val="none"/>
        </w:rPr>
        <w:t>入支出决算总体情况说明</w:t>
      </w:r>
      <w:bookmarkEnd w:id="6"/>
      <w:bookmarkEnd w:id="7"/>
    </w:p>
    <w:p w14:paraId="2D0E33B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年度收入</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支出</w:t>
      </w:r>
      <w:r>
        <w:rPr>
          <w:rFonts w:hint="eastAsia" w:ascii="仿宋" w:hAnsi="仿宋" w:eastAsia="仿宋" w:cs="仿宋"/>
          <w:color w:val="auto"/>
          <w:sz w:val="32"/>
          <w:szCs w:val="32"/>
          <w:highlight w:val="none"/>
        </w:rPr>
        <w:t>总计</w:t>
      </w:r>
      <w:r>
        <w:rPr>
          <w:rFonts w:hint="eastAsia" w:ascii="仿宋" w:hAnsi="仿宋" w:eastAsia="仿宋" w:cs="仿宋"/>
          <w:color w:val="auto"/>
          <w:sz w:val="32"/>
          <w:szCs w:val="32"/>
          <w:highlight w:val="none"/>
          <w:lang w:eastAsia="zh-CN"/>
        </w:rPr>
        <w:t>均为</w:t>
      </w:r>
      <w:r>
        <w:rPr>
          <w:rFonts w:hint="eastAsia" w:ascii="仿宋" w:hAnsi="仿宋" w:eastAsia="仿宋" w:cs="仿宋"/>
          <w:sz w:val="32"/>
          <w:szCs w:val="32"/>
        </w:rPr>
        <w:t>18</w:t>
      </w:r>
      <w:r>
        <w:rPr>
          <w:rFonts w:hint="eastAsia" w:ascii="仿宋" w:hAnsi="仿宋" w:eastAsia="仿宋" w:cs="仿宋"/>
          <w:sz w:val="32"/>
          <w:szCs w:val="32"/>
          <w:lang w:val="en-US" w:eastAsia="zh-CN"/>
        </w:rPr>
        <w:t>9538.89</w:t>
      </w:r>
      <w:r>
        <w:rPr>
          <w:rFonts w:hint="eastAsia" w:ascii="仿宋" w:hAnsi="仿宋" w:eastAsia="仿宋" w:cs="仿宋"/>
          <w:color w:val="auto"/>
          <w:sz w:val="32"/>
          <w:szCs w:val="32"/>
          <w:highlight w:val="none"/>
        </w:rPr>
        <w:t>万元。与</w:t>
      </w:r>
      <w:r>
        <w:rPr>
          <w:rFonts w:hint="eastAsia" w:ascii="仿宋" w:hAnsi="仿宋" w:eastAsia="仿宋" w:cs="仿宋"/>
          <w:color w:val="auto"/>
          <w:sz w:val="32"/>
          <w:szCs w:val="32"/>
          <w:highlight w:val="none"/>
          <w:lang w:val="en-US" w:eastAsia="zh-CN"/>
        </w:rPr>
        <w:t>上</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eastAsia="zh-CN"/>
        </w:rPr>
        <w:t>度</w:t>
      </w:r>
      <w:r>
        <w:rPr>
          <w:rFonts w:hint="eastAsia" w:ascii="仿宋" w:hAnsi="仿宋" w:eastAsia="仿宋" w:cs="仿宋"/>
          <w:color w:val="auto"/>
          <w:sz w:val="32"/>
          <w:szCs w:val="32"/>
          <w:highlight w:val="none"/>
        </w:rPr>
        <w:t>相比，</w:t>
      </w:r>
      <w:r>
        <w:rPr>
          <w:rFonts w:hint="eastAsia" w:ascii="仿宋" w:hAnsi="仿宋" w:eastAsia="仿宋" w:cs="仿宋"/>
          <w:color w:val="auto"/>
          <w:sz w:val="32"/>
          <w:szCs w:val="32"/>
          <w:highlight w:val="none"/>
          <w:lang w:eastAsia="zh-CN"/>
        </w:rPr>
        <w:t>收入</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支出</w:t>
      </w:r>
      <w:r>
        <w:rPr>
          <w:rFonts w:hint="eastAsia" w:ascii="仿宋" w:hAnsi="仿宋" w:eastAsia="仿宋" w:cs="仿宋"/>
          <w:color w:val="auto"/>
          <w:sz w:val="32"/>
          <w:szCs w:val="32"/>
          <w:highlight w:val="none"/>
        </w:rPr>
        <w:t>总计各增加</w:t>
      </w:r>
      <w:r>
        <w:rPr>
          <w:rFonts w:hint="eastAsia" w:ascii="仿宋" w:hAnsi="仿宋" w:eastAsia="仿宋" w:cs="仿宋"/>
          <w:color w:val="auto"/>
          <w:sz w:val="32"/>
          <w:szCs w:val="32"/>
          <w:highlight w:val="none"/>
          <w:lang w:val="en-US" w:eastAsia="zh-CN"/>
        </w:rPr>
        <w:t>5709.89</w:t>
      </w:r>
      <w:r>
        <w:rPr>
          <w:rFonts w:hint="eastAsia" w:ascii="仿宋" w:hAnsi="仿宋" w:eastAsia="仿宋" w:cs="仿宋"/>
          <w:color w:val="auto"/>
          <w:sz w:val="32"/>
          <w:szCs w:val="32"/>
          <w:highlight w:val="none"/>
        </w:rPr>
        <w:t>万元，增长</w:t>
      </w:r>
      <w:r>
        <w:rPr>
          <w:rFonts w:hint="eastAsia" w:ascii="仿宋" w:hAnsi="仿宋" w:eastAsia="仿宋" w:cs="仿宋"/>
          <w:color w:val="auto"/>
          <w:sz w:val="32"/>
          <w:szCs w:val="32"/>
          <w:highlight w:val="none"/>
          <w:lang w:val="en-US" w:eastAsia="zh-CN"/>
        </w:rPr>
        <w:t>3.1</w:t>
      </w:r>
      <w:r>
        <w:rPr>
          <w:rFonts w:hint="eastAsia" w:ascii="仿宋" w:hAnsi="仿宋" w:eastAsia="仿宋" w:cs="仿宋"/>
          <w:color w:val="auto"/>
          <w:sz w:val="32"/>
          <w:szCs w:val="32"/>
          <w:highlight w:val="none"/>
        </w:rPr>
        <w:t>%。主要变动原因是</w:t>
      </w:r>
      <w:r>
        <w:rPr>
          <w:rFonts w:hint="eastAsia" w:ascii="仿宋" w:hAnsi="仿宋" w:eastAsia="仿宋" w:cs="仿宋"/>
          <w:color w:val="auto"/>
          <w:sz w:val="32"/>
          <w:szCs w:val="32"/>
          <w:highlight w:val="none"/>
          <w:lang w:val="en-US" w:eastAsia="zh-CN"/>
        </w:rPr>
        <w:t>医疗业务量同比增长，事业收入随之增加。</w:t>
      </w:r>
    </w:p>
    <w:p w14:paraId="63F11B4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753995"/>
            <wp:effectExtent l="0" t="0" r="635" b="8255"/>
            <wp:docPr id="19" name="图片 1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1"/>
                    <pic:cNvPicPr>
                      <a:picLocks noChangeAspect="1"/>
                    </pic:cNvPicPr>
                  </pic:nvPicPr>
                  <pic:blipFill>
                    <a:blip r:embed="rId13"/>
                    <a:stretch>
                      <a:fillRect/>
                    </a:stretch>
                  </pic:blipFill>
                  <pic:spPr>
                    <a:xfrm>
                      <a:off x="0" y="0"/>
                      <a:ext cx="4838065" cy="2753995"/>
                    </a:xfrm>
                    <a:prstGeom prst="rect">
                      <a:avLst/>
                    </a:prstGeom>
                  </pic:spPr>
                </pic:pic>
              </a:graphicData>
            </a:graphic>
          </wp:inline>
        </w:drawing>
      </w:r>
    </w:p>
    <w:p w14:paraId="0727BC3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8" w:name="_Toc15377206"/>
      <w:bookmarkStart w:id="9" w:name="_Toc15396604"/>
      <w:r>
        <w:rPr>
          <w:rFonts w:hint="eastAsia" w:ascii="Times New Roman" w:hAnsi="Times New Roman" w:eastAsia="黑体"/>
          <w:color w:val="auto"/>
          <w:sz w:val="32"/>
          <w:szCs w:val="32"/>
          <w:highlight w:val="none"/>
          <w:lang w:eastAsia="zh-CN"/>
        </w:rPr>
        <w:t>二、收入决算情况说明</w:t>
      </w:r>
      <w:bookmarkEnd w:id="8"/>
      <w:bookmarkEnd w:id="9"/>
    </w:p>
    <w:p w14:paraId="20FD6C0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b/>
          <w:bCs/>
          <w:color w:val="auto"/>
          <w:sz w:val="32"/>
          <w:szCs w:val="32"/>
          <w:highlight w:val="none"/>
          <w:lang w:eastAsia="zh-CN"/>
        </w:rPr>
      </w:pPr>
      <w:r>
        <w:rPr>
          <w:rFonts w:hint="eastAsia" w:ascii="仿宋" w:hAnsi="仿宋" w:eastAsia="仿宋" w:cs="仿宋"/>
          <w:color w:val="auto"/>
          <w:sz w:val="32"/>
          <w:szCs w:val="32"/>
          <w:highlight w:val="none"/>
          <w:lang w:eastAsia="zh-CN"/>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年度本年收入合计</w:t>
      </w:r>
      <w:r>
        <w:rPr>
          <w:rFonts w:hint="eastAsia" w:ascii="仿宋" w:hAnsi="仿宋" w:eastAsia="仿宋" w:cs="仿宋"/>
          <w:sz w:val="32"/>
          <w:szCs w:val="32"/>
          <w:lang w:val="en-US" w:eastAsia="zh-CN"/>
        </w:rPr>
        <w:t>151559.64</w:t>
      </w:r>
      <w:r>
        <w:rPr>
          <w:rFonts w:hint="eastAsia" w:ascii="仿宋" w:hAnsi="仿宋" w:eastAsia="仿宋" w:cs="仿宋"/>
          <w:sz w:val="32"/>
          <w:szCs w:val="32"/>
        </w:rPr>
        <w:t>万元，其中：一般公共预算财政拨款收入</w:t>
      </w:r>
      <w:r>
        <w:rPr>
          <w:rFonts w:hint="eastAsia" w:ascii="仿宋" w:hAnsi="仿宋" w:eastAsia="仿宋" w:cs="仿宋"/>
          <w:sz w:val="32"/>
          <w:szCs w:val="32"/>
          <w:lang w:val="en-US" w:eastAsia="zh-CN"/>
        </w:rPr>
        <w:t>3474.65</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lang w:val="en-US" w:eastAsia="zh-CN"/>
        </w:rPr>
        <w:t>2.3</w:t>
      </w:r>
      <w:r>
        <w:rPr>
          <w:rFonts w:hint="eastAsia" w:ascii="仿宋" w:hAnsi="仿宋" w:eastAsia="仿宋" w:cs="仿宋"/>
          <w:color w:val="auto"/>
          <w:sz w:val="32"/>
          <w:szCs w:val="32"/>
          <w:highlight w:val="none"/>
          <w:lang w:eastAsia="zh-CN"/>
        </w:rPr>
        <w:t>%；政府性基金预算财政拨款收入</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%；国有资本经营预算财政拨款收入</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%；上级补助收入</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%；事业收入</w:t>
      </w:r>
      <w:r>
        <w:rPr>
          <w:rFonts w:hint="eastAsia" w:ascii="仿宋" w:hAnsi="仿宋" w:eastAsia="仿宋" w:cs="仿宋"/>
          <w:sz w:val="32"/>
          <w:szCs w:val="32"/>
        </w:rPr>
        <w:t>1</w:t>
      </w:r>
      <w:r>
        <w:rPr>
          <w:rFonts w:hint="eastAsia" w:ascii="仿宋" w:hAnsi="仿宋" w:eastAsia="仿宋" w:cs="仿宋"/>
          <w:sz w:val="32"/>
          <w:szCs w:val="32"/>
          <w:lang w:val="en-US" w:eastAsia="zh-CN"/>
        </w:rPr>
        <w:t>46908.49</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lang w:val="en-US" w:eastAsia="zh-CN"/>
        </w:rPr>
        <w:t>96.9</w:t>
      </w:r>
      <w:r>
        <w:rPr>
          <w:rFonts w:hint="eastAsia" w:ascii="仿宋" w:hAnsi="仿宋" w:eastAsia="仿宋" w:cs="仿宋"/>
          <w:color w:val="auto"/>
          <w:sz w:val="32"/>
          <w:szCs w:val="32"/>
          <w:highlight w:val="none"/>
          <w:lang w:eastAsia="zh-CN"/>
        </w:rPr>
        <w:t>%；经营收入</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%；附属单位上缴收入</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%；其他收入</w:t>
      </w:r>
      <w:r>
        <w:rPr>
          <w:rFonts w:hint="eastAsia" w:ascii="仿宋" w:hAnsi="仿宋" w:eastAsia="仿宋" w:cs="仿宋"/>
          <w:sz w:val="32"/>
          <w:szCs w:val="32"/>
        </w:rPr>
        <w:t>1</w:t>
      </w:r>
      <w:r>
        <w:rPr>
          <w:rFonts w:hint="eastAsia" w:ascii="仿宋" w:hAnsi="仿宋" w:eastAsia="仿宋" w:cs="仿宋"/>
          <w:sz w:val="32"/>
          <w:szCs w:val="32"/>
          <w:lang w:val="en-US" w:eastAsia="zh-CN"/>
        </w:rPr>
        <w:t>176.5</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lang w:val="en-US" w:eastAsia="zh-CN"/>
        </w:rPr>
        <w:t>0.8</w:t>
      </w:r>
      <w:r>
        <w:rPr>
          <w:rFonts w:hint="eastAsia" w:ascii="仿宋" w:hAnsi="仿宋" w:eastAsia="仿宋" w:cs="仿宋"/>
          <w:color w:val="auto"/>
          <w:sz w:val="32"/>
          <w:szCs w:val="32"/>
          <w:highlight w:val="none"/>
          <w:lang w:eastAsia="zh-CN"/>
        </w:rPr>
        <w:t>%。</w:t>
      </w:r>
    </w:p>
    <w:p w14:paraId="6978F033">
      <w:pPr>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drawing>
          <wp:inline distT="0" distB="0" distL="114300" distR="114300">
            <wp:extent cx="4838065" cy="2753995"/>
            <wp:effectExtent l="0" t="0" r="635" b="8255"/>
            <wp:docPr id="21" name="图片 2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2"/>
                    <pic:cNvPicPr>
                      <a:picLocks noChangeAspect="1"/>
                    </pic:cNvPicPr>
                  </pic:nvPicPr>
                  <pic:blipFill>
                    <a:blip r:embed="rId14"/>
                    <a:stretch>
                      <a:fillRect/>
                    </a:stretch>
                  </pic:blipFill>
                  <pic:spPr>
                    <a:xfrm>
                      <a:off x="0" y="0"/>
                      <a:ext cx="4838065" cy="2753995"/>
                    </a:xfrm>
                    <a:prstGeom prst="rect">
                      <a:avLst/>
                    </a:prstGeom>
                  </pic:spPr>
                </pic:pic>
              </a:graphicData>
            </a:graphic>
          </wp:inline>
        </w:drawing>
      </w:r>
    </w:p>
    <w:p w14:paraId="6E5A758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0"/>
          <w:rFonts w:hint="eastAsia" w:ascii="Times New Roman" w:hAnsi="Times New Roman" w:eastAsia="黑体"/>
          <w:b w:val="0"/>
          <w:color w:val="auto"/>
          <w:highlight w:val="none"/>
        </w:rPr>
      </w:pPr>
      <w:bookmarkStart w:id="10" w:name="_Toc15377207"/>
      <w:bookmarkStart w:id="1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0"/>
          <w:rFonts w:hint="eastAsia" w:ascii="Times New Roman" w:hAnsi="Times New Roman" w:eastAsia="黑体"/>
          <w:b w:val="0"/>
          <w:color w:val="auto"/>
          <w:highlight w:val="none"/>
        </w:rPr>
        <w:t>出决算情况说明</w:t>
      </w:r>
      <w:bookmarkEnd w:id="10"/>
      <w:bookmarkEnd w:id="11"/>
    </w:p>
    <w:p w14:paraId="53CA8A8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年度本年支出合计</w:t>
      </w:r>
      <w:r>
        <w:rPr>
          <w:rFonts w:hint="eastAsia" w:ascii="仿宋" w:hAnsi="仿宋" w:eastAsia="仿宋" w:cs="仿宋"/>
          <w:sz w:val="32"/>
          <w:szCs w:val="32"/>
          <w:lang w:val="en-US" w:eastAsia="zh-CN"/>
        </w:rPr>
        <w:t>139585.11</w:t>
      </w:r>
      <w:r>
        <w:rPr>
          <w:rFonts w:hint="eastAsia" w:ascii="仿宋" w:hAnsi="仿宋" w:eastAsia="仿宋" w:cs="仿宋"/>
          <w:color w:val="auto"/>
          <w:sz w:val="32"/>
          <w:szCs w:val="32"/>
          <w:highlight w:val="none"/>
          <w:lang w:eastAsia="zh-CN"/>
        </w:rPr>
        <w:t>万元，其中：基本支出</w:t>
      </w:r>
      <w:r>
        <w:rPr>
          <w:rFonts w:hint="eastAsia" w:ascii="仿宋" w:hAnsi="仿宋" w:eastAsia="仿宋" w:cs="仿宋"/>
          <w:sz w:val="32"/>
          <w:szCs w:val="32"/>
          <w:lang w:val="en-US" w:eastAsia="zh-CN"/>
        </w:rPr>
        <w:t>131427.94</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rPr>
        <w:t>94.</w:t>
      </w:r>
      <w:r>
        <w:rPr>
          <w:rFonts w:hint="eastAsia" w:ascii="仿宋" w:hAnsi="仿宋" w:eastAsia="仿宋" w:cs="仿宋"/>
          <w:sz w:val="32"/>
          <w:szCs w:val="32"/>
          <w:lang w:val="en-US" w:eastAsia="zh-CN"/>
        </w:rPr>
        <w:t>2</w:t>
      </w:r>
      <w:r>
        <w:rPr>
          <w:rFonts w:hint="eastAsia" w:ascii="仿宋" w:hAnsi="仿宋" w:eastAsia="仿宋" w:cs="仿宋"/>
          <w:color w:val="auto"/>
          <w:sz w:val="32"/>
          <w:szCs w:val="32"/>
          <w:highlight w:val="none"/>
          <w:lang w:eastAsia="zh-CN"/>
        </w:rPr>
        <w:t>%；项目支出</w:t>
      </w:r>
      <w:r>
        <w:rPr>
          <w:rFonts w:hint="eastAsia" w:ascii="仿宋" w:hAnsi="仿宋" w:eastAsia="仿宋" w:cs="仿宋"/>
          <w:sz w:val="32"/>
          <w:szCs w:val="32"/>
        </w:rPr>
        <w:t>8</w:t>
      </w:r>
      <w:r>
        <w:rPr>
          <w:rFonts w:hint="eastAsia" w:ascii="仿宋" w:hAnsi="仿宋" w:eastAsia="仿宋" w:cs="仿宋"/>
          <w:sz w:val="32"/>
          <w:szCs w:val="32"/>
          <w:lang w:val="en-US" w:eastAsia="zh-CN"/>
        </w:rPr>
        <w:t>157.16</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rPr>
        <w:t>5.</w:t>
      </w:r>
      <w:r>
        <w:rPr>
          <w:rFonts w:hint="eastAsia" w:ascii="仿宋" w:hAnsi="仿宋" w:eastAsia="仿宋" w:cs="仿宋"/>
          <w:sz w:val="32"/>
          <w:szCs w:val="32"/>
          <w:lang w:val="en-US" w:eastAsia="zh-CN"/>
        </w:rPr>
        <w:t>8</w:t>
      </w:r>
      <w:r>
        <w:rPr>
          <w:rFonts w:hint="eastAsia" w:ascii="仿宋" w:hAnsi="仿宋" w:eastAsia="仿宋" w:cs="仿宋"/>
          <w:color w:val="auto"/>
          <w:sz w:val="32"/>
          <w:szCs w:val="32"/>
          <w:highlight w:val="none"/>
          <w:lang w:eastAsia="zh-CN"/>
        </w:rPr>
        <w:t>%；上缴上级支出</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%；经营支出</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%；对附属单位补助支出</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仿宋" w:hAnsi="仿宋" w:eastAsia="仿宋" w:cs="仿宋"/>
          <w:color w:val="auto"/>
          <w:sz w:val="32"/>
          <w:szCs w:val="32"/>
          <w:highlight w:val="none"/>
          <w:lang w:eastAsia="zh-CN"/>
        </w:rPr>
        <w:t>%。</w:t>
      </w:r>
    </w:p>
    <w:p w14:paraId="48106780">
      <w:pPr>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val="en-US" w:eastAsia="zh-CN"/>
        </w:rPr>
        <w:drawing>
          <wp:inline distT="0" distB="0" distL="114300" distR="114300">
            <wp:extent cx="4838065" cy="2753995"/>
            <wp:effectExtent l="0" t="0" r="635" b="8255"/>
            <wp:docPr id="23" name="图片 2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3"/>
                    <pic:cNvPicPr>
                      <a:picLocks noChangeAspect="1"/>
                    </pic:cNvPicPr>
                  </pic:nvPicPr>
                  <pic:blipFill>
                    <a:blip r:embed="rId15"/>
                    <a:stretch>
                      <a:fillRect/>
                    </a:stretch>
                  </pic:blipFill>
                  <pic:spPr>
                    <a:xfrm>
                      <a:off x="0" y="0"/>
                      <a:ext cx="4838065" cy="2753995"/>
                    </a:xfrm>
                    <a:prstGeom prst="rect">
                      <a:avLst/>
                    </a:prstGeom>
                  </pic:spPr>
                </pic:pic>
              </a:graphicData>
            </a:graphic>
          </wp:inline>
        </w:drawing>
      </w:r>
    </w:p>
    <w:p w14:paraId="5903AFFD">
      <w:pPr>
        <w:spacing w:line="600" w:lineRule="exact"/>
        <w:ind w:firstLine="640" w:firstLineChars="200"/>
        <w:outlineLvl w:val="1"/>
        <w:rPr>
          <w:rStyle w:val="20"/>
          <w:rFonts w:ascii="Times New Roman" w:hAnsi="Times New Roman" w:eastAsia="黑体"/>
          <w:b w:val="0"/>
          <w:color w:val="auto"/>
          <w:highlight w:val="none"/>
        </w:rPr>
      </w:pPr>
      <w:bookmarkStart w:id="12" w:name="_Toc15396606"/>
      <w:bookmarkStart w:id="13" w:name="_Toc15377208"/>
      <w:r>
        <w:rPr>
          <w:rFonts w:hint="eastAsia" w:ascii="Times New Roman" w:hAnsi="Times New Roman" w:eastAsia="黑体"/>
          <w:color w:val="auto"/>
          <w:sz w:val="32"/>
          <w:szCs w:val="32"/>
          <w:highlight w:val="none"/>
        </w:rPr>
        <w:t>四、财</w:t>
      </w:r>
      <w:r>
        <w:rPr>
          <w:rStyle w:val="20"/>
          <w:rFonts w:hint="eastAsia" w:ascii="Times New Roman" w:hAnsi="Times New Roman" w:eastAsia="黑体"/>
          <w:b w:val="0"/>
          <w:color w:val="auto"/>
          <w:highlight w:val="none"/>
        </w:rPr>
        <w:t>政拨款收入支出决算总体情况说明</w:t>
      </w:r>
      <w:bookmarkEnd w:id="12"/>
      <w:bookmarkEnd w:id="13"/>
    </w:p>
    <w:p w14:paraId="370AB337">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2025年度财政拨款收入、支出总计均为</w:t>
      </w:r>
      <w:r>
        <w:rPr>
          <w:rFonts w:hint="eastAsia" w:ascii="仿宋" w:hAnsi="仿宋" w:eastAsia="仿宋" w:cs="仿宋"/>
          <w:sz w:val="32"/>
          <w:szCs w:val="32"/>
          <w:lang w:val="en-US" w:eastAsia="zh-CN"/>
        </w:rPr>
        <w:t>3474.65</w:t>
      </w:r>
      <w:r>
        <w:rPr>
          <w:rFonts w:hint="eastAsia" w:ascii="仿宋" w:hAnsi="仿宋" w:eastAsia="仿宋" w:cs="仿宋"/>
          <w:color w:val="auto"/>
          <w:kern w:val="2"/>
          <w:sz w:val="32"/>
          <w:szCs w:val="32"/>
          <w:highlight w:val="none"/>
          <w:lang w:val="en-US" w:eastAsia="zh-CN" w:bidi="ar-SA"/>
        </w:rPr>
        <w:t>万元。与上年度相比，财政拨款收入、支出总计各增加1351.14万元，增长63.6%。主要变动原因是</w:t>
      </w:r>
      <w:r>
        <w:rPr>
          <w:rFonts w:hint="eastAsia" w:ascii="仿宋" w:hAnsi="仿宋" w:eastAsia="仿宋" w:cs="仿宋"/>
          <w:color w:val="000000"/>
          <w:sz w:val="32"/>
          <w:szCs w:val="32"/>
          <w:lang w:val="en-US" w:eastAsia="zh-CN"/>
        </w:rPr>
        <w:t>住院医师规范化培训项目因拨付以往年度项目资金及2025年度下半学期项目资金同比增加1019万元，人才专项经费同比增加202万元，支出也随之增加。</w:t>
      </w:r>
    </w:p>
    <w:p w14:paraId="0B1FCB49">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24" name="图片 24"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4"/>
                    <pic:cNvPicPr>
                      <a:picLocks noChangeAspect="1"/>
                    </pic:cNvPicPr>
                  </pic:nvPicPr>
                  <pic:blipFill>
                    <a:blip r:embed="rId16"/>
                    <a:stretch>
                      <a:fillRect/>
                    </a:stretch>
                  </pic:blipFill>
                  <pic:spPr>
                    <a:xfrm>
                      <a:off x="0" y="0"/>
                      <a:ext cx="4838065" cy="2753995"/>
                    </a:xfrm>
                    <a:prstGeom prst="rect">
                      <a:avLst/>
                    </a:prstGeom>
                  </pic:spPr>
                </pic:pic>
              </a:graphicData>
            </a:graphic>
          </wp:inline>
        </w:drawing>
      </w:r>
    </w:p>
    <w:p w14:paraId="46B4B47B">
      <w:pPr>
        <w:spacing w:line="600" w:lineRule="exact"/>
        <w:ind w:firstLine="640" w:firstLineChars="200"/>
        <w:outlineLvl w:val="1"/>
        <w:rPr>
          <w:rStyle w:val="20"/>
          <w:rFonts w:ascii="Times New Roman" w:hAnsi="Times New Roman" w:eastAsia="黑体"/>
          <w:b w:val="0"/>
          <w:color w:val="auto"/>
          <w:highlight w:val="none"/>
        </w:rPr>
      </w:pPr>
      <w:bookmarkStart w:id="14" w:name="_Toc15377209"/>
      <w:bookmarkStart w:id="1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0"/>
          <w:rFonts w:hint="eastAsia" w:ascii="Times New Roman" w:hAnsi="Times New Roman" w:eastAsia="黑体"/>
          <w:b w:val="0"/>
          <w:color w:val="auto"/>
          <w:highlight w:val="none"/>
        </w:rPr>
        <w:t>般公共预算财政拨款支出决算情况说明</w:t>
      </w:r>
      <w:bookmarkEnd w:id="14"/>
      <w:bookmarkEnd w:id="15"/>
    </w:p>
    <w:p w14:paraId="14B511B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16"/>
    </w:p>
    <w:p w14:paraId="02792547">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2025年度一般公共预算财政拨款支出</w:t>
      </w:r>
      <w:r>
        <w:rPr>
          <w:rFonts w:hint="eastAsia" w:ascii="仿宋" w:hAnsi="仿宋" w:eastAsia="仿宋" w:cs="仿宋"/>
          <w:sz w:val="32"/>
          <w:szCs w:val="32"/>
          <w:lang w:val="en-US" w:eastAsia="zh-CN"/>
        </w:rPr>
        <w:t>3474.65</w:t>
      </w:r>
      <w:r>
        <w:rPr>
          <w:rFonts w:hint="eastAsia" w:ascii="仿宋" w:hAnsi="仿宋" w:eastAsia="仿宋" w:cs="仿宋"/>
          <w:color w:val="auto"/>
          <w:kern w:val="2"/>
          <w:sz w:val="32"/>
          <w:szCs w:val="32"/>
          <w:highlight w:val="none"/>
          <w:lang w:val="en-US" w:eastAsia="zh-CN" w:bidi="ar-SA"/>
        </w:rPr>
        <w:t>万元，占本年支出合计的</w:t>
      </w:r>
      <w:r>
        <w:rPr>
          <w:rFonts w:hint="eastAsia" w:ascii="仿宋" w:hAnsi="仿宋" w:eastAsia="仿宋" w:cs="仿宋"/>
          <w:sz w:val="32"/>
          <w:szCs w:val="32"/>
          <w:lang w:val="en-US" w:eastAsia="zh-CN"/>
        </w:rPr>
        <w:t>2.5</w:t>
      </w:r>
      <w:r>
        <w:rPr>
          <w:rFonts w:hint="eastAsia" w:ascii="仿宋" w:hAnsi="仿宋" w:eastAsia="仿宋" w:cs="仿宋"/>
          <w:color w:val="auto"/>
          <w:kern w:val="2"/>
          <w:sz w:val="32"/>
          <w:szCs w:val="32"/>
          <w:highlight w:val="none"/>
          <w:lang w:val="en-US" w:eastAsia="zh-CN" w:bidi="ar-SA"/>
        </w:rPr>
        <w:t>%。与上年度相比，一般公共预算财政拨款支出增加1351.14万元，增长63.6%。主要变动原因是</w:t>
      </w:r>
      <w:r>
        <w:rPr>
          <w:rFonts w:hint="eastAsia" w:ascii="仿宋" w:hAnsi="仿宋" w:eastAsia="仿宋" w:cs="仿宋"/>
          <w:color w:val="000000"/>
          <w:sz w:val="32"/>
          <w:szCs w:val="32"/>
          <w:lang w:val="en-US" w:eastAsia="zh-CN"/>
        </w:rPr>
        <w:t>住院医师规范化培训项目因拨付以往年度项目资金及2025年度下半学期项目资金同比增加1019万元，人才专项经费同比增加202万元，支出也随之增加。</w:t>
      </w:r>
    </w:p>
    <w:p w14:paraId="10B3BA5C">
      <w:pPr>
        <w:spacing w:line="600" w:lineRule="exact"/>
        <w:ind w:firstLine="640"/>
        <w:rPr>
          <w:rFonts w:hint="eastAsia" w:ascii="仿宋" w:hAnsi="仿宋" w:eastAsia="仿宋" w:cs="仿宋"/>
          <w:color w:val="auto"/>
          <w:kern w:val="2"/>
          <w:sz w:val="32"/>
          <w:szCs w:val="32"/>
          <w:highlight w:val="none"/>
          <w:lang w:val="en-US" w:eastAsia="zh-CN" w:bidi="ar-SA"/>
        </w:rPr>
      </w:pPr>
    </w:p>
    <w:p w14:paraId="56757630">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25" name="图片 2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5"/>
                    <pic:cNvPicPr>
                      <a:picLocks noChangeAspect="1"/>
                    </pic:cNvPicPr>
                  </pic:nvPicPr>
                  <pic:blipFill>
                    <a:blip r:embed="rId17"/>
                    <a:stretch>
                      <a:fillRect/>
                    </a:stretch>
                  </pic:blipFill>
                  <pic:spPr>
                    <a:xfrm>
                      <a:off x="0" y="0"/>
                      <a:ext cx="4838065" cy="2753995"/>
                    </a:xfrm>
                    <a:prstGeom prst="rect">
                      <a:avLst/>
                    </a:prstGeom>
                  </pic:spPr>
                </pic:pic>
              </a:graphicData>
            </a:graphic>
          </wp:inline>
        </w:drawing>
      </w:r>
    </w:p>
    <w:p w14:paraId="36E5DDE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17"/>
    </w:p>
    <w:p w14:paraId="5819A56D">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2025年度一般公共预算财政拨款支出</w:t>
      </w:r>
      <w:r>
        <w:rPr>
          <w:rFonts w:hint="eastAsia" w:ascii="仿宋" w:hAnsi="仿宋" w:eastAsia="仿宋" w:cs="仿宋"/>
          <w:sz w:val="32"/>
          <w:szCs w:val="32"/>
          <w:lang w:val="en-US" w:eastAsia="zh-CN"/>
        </w:rPr>
        <w:t>3474.65</w:t>
      </w:r>
      <w:r>
        <w:rPr>
          <w:rFonts w:hint="eastAsia" w:ascii="仿宋" w:hAnsi="仿宋" w:eastAsia="仿宋" w:cs="仿宋"/>
          <w:color w:val="auto"/>
          <w:kern w:val="2"/>
          <w:sz w:val="32"/>
          <w:szCs w:val="32"/>
          <w:highlight w:val="none"/>
          <w:lang w:val="en-US" w:eastAsia="zh-CN" w:bidi="ar-SA"/>
        </w:rPr>
        <w:t>万元，主要用于以下方面：一般公共服务支出0万元，占0%；教育支出0万元，占0%；科学技术支出48.43万元，占1.4%；文化旅游体育与传媒支出0万元，占0%；社会保障和就业支出744.31万元，占21.4%；卫生健康支出2681.9万元，占77.2%；住房保障支出0万元，占0%。</w:t>
      </w:r>
    </w:p>
    <w:p w14:paraId="33C62DE8">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26" name="图片 26"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6"/>
                    <pic:cNvPicPr>
                      <a:picLocks noChangeAspect="1"/>
                    </pic:cNvPicPr>
                  </pic:nvPicPr>
                  <pic:blipFill>
                    <a:blip r:embed="rId18"/>
                    <a:stretch>
                      <a:fillRect/>
                    </a:stretch>
                  </pic:blipFill>
                  <pic:spPr>
                    <a:xfrm>
                      <a:off x="0" y="0"/>
                      <a:ext cx="4838065" cy="2753995"/>
                    </a:xfrm>
                    <a:prstGeom prst="rect">
                      <a:avLst/>
                    </a:prstGeom>
                  </pic:spPr>
                </pic:pic>
              </a:graphicData>
            </a:graphic>
          </wp:inline>
        </w:drawing>
      </w:r>
    </w:p>
    <w:p w14:paraId="72C97BD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18"/>
    </w:p>
    <w:p w14:paraId="02B92615">
      <w:pPr>
        <w:numPr>
          <w:ilvl w:val="0"/>
          <w:numId w:val="0"/>
        </w:numPr>
        <w:spacing w:line="600" w:lineRule="exact"/>
        <w:ind w:firstLine="640" w:firstLineChars="0"/>
        <w:rPr>
          <w:rFonts w:hint="eastAsia" w:eastAsia="仿宋_GB2312" w:cs="仿宋_GB2312"/>
          <w:sz w:val="32"/>
          <w:szCs w:val="32"/>
          <w:lang w:val="en-US" w:eastAsia="zh-CN"/>
        </w:rPr>
      </w:pPr>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3474.65万元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val="en-US" w:eastAsia="zh-CN"/>
        </w:rPr>
        <w:t>其中：</w:t>
      </w:r>
    </w:p>
    <w:p w14:paraId="179D00E7">
      <w:pPr>
        <w:numPr>
          <w:ilvl w:val="0"/>
          <w:numId w:val="0"/>
        </w:numPr>
        <w:spacing w:line="600" w:lineRule="exact"/>
        <w:ind w:firstLine="640" w:firstLineChars="0"/>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1.科学技术支出（类）基础研究（款）自然科学基金（项）：支出决算数为29.98万元，完成预算100%。</w:t>
      </w:r>
    </w:p>
    <w:p w14:paraId="51A426F2">
      <w:pPr>
        <w:numPr>
          <w:ilvl w:val="0"/>
          <w:numId w:val="0"/>
        </w:numPr>
        <w:spacing w:line="600" w:lineRule="exact"/>
        <w:ind w:firstLine="640" w:firstLineChars="0"/>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2.科学技术支出（类）其他科学技术支出（款）其他科学技术支出（项）：支出决算数为18.45万元，完成预算100%。</w:t>
      </w:r>
    </w:p>
    <w:p w14:paraId="7159C175">
      <w:pPr>
        <w:numPr>
          <w:ilvl w:val="0"/>
          <w:numId w:val="0"/>
        </w:numPr>
        <w:spacing w:line="600" w:lineRule="exact"/>
        <w:ind w:firstLine="64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lang w:val="en-US" w:eastAsia="zh-CN" w:bidi="ar-SA"/>
        </w:rPr>
        <w:t>3.</w:t>
      </w:r>
      <w:r>
        <w:rPr>
          <w:rFonts w:hint="eastAsia" w:ascii="仿宋" w:hAnsi="仿宋" w:eastAsia="仿宋" w:cs="仿宋"/>
          <w:color w:val="auto"/>
          <w:kern w:val="2"/>
          <w:sz w:val="32"/>
          <w:szCs w:val="32"/>
          <w:highlight w:val="none"/>
          <w:lang w:val="en-US" w:eastAsia="zh-CN" w:bidi="ar-SA"/>
        </w:rPr>
        <w:t>社会保障和就业支出（类）行政事业单位养老支出（款）事业单位离退休（项）：支出决算667.04万元，完成预算100%。</w:t>
      </w:r>
    </w:p>
    <w:p w14:paraId="49A87891">
      <w:pPr>
        <w:numPr>
          <w:ilvl w:val="0"/>
          <w:numId w:val="0"/>
        </w:num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lang w:val="en-US" w:eastAsia="zh-CN" w:bidi="ar-SA"/>
        </w:rPr>
        <w:t>4.</w:t>
      </w:r>
      <w:r>
        <w:rPr>
          <w:rFonts w:hint="eastAsia" w:ascii="仿宋" w:hAnsi="仿宋" w:eastAsia="仿宋" w:cs="仿宋"/>
          <w:color w:val="auto"/>
          <w:kern w:val="2"/>
          <w:sz w:val="32"/>
          <w:szCs w:val="32"/>
          <w:highlight w:val="none"/>
          <w:lang w:val="en-US" w:eastAsia="zh-CN" w:bidi="ar-SA"/>
        </w:rPr>
        <w:t>社会保障和就业支出（类）抚恤（款）死亡抚恤（项）：支出决算为77.28万元，完成预算100%。</w:t>
      </w:r>
    </w:p>
    <w:p w14:paraId="32253B72">
      <w:pPr>
        <w:numPr>
          <w:ilvl w:val="0"/>
          <w:numId w:val="0"/>
        </w:num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5.卫生健康支出（类）公立医院（款）综合医院（项）：支出决算为13.55万元，完成预算100%。</w:t>
      </w:r>
    </w:p>
    <w:p w14:paraId="62F2EAD7">
      <w:pPr>
        <w:numPr>
          <w:ilvl w:val="0"/>
          <w:numId w:val="0"/>
        </w:num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6.卫生健康支出（类）公立医院（款）其他公立医院支出（项）：支出决算为46万元，完成预算100%。</w:t>
      </w:r>
    </w:p>
    <w:p w14:paraId="7A8455E7">
      <w:pPr>
        <w:numPr>
          <w:ilvl w:val="0"/>
          <w:numId w:val="0"/>
        </w:num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7.卫生健康支出（类）公共卫生（款）基本公共卫生服务（项）：支出决算为30万元，完成预算100%。</w:t>
      </w:r>
    </w:p>
    <w:p w14:paraId="0AD33323">
      <w:pPr>
        <w:numPr>
          <w:ilvl w:val="0"/>
          <w:numId w:val="0"/>
        </w:num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8.卫生健康支出（类）公共卫生（款）重大公共卫生服务（项）：支出决算为147.47万元，完成预算100%。</w:t>
      </w:r>
    </w:p>
    <w:p w14:paraId="307EB06E">
      <w:pPr>
        <w:numPr>
          <w:ilvl w:val="0"/>
          <w:numId w:val="0"/>
        </w:num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9.卫生健康支出（类）公共卫生（款）其他公共卫生支出（项）：支出决算为8.2万元，完成预算100%。</w:t>
      </w:r>
    </w:p>
    <w:p w14:paraId="3F2B753A">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10.卫生健康支出（类）其他卫生健康支出（款）其他卫生健康支出（项）：支出决算为2436.69万元，完成预算100%。</w:t>
      </w:r>
    </w:p>
    <w:p w14:paraId="362149FF">
      <w:pPr>
        <w:tabs>
          <w:tab w:val="right" w:pos="8306"/>
        </w:tabs>
        <w:spacing w:line="600" w:lineRule="exact"/>
        <w:ind w:firstLine="640"/>
        <w:outlineLvl w:val="1"/>
        <w:rPr>
          <w:rStyle w:val="20"/>
          <w:rFonts w:ascii="Times New Roman" w:hAnsi="Times New Roman"/>
          <w:color w:val="auto"/>
          <w:highlight w:val="none"/>
        </w:rPr>
      </w:pPr>
      <w:bookmarkStart w:id="19" w:name="_Toc15396608"/>
      <w:bookmarkStart w:id="20"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0"/>
          <w:rFonts w:hint="eastAsia" w:ascii="Times New Roman" w:hAnsi="Times New Roman" w:eastAsia="黑体"/>
          <w:b w:val="0"/>
          <w:color w:val="auto"/>
          <w:highlight w:val="none"/>
        </w:rPr>
        <w:t>般公共预算财政拨款基本支出决算情况说明</w:t>
      </w:r>
      <w:bookmarkEnd w:id="19"/>
      <w:bookmarkEnd w:id="20"/>
      <w:r>
        <w:rPr>
          <w:rStyle w:val="20"/>
          <w:rFonts w:ascii="Times New Roman" w:hAnsi="Times New Roman" w:eastAsia="黑体"/>
          <w:b w:val="0"/>
          <w:color w:val="auto"/>
          <w:highlight w:val="none"/>
        </w:rPr>
        <w:tab/>
      </w:r>
    </w:p>
    <w:p w14:paraId="138C1AE1">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2025年度一般公共预算财政拨款基本支出</w:t>
      </w:r>
      <w:r>
        <w:rPr>
          <w:rFonts w:hint="eastAsia" w:ascii="仿宋" w:hAnsi="仿宋" w:eastAsia="仿宋" w:cs="仿宋"/>
          <w:sz w:val="32"/>
          <w:szCs w:val="32"/>
          <w:lang w:val="en-US" w:eastAsia="zh-CN"/>
        </w:rPr>
        <w:t>757.86</w:t>
      </w:r>
      <w:r>
        <w:rPr>
          <w:rFonts w:hint="eastAsia" w:ascii="仿宋" w:hAnsi="仿宋" w:eastAsia="仿宋" w:cs="仿宋"/>
          <w:color w:val="auto"/>
          <w:kern w:val="2"/>
          <w:sz w:val="32"/>
          <w:szCs w:val="32"/>
          <w:highlight w:val="none"/>
          <w:lang w:val="en-US" w:eastAsia="zh-CN" w:bidi="ar-SA"/>
        </w:rPr>
        <w:t>万元，其中：</w:t>
      </w:r>
    </w:p>
    <w:p w14:paraId="24F2AB2A">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人员经费</w:t>
      </w:r>
      <w:r>
        <w:rPr>
          <w:rFonts w:hint="eastAsia" w:ascii="仿宋" w:hAnsi="仿宋" w:eastAsia="仿宋" w:cs="仿宋"/>
          <w:sz w:val="32"/>
          <w:szCs w:val="32"/>
          <w:lang w:val="en-US" w:eastAsia="zh-CN"/>
        </w:rPr>
        <w:t>752.06</w:t>
      </w:r>
      <w:r>
        <w:rPr>
          <w:rFonts w:hint="eastAsia" w:ascii="仿宋" w:hAnsi="仿宋" w:eastAsia="仿宋" w:cs="仿宋"/>
          <w:color w:val="auto"/>
          <w:kern w:val="2"/>
          <w:sz w:val="32"/>
          <w:szCs w:val="32"/>
          <w:highlight w:val="none"/>
          <w:lang w:val="en-US" w:eastAsia="zh-CN" w:bidi="ar-SA"/>
        </w:rPr>
        <w:t>万元，主要包括：离休费、抚恤金、生活补助、医疗费补助。</w:t>
      </w:r>
      <w:r>
        <w:rPr>
          <w:rFonts w:hint="eastAsia" w:ascii="仿宋" w:hAnsi="仿宋" w:eastAsia="仿宋" w:cs="仿宋"/>
          <w:color w:val="auto"/>
          <w:kern w:val="2"/>
          <w:sz w:val="32"/>
          <w:szCs w:val="32"/>
          <w:highlight w:val="none"/>
          <w:lang w:val="en-US" w:eastAsia="zh-CN" w:bidi="ar-SA"/>
        </w:rPr>
        <w:br w:type="textWrapping"/>
      </w:r>
      <w:r>
        <w:rPr>
          <w:rFonts w:hint="eastAsia" w:ascii="仿宋" w:hAnsi="仿宋" w:eastAsia="仿宋" w:cs="仿宋"/>
          <w:color w:val="auto"/>
          <w:kern w:val="2"/>
          <w:sz w:val="32"/>
          <w:szCs w:val="32"/>
          <w:highlight w:val="none"/>
          <w:lang w:val="en-US" w:eastAsia="zh-CN" w:bidi="ar-SA"/>
        </w:rPr>
        <w:t>　　公用经费</w:t>
      </w:r>
      <w:r>
        <w:rPr>
          <w:rFonts w:hint="eastAsia" w:ascii="仿宋" w:hAnsi="仿宋" w:eastAsia="仿宋" w:cs="仿宋"/>
          <w:sz w:val="32"/>
          <w:szCs w:val="32"/>
          <w:lang w:val="en-US" w:eastAsia="zh-CN"/>
        </w:rPr>
        <w:t>5.8</w:t>
      </w:r>
      <w:r>
        <w:rPr>
          <w:rFonts w:hint="eastAsia" w:ascii="仿宋" w:hAnsi="仿宋" w:eastAsia="仿宋" w:cs="仿宋"/>
          <w:color w:val="auto"/>
          <w:kern w:val="2"/>
          <w:sz w:val="32"/>
          <w:szCs w:val="32"/>
          <w:highlight w:val="none"/>
          <w:lang w:val="en-US" w:eastAsia="zh-CN" w:bidi="ar-SA"/>
        </w:rPr>
        <w:t>万元，主要包括：其他商品和服务支出。</w:t>
      </w:r>
    </w:p>
    <w:p w14:paraId="75DDBC4B">
      <w:pPr>
        <w:spacing w:line="600" w:lineRule="exact"/>
        <w:ind w:firstLine="640"/>
        <w:outlineLvl w:val="1"/>
        <w:rPr>
          <w:rStyle w:val="20"/>
          <w:rFonts w:ascii="Times New Roman" w:hAnsi="Times New Roman" w:eastAsia="黑体"/>
          <w:b w:val="0"/>
          <w:color w:val="auto"/>
          <w:highlight w:val="none"/>
        </w:rPr>
      </w:pPr>
      <w:bookmarkStart w:id="21" w:name="_Toc15396609"/>
      <w:bookmarkStart w:id="22" w:name="_Toc15377215"/>
      <w:r>
        <w:rPr>
          <w:rFonts w:hint="eastAsia" w:ascii="Times New Roman" w:hAnsi="Times New Roman" w:eastAsia="黑体"/>
          <w:color w:val="auto"/>
          <w:sz w:val="32"/>
          <w:szCs w:val="32"/>
          <w:highlight w:val="none"/>
        </w:rPr>
        <w:t>七、</w:t>
      </w:r>
      <w:r>
        <w:rPr>
          <w:rStyle w:val="20"/>
          <w:rFonts w:hint="eastAsia" w:ascii="Times New Roman" w:hAnsi="Times New Roman" w:eastAsia="黑体"/>
          <w:b w:val="0"/>
          <w:color w:val="auto"/>
          <w:highlight w:val="none"/>
        </w:rPr>
        <w:t>财政拨款</w:t>
      </w:r>
      <w:r>
        <w:rPr>
          <w:rStyle w:val="20"/>
          <w:rFonts w:hint="eastAsia" w:ascii="Times New Roman" w:hAnsi="Times New Roman" w:eastAsia="黑体"/>
          <w:color w:val="auto"/>
          <w:highlight w:val="none"/>
        </w:rPr>
        <w:t>“</w:t>
      </w:r>
      <w:r>
        <w:rPr>
          <w:rStyle w:val="20"/>
          <w:rFonts w:hint="eastAsia" w:ascii="Times New Roman" w:hAnsi="Times New Roman" w:eastAsia="黑体"/>
          <w:b w:val="0"/>
          <w:color w:val="auto"/>
          <w:highlight w:val="none"/>
        </w:rPr>
        <w:t>三公”经费支出决算情况说明</w:t>
      </w:r>
      <w:bookmarkEnd w:id="21"/>
      <w:bookmarkEnd w:id="22"/>
    </w:p>
    <w:p w14:paraId="73CCA739">
      <w:pPr>
        <w:spacing w:line="600" w:lineRule="exact"/>
        <w:ind w:firstLine="643" w:firstLineChars="200"/>
        <w:outlineLvl w:val="2"/>
        <w:rPr>
          <w:rFonts w:eastAsia="楷体_GB2312" w:cs="楷体_GB2312"/>
          <w:b/>
          <w:sz w:val="32"/>
          <w:szCs w:val="32"/>
        </w:rPr>
      </w:pPr>
      <w:bookmarkStart w:id="23" w:name="_Toc15377217"/>
      <w:r>
        <w:rPr>
          <w:rFonts w:hint="eastAsia" w:eastAsia="楷体_GB2312" w:cs="楷体_GB2312"/>
          <w:b/>
          <w:sz w:val="32"/>
          <w:szCs w:val="32"/>
          <w:lang w:eastAsia="zh-CN"/>
        </w:rPr>
        <w:t>（</w:t>
      </w:r>
      <w:r>
        <w:rPr>
          <w:rFonts w:hint="eastAsia" w:eastAsia="楷体_GB2312" w:cs="楷体_GB2312"/>
          <w:b/>
          <w:sz w:val="32"/>
          <w:szCs w:val="32"/>
          <w:lang w:val="en-US" w:eastAsia="zh-CN"/>
        </w:rPr>
        <w:t>一</w:t>
      </w:r>
      <w:r>
        <w:rPr>
          <w:rFonts w:hint="eastAsia" w:eastAsia="楷体_GB2312" w:cs="楷体_GB2312"/>
          <w:b/>
          <w:sz w:val="32"/>
          <w:szCs w:val="32"/>
          <w:lang w:eastAsia="zh-CN"/>
        </w:rPr>
        <w:t>）</w:t>
      </w:r>
      <w:r>
        <w:rPr>
          <w:rFonts w:hint="eastAsia" w:eastAsia="楷体_GB2312" w:cs="楷体_GB2312"/>
          <w:b/>
          <w:sz w:val="32"/>
          <w:szCs w:val="32"/>
        </w:rPr>
        <w:t>财政拨款“三公”经费支出决算总体情况说明</w:t>
      </w:r>
    </w:p>
    <w:p w14:paraId="74E36549">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2025年度财政拨款“三公”经费支出决算为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val="en-US" w:eastAsia="zh-CN"/>
        </w:rPr>
        <w:t>与</w:t>
      </w:r>
      <w:r>
        <w:rPr>
          <w:rFonts w:hint="eastAsia" w:ascii="仿宋" w:hAnsi="仿宋" w:eastAsia="仿宋" w:cs="仿宋"/>
          <w:sz w:val="32"/>
          <w:szCs w:val="32"/>
        </w:rPr>
        <w:t>上年</w:t>
      </w:r>
      <w:r>
        <w:rPr>
          <w:rFonts w:hint="eastAsia" w:ascii="仿宋" w:hAnsi="仿宋" w:eastAsia="仿宋" w:cs="仿宋"/>
          <w:sz w:val="32"/>
          <w:szCs w:val="32"/>
          <w:lang w:val="en-US" w:eastAsia="zh-CN"/>
        </w:rPr>
        <w:t>度持平</w:t>
      </w:r>
      <w:r>
        <w:rPr>
          <w:rFonts w:hint="eastAsia" w:ascii="仿宋" w:hAnsi="仿宋" w:eastAsia="仿宋" w:cs="仿宋"/>
          <w:sz w:val="32"/>
          <w:szCs w:val="32"/>
        </w:rPr>
        <w:t>。</w:t>
      </w:r>
    </w:p>
    <w:bookmarkEnd w:id="23"/>
    <w:p w14:paraId="3185842F">
      <w:pPr>
        <w:spacing w:line="600" w:lineRule="exact"/>
        <w:ind w:firstLine="643" w:firstLineChars="200"/>
        <w:outlineLvl w:val="2"/>
        <w:rPr>
          <w:rFonts w:eastAsia="楷体_GB2312" w:cs="楷体_GB2312"/>
          <w:b/>
          <w:sz w:val="32"/>
          <w:szCs w:val="32"/>
        </w:rPr>
      </w:pPr>
      <w:bookmarkStart w:id="24" w:name="_Toc15377218"/>
      <w:bookmarkStart w:id="25" w:name="_Toc15396610"/>
      <w:r>
        <w:rPr>
          <w:rFonts w:hint="eastAsia" w:eastAsia="楷体_GB2312" w:cs="楷体_GB2312"/>
          <w:b/>
          <w:sz w:val="32"/>
          <w:szCs w:val="32"/>
        </w:rPr>
        <w:t>（二）财政拨款“三公”经费支出决算具体情况说明</w:t>
      </w:r>
    </w:p>
    <w:p w14:paraId="08564CFE">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2025年度财政拨款“三公”经费支出决算中，因公出国（境）费支出决算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%；公务用车购置及运行维护费支出决算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%；公务接待费支出决算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%。具体情况如下：</w:t>
      </w:r>
    </w:p>
    <w:p w14:paraId="46048474">
      <w:pPr>
        <w:numPr>
          <w:ilvl w:val="0"/>
          <w:numId w:val="0"/>
        </w:numPr>
        <w:spacing w:line="600" w:lineRule="exact"/>
        <w:ind w:firstLine="640" w:firstLineChars="0"/>
        <w:rPr>
          <w:rFonts w:hint="eastAsia" w:ascii="仿宋" w:hAnsi="仿宋" w:eastAsia="仿宋" w:cs="仿宋"/>
          <w:sz w:val="32"/>
          <w:szCs w:val="32"/>
          <w:lang w:val="en-US" w:eastAsia="zh-CN"/>
        </w:rPr>
      </w:pPr>
      <w:r>
        <w:rPr>
          <w:rFonts w:hint="eastAsia" w:ascii="仿宋" w:hAnsi="仿宋" w:eastAsia="仿宋" w:cs="仿宋"/>
          <w:b/>
          <w:bCs/>
          <w:kern w:val="2"/>
          <w:sz w:val="32"/>
          <w:szCs w:val="32"/>
          <w:lang w:val="en-US" w:eastAsia="zh-CN" w:bidi="ar-SA"/>
        </w:rPr>
        <w:t>1.</w:t>
      </w:r>
      <w:r>
        <w:rPr>
          <w:rFonts w:hint="eastAsia" w:ascii="仿宋" w:hAnsi="仿宋" w:eastAsia="仿宋" w:cs="仿宋"/>
          <w:b/>
          <w:bCs/>
          <w:sz w:val="32"/>
          <w:szCs w:val="32"/>
        </w:rPr>
        <w:t>因公出国（境）经费支出</w:t>
      </w:r>
      <w:r>
        <w:rPr>
          <w:rFonts w:hint="eastAsia" w:ascii="仿宋" w:hAnsi="仿宋" w:eastAsia="仿宋" w:cs="仿宋"/>
          <w:b/>
          <w:bCs/>
          <w:sz w:val="32"/>
          <w:szCs w:val="32"/>
          <w:lang w:val="en-US" w:eastAsia="zh-CN"/>
        </w:rPr>
        <w:t>0</w:t>
      </w:r>
      <w:r>
        <w:rPr>
          <w:rFonts w:hint="eastAsia" w:ascii="仿宋" w:hAnsi="仿宋" w:eastAsia="仿宋" w:cs="仿宋"/>
          <w:b/>
          <w:bCs/>
          <w:sz w:val="32"/>
          <w:szCs w:val="32"/>
        </w:rPr>
        <w:t>万元，完成预算</w:t>
      </w:r>
      <w:r>
        <w:rPr>
          <w:rFonts w:hint="eastAsia" w:ascii="仿宋" w:hAnsi="仿宋" w:eastAsia="仿宋" w:cs="仿宋"/>
          <w:b/>
          <w:bCs/>
          <w:sz w:val="32"/>
          <w:szCs w:val="32"/>
          <w:lang w:val="en-US" w:eastAsia="zh-CN"/>
        </w:rPr>
        <w:t>0</w:t>
      </w:r>
      <w:r>
        <w:rPr>
          <w:rFonts w:hint="eastAsia" w:ascii="仿宋" w:hAnsi="仿宋" w:eastAsia="仿宋" w:cs="仿宋"/>
          <w:b/>
          <w:bCs/>
          <w:sz w:val="32"/>
          <w:szCs w:val="32"/>
        </w:rPr>
        <w:t>%。</w:t>
      </w:r>
      <w:r>
        <w:rPr>
          <w:rFonts w:hint="eastAsia" w:ascii="仿宋" w:hAnsi="仿宋" w:eastAsia="仿宋" w:cs="仿宋"/>
          <w:sz w:val="32"/>
          <w:szCs w:val="32"/>
        </w:rPr>
        <w:t>全年安排因公出国（境）团组</w:t>
      </w:r>
      <w:r>
        <w:rPr>
          <w:rFonts w:hint="eastAsia" w:ascii="仿宋" w:hAnsi="仿宋" w:eastAsia="仿宋" w:cs="仿宋"/>
          <w:sz w:val="32"/>
          <w:szCs w:val="32"/>
          <w:lang w:val="en-US" w:eastAsia="zh-CN"/>
        </w:rPr>
        <w:t>0</w:t>
      </w:r>
      <w:r>
        <w:rPr>
          <w:rFonts w:hint="eastAsia" w:ascii="仿宋" w:hAnsi="仿宋" w:eastAsia="仿宋" w:cs="仿宋"/>
          <w:sz w:val="32"/>
          <w:szCs w:val="32"/>
        </w:rPr>
        <w:t>次，出国（境）</w:t>
      </w:r>
      <w:r>
        <w:rPr>
          <w:rFonts w:hint="eastAsia" w:ascii="仿宋" w:hAnsi="仿宋" w:eastAsia="仿宋" w:cs="仿宋"/>
          <w:sz w:val="32"/>
          <w:szCs w:val="32"/>
          <w:lang w:val="en-US" w:eastAsia="zh-CN"/>
        </w:rPr>
        <w:t>0</w:t>
      </w:r>
      <w:r>
        <w:rPr>
          <w:rFonts w:hint="eastAsia" w:ascii="仿宋" w:hAnsi="仿宋" w:eastAsia="仿宋" w:cs="仿宋"/>
          <w:sz w:val="32"/>
          <w:szCs w:val="32"/>
        </w:rPr>
        <w:t>人。因公出国（境）支出决算</w:t>
      </w:r>
      <w:r>
        <w:rPr>
          <w:rFonts w:hint="eastAsia" w:ascii="仿宋" w:hAnsi="仿宋" w:eastAsia="仿宋" w:cs="仿宋"/>
          <w:sz w:val="32"/>
          <w:szCs w:val="32"/>
          <w:lang w:val="en-US" w:eastAsia="zh-CN"/>
        </w:rPr>
        <w:t>与上年度持平</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均未安排财政拨款因公出国（境）经费支出。</w:t>
      </w:r>
    </w:p>
    <w:p w14:paraId="3F820725">
      <w:pPr>
        <w:spacing w:line="600" w:lineRule="exact"/>
        <w:ind w:firstLine="640"/>
        <w:rPr>
          <w:rFonts w:hint="eastAsia" w:ascii="仿宋" w:hAnsi="仿宋" w:eastAsia="仿宋" w:cs="仿宋"/>
          <w:b/>
          <w:color w:val="auto"/>
          <w:sz w:val="32"/>
          <w:szCs w:val="32"/>
          <w:highlight w:val="none"/>
          <w:lang w:val="en-US" w:eastAsia="zh-CN"/>
        </w:rPr>
      </w:pPr>
      <w:r>
        <w:rPr>
          <w:rFonts w:hint="eastAsia" w:ascii="仿宋" w:hAnsi="仿宋" w:eastAsia="仿宋" w:cs="仿宋"/>
          <w:b/>
          <w:bCs/>
          <w:sz w:val="32"/>
          <w:szCs w:val="32"/>
        </w:rPr>
        <w:t>2.公务用车购置及运行维护费支出</w:t>
      </w:r>
      <w:r>
        <w:rPr>
          <w:rFonts w:hint="eastAsia" w:ascii="仿宋" w:hAnsi="仿宋" w:eastAsia="仿宋" w:cs="仿宋"/>
          <w:b/>
          <w:bCs/>
          <w:sz w:val="32"/>
          <w:szCs w:val="32"/>
          <w:lang w:val="en-US" w:eastAsia="zh-CN"/>
        </w:rPr>
        <w:t>0</w:t>
      </w:r>
      <w:r>
        <w:rPr>
          <w:rFonts w:hint="eastAsia" w:ascii="仿宋" w:hAnsi="仿宋" w:eastAsia="仿宋" w:cs="仿宋"/>
          <w:b/>
          <w:bCs/>
          <w:sz w:val="32"/>
          <w:szCs w:val="32"/>
        </w:rPr>
        <w:t>万元，完成预算</w:t>
      </w:r>
      <w:r>
        <w:rPr>
          <w:rFonts w:hint="eastAsia" w:ascii="仿宋" w:hAnsi="仿宋" w:eastAsia="仿宋" w:cs="仿宋"/>
          <w:b/>
          <w:bCs/>
          <w:sz w:val="32"/>
          <w:szCs w:val="32"/>
          <w:lang w:val="en-US" w:eastAsia="zh-CN"/>
        </w:rPr>
        <w:t>0</w:t>
      </w:r>
      <w:r>
        <w:rPr>
          <w:rFonts w:hint="eastAsia" w:ascii="仿宋" w:hAnsi="仿宋" w:eastAsia="仿宋" w:cs="仿宋"/>
          <w:b/>
          <w:bCs/>
          <w:sz w:val="32"/>
          <w:szCs w:val="32"/>
        </w:rPr>
        <w:t>%。</w:t>
      </w:r>
      <w:r>
        <w:rPr>
          <w:rFonts w:hint="eastAsia" w:eastAsia="仿宋_GB2312" w:cs="仿宋_GB2312"/>
          <w:sz w:val="32"/>
          <w:szCs w:val="32"/>
        </w:rPr>
        <w:t>公</w:t>
      </w:r>
      <w:r>
        <w:rPr>
          <w:rFonts w:hint="eastAsia" w:ascii="仿宋" w:hAnsi="仿宋" w:eastAsia="仿宋" w:cs="仿宋"/>
          <w:sz w:val="32"/>
          <w:szCs w:val="32"/>
        </w:rPr>
        <w:t>务用车购置及运行维护费支出决算</w:t>
      </w:r>
      <w:r>
        <w:rPr>
          <w:rFonts w:hint="eastAsia" w:ascii="仿宋" w:hAnsi="仿宋" w:eastAsia="仿宋" w:cs="仿宋"/>
          <w:sz w:val="32"/>
          <w:szCs w:val="32"/>
          <w:lang w:val="en-US" w:eastAsia="zh-CN"/>
        </w:rPr>
        <w:t>与上年度持平</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均未安排财政拨款公务用车购置及运行维护费支出。</w:t>
      </w:r>
    </w:p>
    <w:p w14:paraId="6CBF8958">
      <w:pPr>
        <w:numPr>
          <w:ilvl w:val="0"/>
          <w:numId w:val="0"/>
        </w:numPr>
        <w:spacing w:line="600" w:lineRule="exact"/>
        <w:ind w:firstLine="640" w:firstLineChars="200"/>
        <w:rPr>
          <w:rFonts w:hint="eastAsia" w:ascii="仿宋" w:hAnsi="仿宋" w:eastAsia="仿宋" w:cs="仿宋"/>
          <w:sz w:val="32"/>
          <w:szCs w:val="32"/>
        </w:rPr>
      </w:pPr>
    </w:p>
    <w:p w14:paraId="6A2177BA">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其中：公务用车购置支出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万元。全年按规定更新购置公务用车</w:t>
      </w:r>
      <w:r>
        <w:rPr>
          <w:rFonts w:hint="eastAsia" w:ascii="仿宋" w:hAnsi="仿宋" w:eastAsia="仿宋" w:cs="仿宋"/>
          <w:sz w:val="32"/>
          <w:szCs w:val="32"/>
          <w:lang w:val="en-US" w:eastAsia="zh-CN"/>
        </w:rPr>
        <w:t>0</w:t>
      </w:r>
      <w:r>
        <w:rPr>
          <w:rFonts w:hint="eastAsia" w:ascii="仿宋" w:hAnsi="仿宋" w:eastAsia="仿宋" w:cs="仿宋"/>
          <w:sz w:val="32"/>
          <w:szCs w:val="32"/>
        </w:rPr>
        <w:t>辆，其中：轿车</w:t>
      </w:r>
      <w:r>
        <w:rPr>
          <w:rFonts w:hint="eastAsia" w:ascii="仿宋" w:hAnsi="仿宋" w:eastAsia="仿宋" w:cs="仿宋"/>
          <w:sz w:val="32"/>
          <w:szCs w:val="32"/>
          <w:lang w:val="en-US" w:eastAsia="zh-CN"/>
        </w:rPr>
        <w:t>0</w:t>
      </w:r>
      <w:r>
        <w:rPr>
          <w:rFonts w:hint="eastAsia" w:ascii="仿宋" w:hAnsi="仿宋" w:eastAsia="仿宋" w:cs="仿宋"/>
          <w:sz w:val="32"/>
          <w:szCs w:val="32"/>
        </w:rPr>
        <w:t>辆、金额</w:t>
      </w:r>
      <w:r>
        <w:rPr>
          <w:rFonts w:hint="eastAsia" w:ascii="仿宋" w:hAnsi="仿宋" w:eastAsia="仿宋" w:cs="仿宋"/>
          <w:sz w:val="32"/>
          <w:szCs w:val="32"/>
          <w:lang w:val="en-US" w:eastAsia="zh-CN"/>
        </w:rPr>
        <w:t>0</w:t>
      </w:r>
      <w:r>
        <w:rPr>
          <w:rFonts w:hint="eastAsia" w:ascii="仿宋" w:hAnsi="仿宋" w:eastAsia="仿宋" w:cs="仿宋"/>
          <w:sz w:val="32"/>
          <w:szCs w:val="32"/>
        </w:rPr>
        <w:t>万元，越野车</w:t>
      </w:r>
      <w:r>
        <w:rPr>
          <w:rFonts w:hint="eastAsia" w:ascii="仿宋" w:hAnsi="仿宋" w:eastAsia="仿宋" w:cs="仿宋"/>
          <w:sz w:val="32"/>
          <w:szCs w:val="32"/>
          <w:lang w:val="en-US" w:eastAsia="zh-CN"/>
        </w:rPr>
        <w:t>0</w:t>
      </w:r>
      <w:r>
        <w:rPr>
          <w:rFonts w:hint="eastAsia" w:ascii="仿宋" w:hAnsi="仿宋" w:eastAsia="仿宋" w:cs="仿宋"/>
          <w:sz w:val="32"/>
          <w:szCs w:val="32"/>
        </w:rPr>
        <w:t>辆、金额</w:t>
      </w:r>
      <w:r>
        <w:rPr>
          <w:rFonts w:hint="eastAsia" w:ascii="仿宋" w:hAnsi="仿宋" w:eastAsia="仿宋" w:cs="仿宋"/>
          <w:sz w:val="32"/>
          <w:szCs w:val="32"/>
          <w:lang w:val="en-US" w:eastAsia="zh-CN"/>
        </w:rPr>
        <w:t>0</w:t>
      </w:r>
      <w:r>
        <w:rPr>
          <w:rFonts w:hint="eastAsia" w:ascii="仿宋" w:hAnsi="仿宋" w:eastAsia="仿宋" w:cs="仿宋"/>
          <w:sz w:val="32"/>
          <w:szCs w:val="32"/>
        </w:rPr>
        <w:t>万元，载客汽车</w:t>
      </w:r>
      <w:r>
        <w:rPr>
          <w:rFonts w:hint="eastAsia" w:ascii="仿宋" w:hAnsi="仿宋" w:eastAsia="仿宋" w:cs="仿宋"/>
          <w:sz w:val="32"/>
          <w:szCs w:val="32"/>
          <w:lang w:val="en-US" w:eastAsia="zh-CN"/>
        </w:rPr>
        <w:t>0</w:t>
      </w:r>
      <w:r>
        <w:rPr>
          <w:rFonts w:hint="eastAsia" w:ascii="仿宋" w:hAnsi="仿宋" w:eastAsia="仿宋" w:cs="仿宋"/>
          <w:sz w:val="32"/>
          <w:szCs w:val="32"/>
        </w:rPr>
        <w:t>辆、金额</w:t>
      </w:r>
      <w:r>
        <w:rPr>
          <w:rFonts w:hint="eastAsia" w:ascii="仿宋" w:hAnsi="仿宋" w:eastAsia="仿宋" w:cs="仿宋"/>
          <w:sz w:val="32"/>
          <w:szCs w:val="32"/>
          <w:lang w:val="en-US" w:eastAsia="zh-CN"/>
        </w:rPr>
        <w:t>0</w:t>
      </w:r>
      <w:r>
        <w:rPr>
          <w:rFonts w:hint="eastAsia" w:ascii="仿宋" w:hAnsi="仿宋" w:eastAsia="仿宋" w:cs="仿宋"/>
          <w:sz w:val="32"/>
          <w:szCs w:val="32"/>
        </w:rPr>
        <w:t>万元。截至2025年12月31日，单位共有公务用车</w:t>
      </w:r>
      <w:r>
        <w:rPr>
          <w:rFonts w:hint="eastAsia" w:ascii="仿宋" w:hAnsi="仿宋" w:eastAsia="仿宋" w:cs="仿宋"/>
          <w:sz w:val="32"/>
          <w:szCs w:val="32"/>
          <w:lang w:val="en-US" w:eastAsia="zh-CN"/>
        </w:rPr>
        <w:t>14</w:t>
      </w:r>
      <w:r>
        <w:rPr>
          <w:rFonts w:hint="eastAsia" w:ascii="仿宋" w:hAnsi="仿宋" w:eastAsia="仿宋" w:cs="仿宋"/>
          <w:sz w:val="32"/>
          <w:szCs w:val="32"/>
        </w:rPr>
        <w:t>辆，其中：轿车</w:t>
      </w:r>
      <w:r>
        <w:rPr>
          <w:rFonts w:hint="eastAsia" w:ascii="仿宋" w:hAnsi="仿宋" w:eastAsia="仿宋" w:cs="仿宋"/>
          <w:sz w:val="32"/>
          <w:szCs w:val="32"/>
          <w:lang w:val="en-US" w:eastAsia="zh-CN"/>
        </w:rPr>
        <w:t>1</w:t>
      </w:r>
      <w:r>
        <w:rPr>
          <w:rFonts w:hint="eastAsia" w:ascii="仿宋" w:hAnsi="仿宋" w:eastAsia="仿宋" w:cs="仿宋"/>
          <w:sz w:val="32"/>
          <w:szCs w:val="32"/>
        </w:rPr>
        <w:t>辆、越野车</w:t>
      </w:r>
      <w:r>
        <w:rPr>
          <w:rFonts w:hint="eastAsia" w:ascii="仿宋" w:hAnsi="仿宋" w:eastAsia="仿宋" w:cs="仿宋"/>
          <w:sz w:val="32"/>
          <w:szCs w:val="32"/>
          <w:lang w:val="en-US" w:eastAsia="zh-CN"/>
        </w:rPr>
        <w:t>1</w:t>
      </w:r>
      <w:r>
        <w:rPr>
          <w:rFonts w:hint="eastAsia" w:ascii="仿宋" w:hAnsi="仿宋" w:eastAsia="仿宋" w:cs="仿宋"/>
          <w:sz w:val="32"/>
          <w:szCs w:val="32"/>
        </w:rPr>
        <w:t>辆、</w:t>
      </w:r>
      <w:r>
        <w:rPr>
          <w:rFonts w:hint="eastAsia" w:ascii="仿宋" w:hAnsi="仿宋" w:eastAsia="仿宋" w:cs="仿宋"/>
          <w:sz w:val="32"/>
          <w:szCs w:val="32"/>
          <w:lang w:val="en-US" w:eastAsia="zh-CN"/>
        </w:rPr>
        <w:t>其他车型12</w:t>
      </w:r>
      <w:r>
        <w:rPr>
          <w:rFonts w:hint="eastAsia" w:ascii="仿宋" w:hAnsi="仿宋" w:eastAsia="仿宋" w:cs="仿宋"/>
          <w:sz w:val="32"/>
          <w:szCs w:val="32"/>
        </w:rPr>
        <w:t>辆。</w:t>
      </w:r>
    </w:p>
    <w:p w14:paraId="1D311936">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公务用车运行维护费支出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14:paraId="43BE8A6F">
      <w:pPr>
        <w:spacing w:line="600" w:lineRule="exact"/>
        <w:ind w:firstLine="640"/>
        <w:rPr>
          <w:rFonts w:hint="eastAsia" w:ascii="仿宋" w:hAnsi="仿宋" w:eastAsia="仿宋" w:cs="仿宋"/>
          <w:sz w:val="32"/>
          <w:szCs w:val="32"/>
        </w:rPr>
      </w:pPr>
      <w:r>
        <w:rPr>
          <w:rFonts w:hint="eastAsia" w:ascii="仿宋" w:hAnsi="仿宋" w:eastAsia="仿宋" w:cs="仿宋"/>
          <w:b/>
          <w:bCs/>
          <w:sz w:val="32"/>
          <w:szCs w:val="32"/>
        </w:rPr>
        <w:t>3.公务接待费支出</w:t>
      </w:r>
      <w:r>
        <w:rPr>
          <w:rFonts w:hint="eastAsia" w:ascii="仿宋" w:hAnsi="仿宋" w:eastAsia="仿宋" w:cs="仿宋"/>
          <w:b/>
          <w:bCs/>
          <w:sz w:val="32"/>
          <w:szCs w:val="32"/>
          <w:lang w:val="en-US" w:eastAsia="zh-CN"/>
        </w:rPr>
        <w:t>0</w:t>
      </w:r>
      <w:r>
        <w:rPr>
          <w:rFonts w:hint="eastAsia" w:ascii="仿宋" w:hAnsi="仿宋" w:eastAsia="仿宋" w:cs="仿宋"/>
          <w:b/>
          <w:bCs/>
          <w:sz w:val="32"/>
          <w:szCs w:val="32"/>
        </w:rPr>
        <w:t>万元，完成预算</w:t>
      </w:r>
      <w:r>
        <w:rPr>
          <w:rFonts w:hint="eastAsia" w:ascii="仿宋" w:hAnsi="仿宋" w:eastAsia="仿宋" w:cs="仿宋"/>
          <w:b/>
          <w:bCs/>
          <w:sz w:val="32"/>
          <w:szCs w:val="32"/>
          <w:lang w:val="en-US" w:eastAsia="zh-CN"/>
        </w:rPr>
        <w:t>0</w:t>
      </w:r>
      <w:r>
        <w:rPr>
          <w:rFonts w:hint="eastAsia" w:ascii="仿宋" w:hAnsi="仿宋" w:eastAsia="仿宋" w:cs="仿宋"/>
          <w:b/>
          <w:bCs/>
          <w:sz w:val="32"/>
          <w:szCs w:val="32"/>
        </w:rPr>
        <w:t>%。</w:t>
      </w:r>
      <w:r>
        <w:rPr>
          <w:rFonts w:hint="eastAsia" w:ascii="仿宋" w:hAnsi="仿宋" w:eastAsia="仿宋" w:cs="仿宋"/>
          <w:sz w:val="32"/>
          <w:szCs w:val="32"/>
        </w:rPr>
        <w:t>公务接待费支出决算</w:t>
      </w:r>
      <w:r>
        <w:rPr>
          <w:rFonts w:hint="eastAsia" w:ascii="仿宋" w:hAnsi="仿宋" w:eastAsia="仿宋" w:cs="仿宋"/>
          <w:sz w:val="32"/>
          <w:szCs w:val="32"/>
          <w:lang w:val="en-US" w:eastAsia="zh-CN"/>
        </w:rPr>
        <w:t>与上年度持平</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均未安排财政拨款公务接待费支出</w:t>
      </w:r>
      <w:r>
        <w:rPr>
          <w:rFonts w:hint="eastAsia" w:ascii="仿宋" w:hAnsi="仿宋" w:eastAsia="仿宋" w:cs="仿宋"/>
          <w:sz w:val="32"/>
          <w:szCs w:val="32"/>
        </w:rPr>
        <w:t>。其中：</w:t>
      </w:r>
    </w:p>
    <w:p w14:paraId="7E10C219">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国内公务接待支出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万元。国内公务接待</w:t>
      </w:r>
      <w:r>
        <w:rPr>
          <w:rFonts w:hint="eastAsia" w:ascii="仿宋" w:hAnsi="仿宋" w:eastAsia="仿宋" w:cs="仿宋"/>
          <w:sz w:val="32"/>
          <w:szCs w:val="32"/>
          <w:lang w:val="en-US" w:eastAsia="zh-CN"/>
        </w:rPr>
        <w:t>0</w:t>
      </w:r>
      <w:r>
        <w:rPr>
          <w:rFonts w:hint="eastAsia" w:ascii="仿宋" w:hAnsi="仿宋" w:eastAsia="仿宋" w:cs="仿宋"/>
          <w:sz w:val="32"/>
          <w:szCs w:val="32"/>
        </w:rPr>
        <w:t>批次，</w:t>
      </w:r>
      <w:r>
        <w:rPr>
          <w:rFonts w:hint="eastAsia" w:ascii="仿宋" w:hAnsi="仿宋" w:eastAsia="仿宋" w:cs="仿宋"/>
          <w:sz w:val="32"/>
          <w:szCs w:val="32"/>
          <w:lang w:val="en-US" w:eastAsia="zh-CN"/>
        </w:rPr>
        <w:t>0</w:t>
      </w:r>
      <w:r>
        <w:rPr>
          <w:rFonts w:hint="eastAsia" w:ascii="仿宋" w:hAnsi="仿宋" w:eastAsia="仿宋" w:cs="仿宋"/>
          <w:sz w:val="32"/>
          <w:szCs w:val="32"/>
        </w:rPr>
        <w:t>人次（不包括陪同人员），共计支出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14:paraId="5C31C1AF">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外事接待支出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万元。外事接待</w:t>
      </w:r>
      <w:r>
        <w:rPr>
          <w:rFonts w:hint="eastAsia" w:ascii="仿宋" w:hAnsi="仿宋" w:eastAsia="仿宋" w:cs="仿宋"/>
          <w:sz w:val="32"/>
          <w:szCs w:val="32"/>
          <w:lang w:val="en-US" w:eastAsia="zh-CN"/>
        </w:rPr>
        <w:t>0</w:t>
      </w:r>
      <w:r>
        <w:rPr>
          <w:rFonts w:hint="eastAsia" w:ascii="仿宋" w:hAnsi="仿宋" w:eastAsia="仿宋" w:cs="仿宋"/>
          <w:sz w:val="32"/>
          <w:szCs w:val="32"/>
        </w:rPr>
        <w:t>批次，</w:t>
      </w:r>
      <w:r>
        <w:rPr>
          <w:rFonts w:hint="eastAsia" w:ascii="仿宋" w:hAnsi="仿宋" w:eastAsia="仿宋" w:cs="仿宋"/>
          <w:sz w:val="32"/>
          <w:szCs w:val="32"/>
          <w:lang w:val="en-US" w:eastAsia="zh-CN"/>
        </w:rPr>
        <w:t>0</w:t>
      </w:r>
      <w:r>
        <w:rPr>
          <w:rFonts w:hint="eastAsia" w:ascii="仿宋" w:hAnsi="仿宋" w:eastAsia="仿宋" w:cs="仿宋"/>
          <w:sz w:val="32"/>
          <w:szCs w:val="32"/>
        </w:rPr>
        <w:t>人次（不包括陪同人员），共计支出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14:paraId="5E7C6574">
      <w:pPr>
        <w:spacing w:line="600" w:lineRule="exact"/>
        <w:ind w:firstLine="640" w:firstLineChars="200"/>
        <w:outlineLvl w:val="1"/>
        <w:rPr>
          <w:rStyle w:val="2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0"/>
          <w:rFonts w:hint="eastAsia" w:ascii="Times New Roman" w:hAnsi="Times New Roman" w:eastAsia="黑体"/>
          <w:b w:val="0"/>
          <w:color w:val="auto"/>
          <w:highlight w:val="none"/>
        </w:rPr>
        <w:t>政府性基金预算支出决算情况说明</w:t>
      </w:r>
      <w:bookmarkEnd w:id="24"/>
      <w:bookmarkEnd w:id="25"/>
    </w:p>
    <w:p w14:paraId="5332B799">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2025年度政府性基金预算财政拨款支出</w:t>
      </w:r>
      <w:r>
        <w:rPr>
          <w:rFonts w:hint="eastAsia" w:ascii="仿宋" w:hAnsi="仿宋" w:eastAsia="仿宋" w:cs="仿宋"/>
          <w:sz w:val="32"/>
          <w:szCs w:val="32"/>
        </w:rPr>
        <w:t>0</w:t>
      </w:r>
      <w:r>
        <w:rPr>
          <w:rFonts w:hint="eastAsia" w:ascii="仿宋" w:hAnsi="仿宋" w:eastAsia="仿宋" w:cs="仿宋"/>
          <w:color w:val="auto"/>
          <w:kern w:val="2"/>
          <w:sz w:val="32"/>
          <w:szCs w:val="32"/>
          <w:highlight w:val="none"/>
          <w:lang w:val="en-US" w:eastAsia="zh-CN" w:bidi="ar-SA"/>
        </w:rPr>
        <w:t>万元，占本年支出合计的</w:t>
      </w:r>
      <w:r>
        <w:rPr>
          <w:rFonts w:hint="eastAsia" w:ascii="仿宋" w:hAnsi="仿宋" w:eastAsia="仿宋" w:cs="仿宋"/>
          <w:sz w:val="32"/>
          <w:szCs w:val="32"/>
        </w:rPr>
        <w:t>0</w:t>
      </w:r>
      <w:r>
        <w:rPr>
          <w:rFonts w:hint="eastAsia" w:ascii="仿宋" w:hAnsi="仿宋" w:eastAsia="仿宋" w:cs="仿宋"/>
          <w:color w:val="auto"/>
          <w:kern w:val="2"/>
          <w:sz w:val="32"/>
          <w:szCs w:val="32"/>
          <w:highlight w:val="none"/>
          <w:lang w:val="en-US" w:eastAsia="zh-CN" w:bidi="ar-SA"/>
        </w:rPr>
        <w:t>%。与上年度持平。</w:t>
      </w:r>
    </w:p>
    <w:p w14:paraId="236CB871">
      <w:pPr>
        <w:numPr>
          <w:ilvl w:val="0"/>
          <w:numId w:val="0"/>
        </w:numPr>
        <w:spacing w:line="600" w:lineRule="exact"/>
        <w:ind w:left="630" w:leftChars="0"/>
        <w:outlineLvl w:val="1"/>
        <w:rPr>
          <w:rStyle w:val="20"/>
          <w:rFonts w:ascii="Times New Roman" w:hAnsi="Times New Roman" w:eastAsia="黑体"/>
          <w:b w:val="0"/>
          <w:color w:val="auto"/>
          <w:highlight w:val="none"/>
        </w:rPr>
      </w:pPr>
      <w:bookmarkStart w:id="26" w:name="_Toc15377219"/>
      <w:bookmarkStart w:id="27" w:name="_Toc15396611"/>
      <w:r>
        <w:rPr>
          <w:rStyle w:val="20"/>
          <w:rFonts w:hint="eastAsia" w:ascii="Times New Roman" w:hAnsi="Times New Roman" w:eastAsia="黑体"/>
          <w:b w:val="0"/>
          <w:color w:val="auto"/>
          <w:highlight w:val="none"/>
          <w:lang w:eastAsia="zh-CN"/>
        </w:rPr>
        <w:t>九、</w:t>
      </w:r>
      <w:r>
        <w:rPr>
          <w:rStyle w:val="20"/>
          <w:rFonts w:hint="eastAsia" w:ascii="Times New Roman" w:hAnsi="Times New Roman" w:eastAsia="黑体"/>
          <w:b w:val="0"/>
          <w:color w:val="auto"/>
          <w:highlight w:val="none"/>
        </w:rPr>
        <w:t>国有资本经营预算支出决算情况说明</w:t>
      </w:r>
      <w:bookmarkEnd w:id="26"/>
      <w:bookmarkEnd w:id="27"/>
    </w:p>
    <w:p w14:paraId="5B9FFEF2">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2025年度国有资本经营预算财政拨款支出</w:t>
      </w:r>
      <w:r>
        <w:rPr>
          <w:rFonts w:hint="eastAsia" w:ascii="仿宋" w:hAnsi="仿宋" w:eastAsia="仿宋" w:cs="仿宋"/>
          <w:sz w:val="32"/>
          <w:szCs w:val="32"/>
        </w:rPr>
        <w:t>0</w:t>
      </w:r>
      <w:r>
        <w:rPr>
          <w:rFonts w:hint="eastAsia" w:ascii="仿宋" w:hAnsi="仿宋" w:eastAsia="仿宋" w:cs="仿宋"/>
          <w:color w:val="auto"/>
          <w:kern w:val="2"/>
          <w:sz w:val="32"/>
          <w:szCs w:val="32"/>
          <w:highlight w:val="none"/>
          <w:lang w:val="en-US" w:eastAsia="zh-CN" w:bidi="ar-SA"/>
        </w:rPr>
        <w:t>万元，占本年支出合计的</w:t>
      </w:r>
      <w:r>
        <w:rPr>
          <w:rFonts w:hint="eastAsia" w:ascii="仿宋" w:hAnsi="仿宋" w:eastAsia="仿宋" w:cs="仿宋"/>
          <w:sz w:val="32"/>
          <w:szCs w:val="32"/>
        </w:rPr>
        <w:t>0</w:t>
      </w:r>
      <w:r>
        <w:rPr>
          <w:rFonts w:hint="eastAsia" w:ascii="仿宋" w:hAnsi="仿宋" w:eastAsia="仿宋" w:cs="仿宋"/>
          <w:color w:val="auto"/>
          <w:kern w:val="2"/>
          <w:sz w:val="32"/>
          <w:szCs w:val="32"/>
          <w:highlight w:val="none"/>
          <w:lang w:val="en-US" w:eastAsia="zh-CN" w:bidi="ar-SA"/>
        </w:rPr>
        <w:t>%。与上年度持平。</w:t>
      </w:r>
    </w:p>
    <w:p w14:paraId="74B41AFB">
      <w:pPr>
        <w:spacing w:line="600" w:lineRule="exact"/>
        <w:ind w:left="630"/>
        <w:outlineLvl w:val="1"/>
        <w:rPr>
          <w:rStyle w:val="20"/>
          <w:rFonts w:ascii="Times New Roman" w:hAnsi="Times New Roman" w:eastAsia="黑体"/>
          <w:b w:val="0"/>
        </w:rPr>
      </w:pPr>
      <w:bookmarkStart w:id="28" w:name="_Toc15377221"/>
      <w:bookmarkStart w:id="29" w:name="_Toc15396612"/>
      <w:bookmarkStart w:id="30" w:name="_Toc15377225"/>
      <w:bookmarkStart w:id="31" w:name="_Toc15396613"/>
      <w:r>
        <w:rPr>
          <w:rStyle w:val="20"/>
          <w:rFonts w:hint="eastAsia" w:ascii="Times New Roman" w:hAnsi="Times New Roman" w:eastAsia="黑体"/>
          <w:b w:val="0"/>
        </w:rPr>
        <w:t>十、其他重要事项的情况说明</w:t>
      </w:r>
      <w:bookmarkEnd w:id="28"/>
      <w:bookmarkEnd w:id="29"/>
    </w:p>
    <w:p w14:paraId="239A44CD">
      <w:pPr>
        <w:spacing w:line="600" w:lineRule="exact"/>
        <w:ind w:firstLine="643" w:firstLineChars="200"/>
        <w:outlineLvl w:val="2"/>
        <w:rPr>
          <w:rFonts w:eastAsia="楷体_GB2312" w:cs="楷体_GB2312"/>
          <w:b/>
          <w:sz w:val="32"/>
          <w:szCs w:val="32"/>
        </w:rPr>
      </w:pPr>
      <w:bookmarkStart w:id="32" w:name="_Toc15377222"/>
      <w:r>
        <w:rPr>
          <w:rFonts w:hint="eastAsia" w:eastAsia="楷体_GB2312" w:cs="楷体_GB2312"/>
          <w:b/>
          <w:sz w:val="32"/>
          <w:szCs w:val="32"/>
        </w:rPr>
        <w:t>（一）机关运行经费支出情况</w:t>
      </w:r>
      <w:bookmarkEnd w:id="32"/>
    </w:p>
    <w:p w14:paraId="5C221D84">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w:t>
      </w:r>
      <w:r>
        <w:rPr>
          <w:rFonts w:hint="eastAsia" w:eastAsia="仿宋_GB2312" w:cs="仿宋_GB2312"/>
          <w:sz w:val="32"/>
          <w:szCs w:val="32"/>
          <w:lang w:val="en-US" w:eastAsia="zh-CN"/>
        </w:rPr>
        <w:t>四川省攀枝花市中心医院</w:t>
      </w:r>
      <w:r>
        <w:rPr>
          <w:rFonts w:hint="eastAsia" w:eastAsia="仿宋_GB2312" w:cs="仿宋_GB2312"/>
          <w:sz w:val="32"/>
          <w:szCs w:val="32"/>
        </w:rPr>
        <w:t>机关运行经费支出</w:t>
      </w:r>
      <w:r>
        <w:rPr>
          <w:rFonts w:hint="eastAsia" w:eastAsia="仿宋_GB2312" w:cs="仿宋_GB2312"/>
          <w:sz w:val="32"/>
          <w:szCs w:val="32"/>
          <w:lang w:val="en-US" w:eastAsia="zh-CN"/>
        </w:rPr>
        <w:t>0</w:t>
      </w:r>
      <w:r>
        <w:rPr>
          <w:rFonts w:hint="eastAsia" w:eastAsia="仿宋_GB2312" w:cs="仿宋_GB2312"/>
          <w:sz w:val="32"/>
          <w:szCs w:val="32"/>
        </w:rPr>
        <w:t>万元，与上年度决算数持平</w:t>
      </w:r>
      <w:r>
        <w:rPr>
          <w:rFonts w:hint="eastAsia" w:eastAsia="仿宋_GB2312" w:cs="仿宋_GB2312"/>
          <w:sz w:val="32"/>
          <w:szCs w:val="32"/>
          <w:lang w:eastAsia="zh-CN"/>
        </w:rPr>
        <w:t>。</w:t>
      </w:r>
    </w:p>
    <w:p w14:paraId="2D0C9321">
      <w:pPr>
        <w:spacing w:line="600" w:lineRule="exact"/>
        <w:ind w:firstLine="643" w:firstLineChars="200"/>
        <w:outlineLvl w:val="2"/>
        <w:rPr>
          <w:rFonts w:eastAsia="楷体_GB2312" w:cs="楷体_GB2312"/>
          <w:b/>
          <w:sz w:val="32"/>
          <w:szCs w:val="32"/>
        </w:rPr>
      </w:pPr>
      <w:bookmarkStart w:id="33" w:name="_Toc15377223"/>
      <w:r>
        <w:rPr>
          <w:rFonts w:hint="eastAsia" w:eastAsia="楷体_GB2312" w:cs="楷体_GB2312"/>
          <w:b/>
          <w:sz w:val="32"/>
          <w:szCs w:val="32"/>
        </w:rPr>
        <w:t>（二）政府采购支出情况</w:t>
      </w:r>
      <w:bookmarkEnd w:id="33"/>
    </w:p>
    <w:p w14:paraId="0F1537C7">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val="en-US" w:eastAsia="zh-CN"/>
        </w:rPr>
        <w:t>四川省攀枝花市中心医院</w:t>
      </w:r>
      <w:r>
        <w:rPr>
          <w:rFonts w:hint="eastAsia" w:eastAsia="仿宋_GB2312" w:cs="仿宋_GB2312"/>
          <w:sz w:val="32"/>
          <w:szCs w:val="32"/>
        </w:rPr>
        <w:t>政府采购支出总额</w:t>
      </w:r>
      <w:r>
        <w:rPr>
          <w:rFonts w:hint="eastAsia" w:eastAsia="仿宋_GB2312" w:cs="仿宋_GB2312"/>
          <w:sz w:val="32"/>
          <w:szCs w:val="32"/>
          <w:lang w:val="en-US" w:eastAsia="zh-CN"/>
        </w:rPr>
        <w:t>8297.93</w:t>
      </w:r>
      <w:r>
        <w:rPr>
          <w:rFonts w:hint="eastAsia" w:eastAsia="仿宋_GB2312" w:cs="仿宋_GB2312"/>
          <w:sz w:val="32"/>
          <w:szCs w:val="32"/>
        </w:rPr>
        <w:t>万元，其中：政府采购货物支出</w:t>
      </w:r>
      <w:r>
        <w:rPr>
          <w:rFonts w:hint="eastAsia" w:eastAsia="仿宋_GB2312" w:cs="仿宋_GB2312"/>
          <w:sz w:val="32"/>
          <w:szCs w:val="32"/>
          <w:lang w:val="en-US" w:eastAsia="zh-CN"/>
        </w:rPr>
        <w:t>5282.01</w:t>
      </w:r>
      <w:r>
        <w:rPr>
          <w:rFonts w:hint="eastAsia" w:eastAsia="仿宋_GB2312" w:cs="仿宋_GB2312"/>
          <w:sz w:val="32"/>
          <w:szCs w:val="32"/>
        </w:rPr>
        <w:t>万元、政府采购工程支出</w:t>
      </w:r>
      <w:r>
        <w:rPr>
          <w:rFonts w:hint="eastAsia" w:eastAsia="仿宋_GB2312" w:cs="仿宋_GB2312"/>
          <w:sz w:val="32"/>
          <w:szCs w:val="32"/>
          <w:lang w:val="en-US" w:eastAsia="zh-CN"/>
        </w:rPr>
        <w:t>132.92</w:t>
      </w:r>
      <w:r>
        <w:rPr>
          <w:rFonts w:hint="eastAsia" w:eastAsia="仿宋_GB2312" w:cs="仿宋_GB2312"/>
          <w:sz w:val="32"/>
          <w:szCs w:val="32"/>
        </w:rPr>
        <w:t>万元、政府采购服务支出</w:t>
      </w:r>
      <w:r>
        <w:rPr>
          <w:rFonts w:hint="eastAsia" w:eastAsia="仿宋_GB2312" w:cs="仿宋_GB2312"/>
          <w:sz w:val="32"/>
          <w:szCs w:val="32"/>
          <w:lang w:val="en-US" w:eastAsia="zh-CN"/>
        </w:rPr>
        <w:t>2883.01</w:t>
      </w:r>
      <w:r>
        <w:rPr>
          <w:rFonts w:hint="eastAsia" w:eastAsia="仿宋_GB2312" w:cs="仿宋_GB2312"/>
          <w:sz w:val="32"/>
          <w:szCs w:val="32"/>
        </w:rPr>
        <w:t>万元。主要用于</w:t>
      </w:r>
      <w:r>
        <w:rPr>
          <w:rFonts w:hint="eastAsia" w:ascii="仿宋_GB2312" w:eastAsia="仿宋_GB2312"/>
          <w:color w:val="auto"/>
          <w:sz w:val="32"/>
          <w:szCs w:val="32"/>
          <w:highlight w:val="none"/>
          <w:lang w:val="en-US" w:eastAsia="zh-CN"/>
        </w:rPr>
        <w:t>医疗设备购置、信息系统购置、房屋维修改造工程采购等</w:t>
      </w:r>
      <w:r>
        <w:rPr>
          <w:rFonts w:hint="eastAsia" w:eastAsia="仿宋_GB2312" w:cs="仿宋_GB2312"/>
          <w:sz w:val="32"/>
          <w:szCs w:val="32"/>
        </w:rPr>
        <w:t>。授予中小企业合同金额</w:t>
      </w:r>
      <w:r>
        <w:rPr>
          <w:rFonts w:hint="eastAsia" w:eastAsia="仿宋_GB2312" w:cs="仿宋_GB2312"/>
          <w:sz w:val="32"/>
          <w:szCs w:val="32"/>
          <w:lang w:val="en-US" w:eastAsia="zh-CN"/>
        </w:rPr>
        <w:t>5188.6</w:t>
      </w:r>
      <w:r>
        <w:rPr>
          <w:rFonts w:hint="eastAsia" w:eastAsia="仿宋_GB2312" w:cs="仿宋_GB2312"/>
          <w:sz w:val="32"/>
          <w:szCs w:val="32"/>
        </w:rPr>
        <w:t>万元，占政府采购支出总额的</w:t>
      </w:r>
      <w:r>
        <w:rPr>
          <w:rFonts w:hint="eastAsia" w:eastAsia="仿宋_GB2312" w:cs="仿宋_GB2312"/>
          <w:sz w:val="32"/>
          <w:szCs w:val="32"/>
          <w:lang w:val="en-US" w:eastAsia="zh-CN"/>
        </w:rPr>
        <w:t>62.5</w:t>
      </w:r>
      <w:r>
        <w:rPr>
          <w:rFonts w:hint="eastAsia" w:eastAsia="仿宋_GB2312" w:cs="仿宋_GB2312"/>
          <w:sz w:val="32"/>
          <w:szCs w:val="32"/>
        </w:rPr>
        <w:t>%，其中：授予小微企业合同金额</w:t>
      </w:r>
      <w:r>
        <w:rPr>
          <w:rFonts w:hint="eastAsia" w:eastAsia="仿宋_GB2312" w:cs="仿宋_GB2312"/>
          <w:sz w:val="32"/>
          <w:szCs w:val="32"/>
          <w:lang w:val="en-US" w:eastAsia="zh-CN"/>
        </w:rPr>
        <w:t>4487.5</w:t>
      </w:r>
      <w:r>
        <w:rPr>
          <w:rFonts w:hint="eastAsia" w:eastAsia="仿宋_GB2312" w:cs="仿宋_GB2312"/>
          <w:sz w:val="32"/>
          <w:szCs w:val="32"/>
        </w:rPr>
        <w:t>万元，占政府采购支出总额的</w:t>
      </w:r>
      <w:r>
        <w:rPr>
          <w:rFonts w:hint="eastAsia" w:eastAsia="仿宋_GB2312" w:cs="仿宋_GB2312"/>
          <w:sz w:val="32"/>
          <w:szCs w:val="32"/>
          <w:lang w:val="en-US" w:eastAsia="zh-CN"/>
        </w:rPr>
        <w:t>54.1</w:t>
      </w:r>
      <w:r>
        <w:rPr>
          <w:rFonts w:hint="eastAsia" w:eastAsia="仿宋_GB2312" w:cs="仿宋_GB2312"/>
          <w:sz w:val="32"/>
          <w:szCs w:val="32"/>
        </w:rPr>
        <w:t>%。</w:t>
      </w:r>
    </w:p>
    <w:p w14:paraId="7854E7C0">
      <w:pPr>
        <w:spacing w:line="600" w:lineRule="exact"/>
        <w:ind w:firstLine="643" w:firstLineChars="200"/>
        <w:outlineLvl w:val="2"/>
        <w:rPr>
          <w:rFonts w:eastAsia="楷体_GB2312" w:cs="楷体_GB2312"/>
          <w:b/>
          <w:sz w:val="32"/>
          <w:szCs w:val="32"/>
        </w:rPr>
      </w:pPr>
      <w:bookmarkStart w:id="34" w:name="_Toc15377224"/>
      <w:r>
        <w:rPr>
          <w:rFonts w:hint="eastAsia" w:eastAsia="楷体_GB2312" w:cs="楷体_GB2312"/>
          <w:b/>
          <w:sz w:val="32"/>
          <w:szCs w:val="32"/>
        </w:rPr>
        <w:t>（三）国有资产占有使用情况</w:t>
      </w:r>
      <w:bookmarkEnd w:id="34"/>
    </w:p>
    <w:p w14:paraId="66BF12F6">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val="en-US" w:eastAsia="zh-CN"/>
        </w:rPr>
        <w:t>四川省攀枝花市中心医院</w:t>
      </w:r>
      <w:r>
        <w:rPr>
          <w:rFonts w:hint="eastAsia" w:eastAsia="仿宋_GB2312" w:cs="仿宋_GB2312"/>
          <w:sz w:val="32"/>
          <w:szCs w:val="32"/>
        </w:rPr>
        <w:t>共有车辆</w:t>
      </w:r>
      <w:r>
        <w:rPr>
          <w:rFonts w:hint="eastAsia" w:eastAsia="仿宋_GB2312" w:cs="仿宋_GB2312"/>
          <w:sz w:val="32"/>
          <w:szCs w:val="32"/>
          <w:lang w:val="en-US" w:eastAsia="zh-CN"/>
        </w:rPr>
        <w:t>14</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10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4</w:t>
      </w:r>
      <w:r>
        <w:rPr>
          <w:rFonts w:hint="eastAsia" w:eastAsia="仿宋_GB2312" w:cs="仿宋_GB2312"/>
          <w:sz w:val="32"/>
          <w:szCs w:val="32"/>
        </w:rPr>
        <w:t>辆，其他用车主要是用于</w:t>
      </w:r>
      <w:r>
        <w:rPr>
          <w:rFonts w:hint="eastAsia" w:ascii="仿宋" w:hAnsi="仿宋" w:eastAsia="仿宋" w:cs="仿宋"/>
          <w:color w:val="000000"/>
          <w:sz w:val="32"/>
          <w:szCs w:val="32"/>
        </w:rPr>
        <w:t>医疗业务</w:t>
      </w:r>
      <w:r>
        <w:rPr>
          <w:rFonts w:hint="eastAsia" w:ascii="仿宋" w:hAnsi="仿宋" w:eastAsia="仿宋" w:cs="仿宋"/>
          <w:color w:val="000000"/>
          <w:sz w:val="32"/>
          <w:szCs w:val="32"/>
          <w:lang w:val="en-US" w:eastAsia="zh-CN"/>
        </w:rPr>
        <w:t>活动教授会诊、对口支援帮扶等</w:t>
      </w:r>
      <w:r>
        <w:rPr>
          <w:rFonts w:hint="eastAsia" w:ascii="仿宋" w:hAnsi="仿宋" w:eastAsia="仿宋" w:cs="仿宋"/>
          <w:color w:val="000000"/>
          <w:sz w:val="32"/>
          <w:szCs w:val="32"/>
        </w:rPr>
        <w:t>用车</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137</w:t>
      </w:r>
      <w:r>
        <w:rPr>
          <w:rFonts w:hint="eastAsia" w:eastAsia="仿宋_GB2312" w:cs="仿宋_GB2312"/>
          <w:sz w:val="32"/>
          <w:szCs w:val="32"/>
        </w:rPr>
        <w:t>台（套）。</w:t>
      </w:r>
    </w:p>
    <w:p w14:paraId="386E2A87">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54F658BD">
      <w:pPr>
        <w:spacing w:line="600" w:lineRule="exact"/>
        <w:ind w:firstLine="640"/>
        <w:rPr>
          <w:rFonts w:hint="eastAsia" w:ascii="Times New Roman" w:hAnsi="Times New Roman" w:eastAsia="黑体"/>
          <w:color w:val="auto"/>
          <w:sz w:val="44"/>
          <w:szCs w:val="44"/>
          <w:highlight w:val="none"/>
        </w:rPr>
      </w:pPr>
      <w:r>
        <w:rPr>
          <w:rFonts w:hint="eastAsia" w:eastAsia="仿宋_GB2312" w:cs="仿宋_GB2312"/>
          <w:sz w:val="32"/>
          <w:szCs w:val="32"/>
        </w:rPr>
        <w:t>根据预算绩效管理要求，</w:t>
      </w:r>
      <w:r>
        <w:rPr>
          <w:rFonts w:hint="eastAsia" w:eastAsia="仿宋_GB2312" w:cs="仿宋_GB2312"/>
          <w:sz w:val="32"/>
          <w:szCs w:val="32"/>
          <w:lang w:val="en-US" w:eastAsia="zh-CN"/>
        </w:rPr>
        <w:t>四川省攀枝花市中心医院</w:t>
      </w:r>
      <w:r>
        <w:rPr>
          <w:rFonts w:hint="eastAsia" w:eastAsia="仿宋_GB2312" w:cs="仿宋_GB2312"/>
          <w:sz w:val="32"/>
          <w:szCs w:val="32"/>
        </w:rPr>
        <w:t>在2025年度，组织对</w:t>
      </w:r>
      <w:r>
        <w:rPr>
          <w:rFonts w:hint="eastAsia" w:eastAsia="仿宋_GB2312" w:cs="仿宋_GB2312"/>
          <w:sz w:val="32"/>
          <w:szCs w:val="32"/>
          <w:lang w:val="en-US" w:eastAsia="zh-CN"/>
        </w:rPr>
        <w:t>住院医师规范化培训、临床重点专科、慢性病防治、</w:t>
      </w:r>
      <w:r>
        <w:rPr>
          <w:rFonts w:hint="eastAsia" w:eastAsia="仿宋_GB2312" w:cs="仿宋_GB2312"/>
          <w:sz w:val="32"/>
          <w:szCs w:val="32"/>
        </w:rPr>
        <w:t>重点传染病及健康危害因素监测等</w:t>
      </w:r>
      <w:r>
        <w:rPr>
          <w:rFonts w:hint="eastAsia" w:eastAsia="仿宋_GB2312" w:cs="仿宋_GB2312"/>
          <w:sz w:val="32"/>
          <w:szCs w:val="32"/>
          <w:lang w:val="en-US" w:eastAsia="zh-CN"/>
        </w:rPr>
        <w:t>24</w:t>
      </w:r>
      <w:r>
        <w:rPr>
          <w:rFonts w:hint="eastAsia" w:eastAsia="仿宋_GB2312" w:cs="仿宋_GB2312"/>
          <w:sz w:val="32"/>
          <w:szCs w:val="32"/>
        </w:rPr>
        <w:t>个项目涉及金额</w:t>
      </w:r>
      <w:r>
        <w:rPr>
          <w:rFonts w:hint="eastAsia" w:eastAsia="仿宋_GB2312" w:cs="仿宋_GB2312"/>
          <w:sz w:val="32"/>
          <w:szCs w:val="32"/>
          <w:lang w:val="en-US" w:eastAsia="zh-CN"/>
        </w:rPr>
        <w:t>2717</w:t>
      </w:r>
      <w:r>
        <w:rPr>
          <w:rFonts w:hint="eastAsia" w:eastAsia="仿宋_GB2312" w:cs="仿宋_GB2312"/>
          <w:sz w:val="32"/>
          <w:szCs w:val="32"/>
        </w:rPr>
        <w:t>万元开展了事前绩效评估，对</w:t>
      </w:r>
      <w:r>
        <w:rPr>
          <w:rFonts w:hint="eastAsia" w:eastAsia="仿宋_GB2312" w:cs="仿宋_GB2312"/>
          <w:sz w:val="32"/>
          <w:szCs w:val="32"/>
          <w:lang w:val="en-US" w:eastAsia="zh-CN"/>
        </w:rPr>
        <w:t>24</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24</w:t>
      </w:r>
      <w:r>
        <w:rPr>
          <w:rFonts w:hint="eastAsia" w:eastAsia="仿宋_GB2312" w:cs="仿宋_GB2312"/>
          <w:sz w:val="32"/>
          <w:szCs w:val="32"/>
        </w:rPr>
        <w:t>个项目开展绩效监控。</w:t>
      </w:r>
    </w:p>
    <w:p w14:paraId="2420F97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2C6D4E9">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30"/>
      <w:bookmarkEnd w:id="31"/>
    </w:p>
    <w:p w14:paraId="69A73C1F">
      <w:pPr>
        <w:spacing w:line="600" w:lineRule="exact"/>
        <w:jc w:val="left"/>
        <w:rPr>
          <w:rFonts w:ascii="Times New Roman" w:hAnsi="Times New Roman"/>
          <w:b/>
          <w:color w:val="auto"/>
          <w:sz w:val="44"/>
          <w:szCs w:val="44"/>
          <w:highlight w:val="none"/>
        </w:rPr>
      </w:pPr>
    </w:p>
    <w:p w14:paraId="555DBE32">
      <w:pPr>
        <w:spacing w:line="600" w:lineRule="exact"/>
        <w:ind w:firstLine="640"/>
        <w:rPr>
          <w:rFonts w:hint="eastAsia" w:ascii="仿宋" w:hAnsi="仿宋" w:eastAsia="仿宋" w:cs="仿宋"/>
          <w:sz w:val="32"/>
          <w:szCs w:val="32"/>
        </w:rPr>
      </w:pPr>
      <w:bookmarkStart w:id="35" w:name="_Toc15377226"/>
      <w:r>
        <w:rPr>
          <w:rFonts w:hint="eastAsia" w:ascii="仿宋" w:hAnsi="仿宋" w:eastAsia="仿宋" w:cs="仿宋"/>
          <w:sz w:val="32"/>
          <w:szCs w:val="32"/>
        </w:rPr>
        <w:t>1.财政拨款收入：指单位从同级财政部门取得的财政预算资金。</w:t>
      </w:r>
    </w:p>
    <w:p w14:paraId="1B5F76BD">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2.事业收入：指事业单位开展专业业务活动及辅助活动取得的收入。如</w:t>
      </w:r>
      <w:r>
        <w:rPr>
          <w:rFonts w:hint="eastAsia" w:ascii="仿宋" w:hAnsi="仿宋" w:eastAsia="仿宋" w:cs="仿宋"/>
          <w:sz w:val="32"/>
          <w:szCs w:val="32"/>
          <w:lang w:val="en-US" w:eastAsia="zh-CN"/>
        </w:rPr>
        <w:t>医疗收入</w:t>
      </w:r>
      <w:r>
        <w:rPr>
          <w:rFonts w:hint="eastAsia" w:ascii="仿宋" w:hAnsi="仿宋" w:eastAsia="仿宋" w:cs="仿宋"/>
          <w:sz w:val="32"/>
          <w:szCs w:val="32"/>
        </w:rPr>
        <w:t>。</w:t>
      </w:r>
    </w:p>
    <w:p w14:paraId="514CFD93">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3.其他收入：指单位取得的除上述收入以外的各项收入。主要是</w:t>
      </w:r>
      <w:r>
        <w:rPr>
          <w:rFonts w:hint="eastAsia" w:ascii="仿宋" w:hAnsi="仿宋" w:eastAsia="仿宋" w:cs="仿宋"/>
          <w:sz w:val="32"/>
          <w:szCs w:val="32"/>
          <w:lang w:val="en-US" w:eastAsia="zh-CN"/>
        </w:rPr>
        <w:t>租金收入，利息收入</w:t>
      </w:r>
      <w:r>
        <w:rPr>
          <w:rFonts w:hint="eastAsia" w:ascii="仿宋" w:hAnsi="仿宋" w:eastAsia="仿宋" w:cs="仿宋"/>
          <w:sz w:val="32"/>
          <w:szCs w:val="32"/>
        </w:rPr>
        <w:t xml:space="preserve">等。 </w:t>
      </w:r>
    </w:p>
    <w:p w14:paraId="45B5111C">
      <w:pPr>
        <w:spacing w:line="600" w:lineRule="exact"/>
        <w:ind w:firstLine="64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 xml:space="preserve">.年初结转和结余：指以前年度尚未完成、结转到本年按有关规定继续使用的资金。 </w:t>
      </w:r>
    </w:p>
    <w:p w14:paraId="29809916">
      <w:pPr>
        <w:spacing w:line="600" w:lineRule="exact"/>
        <w:ind w:firstLine="64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结余分配：指事业单位按照会计制度规定缴纳的所得税、提取的专用结余以及转入非财政拨款结余的金额等。</w:t>
      </w:r>
    </w:p>
    <w:p w14:paraId="54B02387">
      <w:pPr>
        <w:spacing w:line="600" w:lineRule="exact"/>
        <w:ind w:firstLine="64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.年末结转和结余：指单位按有关规定结转到下年或以后年度继续使用的资金。</w:t>
      </w:r>
    </w:p>
    <w:p w14:paraId="0628F335">
      <w:pPr>
        <w:numPr>
          <w:ilvl w:val="0"/>
          <w:numId w:val="0"/>
        </w:numPr>
        <w:spacing w:line="600" w:lineRule="exact"/>
        <w:ind w:firstLine="640" w:firstLineChars="0"/>
        <w:rPr>
          <w:rFonts w:hint="eastAsia" w:ascii="仿宋" w:hAnsi="仿宋" w:eastAsia="仿宋" w:cs="仿宋"/>
          <w:color w:val="auto"/>
          <w:kern w:val="2"/>
          <w:sz w:val="32"/>
          <w:szCs w:val="32"/>
          <w:lang w:val="en-US" w:eastAsia="zh-CN" w:bidi="ar-SA"/>
        </w:rPr>
      </w:pPr>
      <w:r>
        <w:rPr>
          <w:rStyle w:val="17"/>
          <w:rFonts w:hint="eastAsia" w:ascii="仿宋" w:hAnsi="仿宋" w:eastAsia="仿宋" w:cs="仿宋"/>
          <w:b w:val="0"/>
          <w:bCs w:val="0"/>
          <w:color w:val="auto"/>
          <w:sz w:val="32"/>
          <w:szCs w:val="32"/>
          <w:highlight w:val="none"/>
          <w:lang w:val="en-US" w:eastAsia="zh-CN"/>
        </w:rPr>
        <w:t>7</w:t>
      </w:r>
      <w:r>
        <w:rPr>
          <w:rStyle w:val="17"/>
          <w:rFonts w:hint="eastAsia" w:ascii="仿宋" w:hAnsi="仿宋" w:eastAsia="仿宋" w:cs="仿宋"/>
          <w:b w:val="0"/>
          <w:bCs w:val="0"/>
          <w:color w:val="auto"/>
          <w:sz w:val="32"/>
          <w:szCs w:val="32"/>
          <w:highlight w:val="none"/>
        </w:rPr>
        <w:t>.</w:t>
      </w:r>
      <w:r>
        <w:rPr>
          <w:rFonts w:hint="eastAsia" w:ascii="仿宋" w:hAnsi="仿宋" w:eastAsia="仿宋" w:cs="仿宋"/>
          <w:color w:val="auto"/>
          <w:kern w:val="2"/>
          <w:sz w:val="32"/>
          <w:szCs w:val="32"/>
          <w:lang w:val="en-US" w:eastAsia="zh-CN" w:bidi="ar-SA"/>
        </w:rPr>
        <w:t>科学技术支出（类）基础研究（款）自然科学基金（项）：指各级政府设立的自然科学基金支出。</w:t>
      </w:r>
    </w:p>
    <w:p w14:paraId="6A560BC0">
      <w:pPr>
        <w:numPr>
          <w:ilvl w:val="0"/>
          <w:numId w:val="0"/>
        </w:numPr>
        <w:spacing w:line="600" w:lineRule="exact"/>
        <w:ind w:firstLine="640" w:firstLineChars="0"/>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8.科学技术支出（类）其他科学技术支出（款）其他科学技术支出（项）：指其他科学技术中除以上各项外用于科技方面的支出。</w:t>
      </w:r>
    </w:p>
    <w:p w14:paraId="295F8E3F">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val="0"/>
          <w:bCs w:val="0"/>
          <w:color w:val="auto"/>
          <w:sz w:val="32"/>
          <w:szCs w:val="32"/>
          <w:highlight w:val="none"/>
        </w:rPr>
      </w:pPr>
      <w:r>
        <w:rPr>
          <w:rStyle w:val="17"/>
          <w:rFonts w:hint="eastAsia" w:ascii="仿宋" w:hAnsi="仿宋" w:eastAsia="仿宋" w:cs="仿宋"/>
          <w:b w:val="0"/>
          <w:bCs w:val="0"/>
          <w:color w:val="auto"/>
          <w:sz w:val="32"/>
          <w:szCs w:val="32"/>
          <w:highlight w:val="none"/>
          <w:lang w:val="en-US" w:eastAsia="zh-CN"/>
        </w:rPr>
        <w:t>9.</w:t>
      </w:r>
      <w:r>
        <w:rPr>
          <w:rStyle w:val="17"/>
          <w:rFonts w:hint="eastAsia" w:ascii="仿宋" w:hAnsi="仿宋" w:eastAsia="仿宋" w:cs="仿宋"/>
          <w:b w:val="0"/>
          <w:bCs w:val="0"/>
          <w:color w:val="auto"/>
          <w:sz w:val="32"/>
          <w:szCs w:val="32"/>
          <w:highlight w:val="none"/>
        </w:rPr>
        <w:t>社会保障和就业</w:t>
      </w:r>
      <w:r>
        <w:rPr>
          <w:rStyle w:val="17"/>
          <w:rFonts w:hint="eastAsia" w:ascii="仿宋" w:hAnsi="仿宋" w:eastAsia="仿宋" w:cs="仿宋"/>
          <w:b w:val="0"/>
          <w:bCs w:val="0"/>
          <w:color w:val="auto"/>
          <w:sz w:val="32"/>
          <w:szCs w:val="32"/>
          <w:highlight w:val="none"/>
          <w:lang w:val="en-US" w:eastAsia="zh-CN"/>
        </w:rPr>
        <w:t>支出</w:t>
      </w:r>
      <w:r>
        <w:rPr>
          <w:rStyle w:val="17"/>
          <w:rFonts w:hint="eastAsia" w:ascii="仿宋" w:hAnsi="仿宋" w:eastAsia="仿宋" w:cs="仿宋"/>
          <w:b w:val="0"/>
          <w:bCs w:val="0"/>
          <w:color w:val="auto"/>
          <w:sz w:val="32"/>
          <w:szCs w:val="32"/>
          <w:highlight w:val="none"/>
        </w:rPr>
        <w:t xml:space="preserve">（类）行政事业单位养老支出（款）事业单位离退休（项）: </w:t>
      </w:r>
      <w:r>
        <w:rPr>
          <w:rFonts w:hint="eastAsia" w:ascii="仿宋" w:hAnsi="仿宋" w:eastAsia="仿宋" w:cs="仿宋"/>
          <w:color w:val="auto"/>
          <w:sz w:val="32"/>
          <w:szCs w:val="32"/>
          <w:highlight w:val="none"/>
          <w:lang w:val="en-US" w:eastAsia="zh-CN"/>
        </w:rPr>
        <w:t>指事业单位开支的离退休经费</w:t>
      </w:r>
      <w:r>
        <w:rPr>
          <w:rStyle w:val="17"/>
          <w:rFonts w:hint="eastAsia" w:ascii="仿宋" w:hAnsi="仿宋" w:eastAsia="仿宋" w:cs="仿宋"/>
          <w:b w:val="0"/>
          <w:bCs w:val="0"/>
          <w:color w:val="auto"/>
          <w:sz w:val="32"/>
          <w:szCs w:val="32"/>
          <w:highlight w:val="none"/>
        </w:rPr>
        <w:t>。</w:t>
      </w:r>
    </w:p>
    <w:p w14:paraId="0C681AB8">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val="0"/>
          <w:bCs w:val="0"/>
          <w:color w:val="FF0000"/>
          <w:sz w:val="32"/>
          <w:szCs w:val="32"/>
          <w:highlight w:val="none"/>
        </w:rPr>
      </w:pPr>
      <w:r>
        <w:rPr>
          <w:rStyle w:val="17"/>
          <w:rFonts w:hint="eastAsia" w:ascii="仿宋" w:hAnsi="仿宋" w:eastAsia="仿宋" w:cs="仿宋"/>
          <w:b w:val="0"/>
          <w:bCs w:val="0"/>
          <w:color w:val="auto"/>
          <w:sz w:val="32"/>
          <w:szCs w:val="32"/>
          <w:highlight w:val="none"/>
          <w:lang w:val="en-US" w:eastAsia="zh-CN"/>
        </w:rPr>
        <w:t>10</w:t>
      </w:r>
      <w:r>
        <w:rPr>
          <w:rStyle w:val="17"/>
          <w:rFonts w:hint="eastAsia" w:ascii="仿宋" w:hAnsi="仿宋" w:eastAsia="仿宋" w:cs="仿宋"/>
          <w:b w:val="0"/>
          <w:bCs w:val="0"/>
          <w:color w:val="auto"/>
          <w:sz w:val="32"/>
          <w:szCs w:val="32"/>
          <w:highlight w:val="none"/>
        </w:rPr>
        <w:t>.社会保障和就业</w:t>
      </w:r>
      <w:r>
        <w:rPr>
          <w:rStyle w:val="17"/>
          <w:rFonts w:hint="eastAsia" w:ascii="仿宋" w:hAnsi="仿宋" w:eastAsia="仿宋" w:cs="仿宋"/>
          <w:b w:val="0"/>
          <w:bCs w:val="0"/>
          <w:color w:val="auto"/>
          <w:sz w:val="32"/>
          <w:szCs w:val="32"/>
          <w:highlight w:val="none"/>
          <w:lang w:val="en-US" w:eastAsia="zh-CN"/>
        </w:rPr>
        <w:t>支出</w:t>
      </w:r>
      <w:r>
        <w:rPr>
          <w:rStyle w:val="17"/>
          <w:rFonts w:hint="eastAsia" w:ascii="仿宋" w:hAnsi="仿宋" w:eastAsia="仿宋" w:cs="仿宋"/>
          <w:b w:val="0"/>
          <w:bCs w:val="0"/>
          <w:color w:val="auto"/>
          <w:sz w:val="32"/>
          <w:szCs w:val="32"/>
          <w:highlight w:val="none"/>
        </w:rPr>
        <w:t xml:space="preserve">（类）抚恤（款）死亡抚恤（项）: </w:t>
      </w:r>
      <w:r>
        <w:rPr>
          <w:rFonts w:hint="eastAsia" w:ascii="仿宋" w:hAnsi="仿宋" w:eastAsia="仿宋" w:cs="仿宋"/>
          <w:color w:val="auto"/>
          <w:sz w:val="32"/>
          <w:szCs w:val="32"/>
          <w:highlight w:val="none"/>
          <w:lang w:val="en-US" w:eastAsia="zh-CN"/>
        </w:rPr>
        <w:t>指按规定用于烈士和牺牲、病故人员家属的一次性和定期抚恤金以及丧葬补助费</w:t>
      </w:r>
      <w:r>
        <w:rPr>
          <w:rStyle w:val="17"/>
          <w:rFonts w:hint="eastAsia" w:ascii="仿宋" w:hAnsi="仿宋" w:eastAsia="仿宋" w:cs="仿宋"/>
          <w:b w:val="0"/>
          <w:bCs w:val="0"/>
          <w:color w:val="auto"/>
          <w:sz w:val="32"/>
          <w:szCs w:val="32"/>
          <w:highlight w:val="none"/>
        </w:rPr>
        <w:t>。</w:t>
      </w:r>
    </w:p>
    <w:p w14:paraId="0565E7B6">
      <w:pPr>
        <w:keepNext w:val="0"/>
        <w:keepLines w:val="0"/>
        <w:pageBreakBefore w:val="0"/>
        <w:widowControl w:val="0"/>
        <w:kinsoku/>
        <w:wordWrap/>
        <w:overflowPunct/>
        <w:topLinePunct w:val="0"/>
        <w:bidi w:val="0"/>
        <w:snapToGrid/>
        <w:spacing w:line="600" w:lineRule="exact"/>
        <w:ind w:firstLine="640" w:firstLineChars="200"/>
        <w:textAlignment w:val="auto"/>
        <w:rPr>
          <w:rStyle w:val="17"/>
          <w:rFonts w:hint="eastAsia" w:ascii="仿宋" w:hAnsi="仿宋" w:eastAsia="仿宋" w:cs="仿宋"/>
          <w:b w:val="0"/>
          <w:bCs w:val="0"/>
          <w:color w:val="auto"/>
          <w:sz w:val="32"/>
          <w:szCs w:val="32"/>
          <w:highlight w:val="none"/>
        </w:rPr>
      </w:pPr>
      <w:r>
        <w:rPr>
          <w:rStyle w:val="17"/>
          <w:rFonts w:hint="eastAsia" w:ascii="仿宋" w:hAnsi="仿宋" w:eastAsia="仿宋" w:cs="仿宋"/>
          <w:b w:val="0"/>
          <w:bCs w:val="0"/>
          <w:color w:val="auto"/>
          <w:sz w:val="32"/>
          <w:szCs w:val="32"/>
          <w:highlight w:val="none"/>
          <w:lang w:val="en-US" w:eastAsia="zh-CN"/>
        </w:rPr>
        <w:t>11</w:t>
      </w:r>
      <w:r>
        <w:rPr>
          <w:rStyle w:val="17"/>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rPr>
        <w:t>卫生健康</w:t>
      </w:r>
      <w:r>
        <w:rPr>
          <w:rStyle w:val="17"/>
          <w:rFonts w:hint="eastAsia" w:ascii="仿宋" w:hAnsi="仿宋" w:eastAsia="仿宋" w:cs="仿宋"/>
          <w:b w:val="0"/>
          <w:bCs w:val="0"/>
          <w:color w:val="auto"/>
          <w:sz w:val="32"/>
          <w:szCs w:val="32"/>
          <w:highlight w:val="none"/>
        </w:rPr>
        <w:t>（类）公立医院（款）综合医院（项）:</w:t>
      </w:r>
      <w:r>
        <w:rPr>
          <w:rStyle w:val="17"/>
          <w:rFonts w:hint="eastAsia" w:ascii="仿宋" w:hAnsi="仿宋" w:eastAsia="仿宋" w:cs="仿宋"/>
          <w:b w:val="0"/>
          <w:bCs w:val="0"/>
          <w:color w:val="auto"/>
          <w:sz w:val="32"/>
          <w:szCs w:val="32"/>
          <w:highlight w:val="none"/>
          <w:lang w:val="en-US" w:eastAsia="zh-CN"/>
        </w:rPr>
        <w:t>指卫生健康、中医部门所属的城市综合性医院、独立门诊、教学医院、疗养院和县医院的支出</w:t>
      </w:r>
      <w:r>
        <w:rPr>
          <w:rStyle w:val="17"/>
          <w:rFonts w:hint="eastAsia" w:ascii="仿宋" w:hAnsi="仿宋" w:eastAsia="仿宋" w:cs="仿宋"/>
          <w:b w:val="0"/>
          <w:bCs w:val="0"/>
          <w:color w:val="auto"/>
          <w:sz w:val="32"/>
          <w:szCs w:val="32"/>
          <w:highlight w:val="none"/>
        </w:rPr>
        <w:t>。</w:t>
      </w:r>
    </w:p>
    <w:p w14:paraId="1A2430CB">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Style w:val="17"/>
          <w:rFonts w:hint="eastAsia" w:ascii="仿宋" w:hAnsi="仿宋" w:eastAsia="仿宋" w:cs="仿宋"/>
          <w:b w:val="0"/>
          <w:bCs w:val="0"/>
          <w:color w:val="auto"/>
          <w:sz w:val="32"/>
          <w:szCs w:val="32"/>
          <w:highlight w:val="none"/>
          <w:lang w:val="en-US" w:eastAsia="zh-CN"/>
        </w:rPr>
        <w:t>12</w:t>
      </w:r>
      <w:r>
        <w:rPr>
          <w:rStyle w:val="17"/>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rPr>
        <w:t>卫生健康</w:t>
      </w:r>
      <w:r>
        <w:rPr>
          <w:rStyle w:val="17"/>
          <w:rFonts w:hint="eastAsia" w:ascii="仿宋" w:hAnsi="仿宋" w:eastAsia="仿宋" w:cs="仿宋"/>
          <w:b w:val="0"/>
          <w:bCs w:val="0"/>
          <w:color w:val="auto"/>
          <w:sz w:val="32"/>
          <w:szCs w:val="32"/>
          <w:highlight w:val="none"/>
        </w:rPr>
        <w:t>（类）公立医院（款）</w:t>
      </w:r>
      <w:r>
        <w:rPr>
          <w:rStyle w:val="17"/>
          <w:rFonts w:hint="eastAsia" w:ascii="仿宋" w:hAnsi="仿宋" w:eastAsia="仿宋" w:cs="仿宋"/>
          <w:b w:val="0"/>
          <w:bCs w:val="0"/>
          <w:color w:val="auto"/>
          <w:sz w:val="32"/>
          <w:szCs w:val="32"/>
          <w:highlight w:val="none"/>
          <w:lang w:val="en-US" w:eastAsia="zh-CN"/>
        </w:rPr>
        <w:t>其他公立医院支出</w:t>
      </w:r>
      <w:r>
        <w:rPr>
          <w:rStyle w:val="17"/>
          <w:rFonts w:hint="eastAsia" w:ascii="仿宋" w:hAnsi="仿宋" w:eastAsia="仿宋" w:cs="仿宋"/>
          <w:b w:val="0"/>
          <w:bCs w:val="0"/>
          <w:color w:val="auto"/>
          <w:sz w:val="32"/>
          <w:szCs w:val="32"/>
          <w:highlight w:val="none"/>
        </w:rPr>
        <w:t>（项）:</w:t>
      </w:r>
      <w:r>
        <w:rPr>
          <w:rStyle w:val="17"/>
          <w:rFonts w:hint="eastAsia" w:ascii="仿宋" w:hAnsi="仿宋" w:eastAsia="仿宋" w:cs="仿宋"/>
          <w:b w:val="0"/>
          <w:bCs w:val="0"/>
          <w:color w:val="auto"/>
          <w:sz w:val="32"/>
          <w:szCs w:val="32"/>
          <w:highlight w:val="none"/>
          <w:lang w:val="en-US" w:eastAsia="zh-CN"/>
        </w:rPr>
        <w:t>指其他用于公立医院方面的支出</w:t>
      </w:r>
      <w:r>
        <w:rPr>
          <w:rStyle w:val="17"/>
          <w:rFonts w:hint="eastAsia" w:ascii="仿宋" w:hAnsi="仿宋" w:eastAsia="仿宋" w:cs="仿宋"/>
          <w:b w:val="0"/>
          <w:bCs w:val="0"/>
          <w:color w:val="auto"/>
          <w:sz w:val="32"/>
          <w:szCs w:val="32"/>
          <w:highlight w:val="none"/>
        </w:rPr>
        <w:t>。</w:t>
      </w:r>
    </w:p>
    <w:p w14:paraId="2F859255">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val="0"/>
          <w:bCs w:val="0"/>
          <w:color w:val="auto"/>
          <w:sz w:val="32"/>
          <w:szCs w:val="32"/>
          <w:highlight w:val="none"/>
        </w:rPr>
      </w:pPr>
      <w:r>
        <w:rPr>
          <w:rStyle w:val="17"/>
          <w:rFonts w:hint="eastAsia" w:ascii="仿宋" w:hAnsi="仿宋" w:eastAsia="仿宋" w:cs="仿宋"/>
          <w:b w:val="0"/>
          <w:bCs w:val="0"/>
          <w:color w:val="auto"/>
          <w:sz w:val="32"/>
          <w:szCs w:val="32"/>
          <w:highlight w:val="none"/>
          <w:lang w:val="en-US" w:eastAsia="zh-CN"/>
        </w:rPr>
        <w:t>13</w:t>
      </w:r>
      <w:r>
        <w:rPr>
          <w:rStyle w:val="17"/>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rPr>
        <w:t>卫生健康</w:t>
      </w:r>
      <w:r>
        <w:rPr>
          <w:rStyle w:val="17"/>
          <w:rFonts w:hint="eastAsia" w:ascii="仿宋" w:hAnsi="仿宋" w:eastAsia="仿宋" w:cs="仿宋"/>
          <w:b w:val="0"/>
          <w:bCs w:val="0"/>
          <w:color w:val="auto"/>
          <w:sz w:val="32"/>
          <w:szCs w:val="32"/>
          <w:highlight w:val="none"/>
        </w:rPr>
        <w:t>（类）公共卫生（款）基本公共卫生服务（项）:</w:t>
      </w:r>
      <w:r>
        <w:rPr>
          <w:rFonts w:hint="eastAsia" w:ascii="仿宋" w:hAnsi="仿宋" w:eastAsia="仿宋" w:cs="仿宋"/>
          <w:color w:val="auto"/>
          <w:sz w:val="32"/>
          <w:szCs w:val="32"/>
          <w:highlight w:val="none"/>
          <w:lang w:val="en-US" w:eastAsia="zh-CN"/>
        </w:rPr>
        <w:t>指基本公共卫生服务支出</w:t>
      </w:r>
      <w:r>
        <w:rPr>
          <w:rStyle w:val="17"/>
          <w:rFonts w:hint="eastAsia" w:ascii="仿宋" w:hAnsi="仿宋" w:eastAsia="仿宋" w:cs="仿宋"/>
          <w:b w:val="0"/>
          <w:bCs w:val="0"/>
          <w:color w:val="auto"/>
          <w:sz w:val="32"/>
          <w:szCs w:val="32"/>
          <w:highlight w:val="none"/>
        </w:rPr>
        <w:t>。</w:t>
      </w:r>
    </w:p>
    <w:p w14:paraId="30E404B7">
      <w:pPr>
        <w:keepNext w:val="0"/>
        <w:keepLines w:val="0"/>
        <w:pageBreakBefore w:val="0"/>
        <w:widowControl w:val="0"/>
        <w:kinsoku/>
        <w:wordWrap/>
        <w:overflowPunct/>
        <w:topLinePunct w:val="0"/>
        <w:bidi w:val="0"/>
        <w:snapToGrid/>
        <w:spacing w:line="600" w:lineRule="exact"/>
        <w:ind w:firstLine="640" w:firstLineChars="200"/>
        <w:textAlignment w:val="auto"/>
        <w:rPr>
          <w:rStyle w:val="17"/>
          <w:rFonts w:hint="eastAsia" w:ascii="仿宋" w:hAnsi="仿宋" w:eastAsia="仿宋" w:cs="仿宋"/>
          <w:b w:val="0"/>
          <w:bCs w:val="0"/>
          <w:color w:val="auto"/>
          <w:sz w:val="32"/>
          <w:szCs w:val="32"/>
          <w:highlight w:val="none"/>
        </w:rPr>
      </w:pPr>
      <w:r>
        <w:rPr>
          <w:rStyle w:val="17"/>
          <w:rFonts w:hint="eastAsia" w:ascii="仿宋" w:hAnsi="仿宋" w:eastAsia="仿宋" w:cs="仿宋"/>
          <w:b w:val="0"/>
          <w:bCs w:val="0"/>
          <w:color w:val="auto"/>
          <w:sz w:val="32"/>
          <w:szCs w:val="32"/>
          <w:highlight w:val="none"/>
          <w:lang w:val="en-US" w:eastAsia="zh-CN"/>
        </w:rPr>
        <w:t>14</w:t>
      </w:r>
      <w:r>
        <w:rPr>
          <w:rStyle w:val="17"/>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rPr>
        <w:t>卫生健康</w:t>
      </w:r>
      <w:r>
        <w:rPr>
          <w:rStyle w:val="17"/>
          <w:rFonts w:hint="eastAsia" w:ascii="仿宋" w:hAnsi="仿宋" w:eastAsia="仿宋" w:cs="仿宋"/>
          <w:b w:val="0"/>
          <w:bCs w:val="0"/>
          <w:color w:val="auto"/>
          <w:sz w:val="32"/>
          <w:szCs w:val="32"/>
          <w:highlight w:val="none"/>
        </w:rPr>
        <w:t>（类）公共卫生（款）重大公共卫生服务（项）:</w:t>
      </w:r>
      <w:r>
        <w:rPr>
          <w:rFonts w:hint="eastAsia" w:ascii="仿宋" w:hAnsi="仿宋" w:eastAsia="仿宋" w:cs="仿宋"/>
          <w:color w:val="auto"/>
          <w:sz w:val="32"/>
          <w:szCs w:val="32"/>
          <w:highlight w:val="none"/>
          <w:lang w:val="en-US" w:eastAsia="zh-CN"/>
        </w:rPr>
        <w:t>指重大疾病、重大传染病预防控制等重大公共卫生服务项目支出</w:t>
      </w:r>
      <w:r>
        <w:rPr>
          <w:rStyle w:val="17"/>
          <w:rFonts w:hint="eastAsia" w:ascii="仿宋" w:hAnsi="仿宋" w:eastAsia="仿宋" w:cs="仿宋"/>
          <w:b w:val="0"/>
          <w:bCs w:val="0"/>
          <w:color w:val="auto"/>
          <w:sz w:val="32"/>
          <w:szCs w:val="32"/>
          <w:highlight w:val="none"/>
        </w:rPr>
        <w:t>。</w:t>
      </w:r>
    </w:p>
    <w:p w14:paraId="4C42721F">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val="0"/>
          <w:bCs w:val="0"/>
          <w:color w:val="auto"/>
          <w:sz w:val="32"/>
          <w:szCs w:val="32"/>
          <w:highlight w:val="none"/>
        </w:rPr>
      </w:pPr>
      <w:r>
        <w:rPr>
          <w:rStyle w:val="17"/>
          <w:rFonts w:hint="eastAsia" w:ascii="仿宋" w:hAnsi="仿宋" w:eastAsia="仿宋" w:cs="仿宋"/>
          <w:b w:val="0"/>
          <w:bCs w:val="0"/>
          <w:color w:val="auto"/>
          <w:sz w:val="32"/>
          <w:szCs w:val="32"/>
          <w:highlight w:val="none"/>
          <w:lang w:val="en-US" w:eastAsia="zh-CN"/>
        </w:rPr>
        <w:t>15</w:t>
      </w:r>
      <w:r>
        <w:rPr>
          <w:rStyle w:val="17"/>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rPr>
        <w:t>卫生健康</w:t>
      </w:r>
      <w:r>
        <w:rPr>
          <w:rStyle w:val="17"/>
          <w:rFonts w:hint="eastAsia" w:ascii="仿宋" w:hAnsi="仿宋" w:eastAsia="仿宋" w:cs="仿宋"/>
          <w:b w:val="0"/>
          <w:bCs w:val="0"/>
          <w:color w:val="auto"/>
          <w:sz w:val="32"/>
          <w:szCs w:val="32"/>
          <w:highlight w:val="none"/>
        </w:rPr>
        <w:t>（类）公共卫生（款）其他公共卫生支出（项）:</w:t>
      </w:r>
      <w:r>
        <w:rPr>
          <w:rFonts w:hint="eastAsia" w:ascii="仿宋" w:hAnsi="仿宋" w:eastAsia="仿宋" w:cs="仿宋"/>
          <w:color w:val="auto"/>
          <w:sz w:val="32"/>
          <w:szCs w:val="32"/>
          <w:highlight w:val="none"/>
          <w:lang w:val="en-US" w:eastAsia="zh-CN"/>
        </w:rPr>
        <w:t>指其他用于公共卫生方面的支出</w:t>
      </w:r>
      <w:r>
        <w:rPr>
          <w:rStyle w:val="17"/>
          <w:rFonts w:hint="eastAsia" w:ascii="仿宋" w:hAnsi="仿宋" w:eastAsia="仿宋" w:cs="仿宋"/>
          <w:b w:val="0"/>
          <w:bCs w:val="0"/>
          <w:color w:val="auto"/>
          <w:sz w:val="32"/>
          <w:szCs w:val="32"/>
          <w:highlight w:val="none"/>
        </w:rPr>
        <w:t>。</w:t>
      </w:r>
    </w:p>
    <w:p w14:paraId="5BAC20C2">
      <w:pPr>
        <w:keepNext w:val="0"/>
        <w:keepLines w:val="0"/>
        <w:pageBreakBefore w:val="0"/>
        <w:widowControl w:val="0"/>
        <w:kinsoku/>
        <w:wordWrap/>
        <w:overflowPunct/>
        <w:topLinePunct w:val="0"/>
        <w:bidi w:val="0"/>
        <w:snapToGrid/>
        <w:spacing w:line="600" w:lineRule="exact"/>
        <w:ind w:firstLine="640" w:firstLineChars="200"/>
        <w:textAlignment w:val="auto"/>
        <w:rPr>
          <w:rStyle w:val="17"/>
          <w:rFonts w:hint="eastAsia" w:ascii="仿宋" w:hAnsi="仿宋" w:eastAsia="仿宋" w:cs="仿宋"/>
          <w:b w:val="0"/>
          <w:bCs w:val="0"/>
          <w:color w:val="auto"/>
          <w:sz w:val="32"/>
          <w:szCs w:val="32"/>
          <w:highlight w:val="none"/>
        </w:rPr>
      </w:pPr>
      <w:r>
        <w:rPr>
          <w:rStyle w:val="17"/>
          <w:rFonts w:hint="eastAsia" w:ascii="仿宋" w:hAnsi="仿宋" w:eastAsia="仿宋" w:cs="仿宋"/>
          <w:b w:val="0"/>
          <w:bCs w:val="0"/>
          <w:color w:val="auto"/>
          <w:sz w:val="32"/>
          <w:szCs w:val="32"/>
          <w:highlight w:val="none"/>
          <w:lang w:val="en-US" w:eastAsia="zh-CN"/>
        </w:rPr>
        <w:t>16</w:t>
      </w:r>
      <w:r>
        <w:rPr>
          <w:rStyle w:val="17"/>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rPr>
        <w:t>卫生健康</w:t>
      </w:r>
      <w:r>
        <w:rPr>
          <w:rStyle w:val="17"/>
          <w:rFonts w:hint="eastAsia" w:ascii="仿宋" w:hAnsi="仿宋" w:eastAsia="仿宋" w:cs="仿宋"/>
          <w:b w:val="0"/>
          <w:bCs w:val="0"/>
          <w:color w:val="auto"/>
          <w:sz w:val="32"/>
          <w:szCs w:val="32"/>
          <w:highlight w:val="none"/>
        </w:rPr>
        <w:t>（类）其他卫生健康支出（款）其他卫生健康支出（项）:</w:t>
      </w:r>
      <w:r>
        <w:rPr>
          <w:rFonts w:hint="eastAsia" w:ascii="仿宋" w:hAnsi="仿宋" w:eastAsia="仿宋" w:cs="仿宋"/>
          <w:color w:val="auto"/>
          <w:sz w:val="32"/>
          <w:szCs w:val="32"/>
          <w:highlight w:val="none"/>
          <w:lang w:val="en-US" w:eastAsia="zh-CN"/>
        </w:rPr>
        <w:t>指其他用于卫生健康方面的支出</w:t>
      </w:r>
      <w:r>
        <w:rPr>
          <w:rStyle w:val="17"/>
          <w:rFonts w:hint="eastAsia" w:ascii="仿宋" w:hAnsi="仿宋" w:eastAsia="仿宋" w:cs="仿宋"/>
          <w:b w:val="0"/>
          <w:bCs w:val="0"/>
          <w:color w:val="auto"/>
          <w:sz w:val="32"/>
          <w:szCs w:val="32"/>
          <w:highlight w:val="none"/>
        </w:rPr>
        <w:t>。</w:t>
      </w:r>
    </w:p>
    <w:p w14:paraId="20194362">
      <w:pPr>
        <w:spacing w:line="600" w:lineRule="exact"/>
        <w:ind w:firstLine="640"/>
        <w:rPr>
          <w:rFonts w:hint="eastAsia" w:ascii="仿宋" w:hAnsi="仿宋" w:eastAsia="仿宋" w:cs="仿宋"/>
          <w:sz w:val="32"/>
          <w:szCs w:val="32"/>
        </w:rPr>
      </w:pPr>
      <w:r>
        <w:rPr>
          <w:rFonts w:hint="eastAsia" w:ascii="仿宋" w:hAnsi="仿宋" w:eastAsia="仿宋" w:cs="仿宋"/>
          <w:color w:val="auto"/>
          <w:sz w:val="32"/>
          <w:szCs w:val="32"/>
          <w:highlight w:val="none"/>
          <w:lang w:val="en-US" w:eastAsia="zh-CN"/>
        </w:rPr>
        <w:t>17</w:t>
      </w:r>
      <w:r>
        <w:rPr>
          <w:rFonts w:hint="eastAsia" w:ascii="仿宋" w:hAnsi="仿宋" w:eastAsia="仿宋" w:cs="仿宋"/>
          <w:color w:val="auto"/>
          <w:sz w:val="32"/>
          <w:szCs w:val="32"/>
          <w:highlight w:val="none"/>
        </w:rPr>
        <w:t>.基本支出：</w:t>
      </w:r>
      <w:r>
        <w:rPr>
          <w:rFonts w:hint="eastAsia" w:ascii="仿宋" w:hAnsi="仿宋" w:eastAsia="仿宋" w:cs="仿宋"/>
          <w:sz w:val="32"/>
          <w:szCs w:val="32"/>
        </w:rPr>
        <w:t>指为保障机构正常运转、完成日常工作任务而发生的人员支出和公用支出。</w:t>
      </w:r>
    </w:p>
    <w:p w14:paraId="0E0812D7">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18</w:t>
      </w:r>
      <w:r>
        <w:rPr>
          <w:rFonts w:hint="eastAsia" w:ascii="仿宋" w:hAnsi="仿宋" w:eastAsia="仿宋" w:cs="仿宋"/>
          <w:color w:val="auto"/>
          <w:sz w:val="32"/>
          <w:szCs w:val="32"/>
          <w:highlight w:val="none"/>
        </w:rPr>
        <w:t>.项目支出：</w:t>
      </w:r>
      <w:r>
        <w:rPr>
          <w:rFonts w:hint="eastAsia" w:ascii="仿宋" w:hAnsi="仿宋" w:eastAsia="仿宋" w:cs="仿宋"/>
          <w:sz w:val="32"/>
          <w:szCs w:val="32"/>
        </w:rPr>
        <w:t>指在基本支出之外为完成特定行政任务和事业发展目标所发生的支出。</w:t>
      </w:r>
      <w:r>
        <w:rPr>
          <w:rFonts w:hint="eastAsia" w:ascii="仿宋" w:hAnsi="仿宋" w:eastAsia="仿宋" w:cs="仿宋"/>
          <w:color w:val="auto"/>
          <w:sz w:val="32"/>
          <w:szCs w:val="32"/>
          <w:highlight w:val="none"/>
        </w:rPr>
        <w:t xml:space="preserve"> </w:t>
      </w:r>
    </w:p>
    <w:p w14:paraId="71C87ED3">
      <w:pPr>
        <w:spacing w:line="600" w:lineRule="exact"/>
        <w:ind w:firstLine="640"/>
        <w:rPr>
          <w:rFonts w:hint="eastAsia" w:ascii="仿宋" w:hAnsi="仿宋" w:eastAsia="仿宋" w:cs="仿宋"/>
          <w:sz w:val="32"/>
          <w:szCs w:val="32"/>
        </w:rPr>
      </w:pPr>
      <w:r>
        <w:rPr>
          <w:rFonts w:hint="eastAsia" w:ascii="仿宋" w:hAnsi="仿宋" w:eastAsia="仿宋" w:cs="仿宋"/>
          <w:color w:val="auto"/>
          <w:sz w:val="32"/>
          <w:szCs w:val="32"/>
          <w:highlight w:val="none"/>
          <w:lang w:val="en-US" w:eastAsia="zh-CN"/>
        </w:rPr>
        <w:t>19</w:t>
      </w:r>
      <w:r>
        <w:rPr>
          <w:rFonts w:hint="eastAsia" w:ascii="仿宋" w:hAnsi="仿宋" w:eastAsia="仿宋" w:cs="仿宋"/>
          <w:color w:val="auto"/>
          <w:sz w:val="32"/>
          <w:szCs w:val="32"/>
          <w:highlight w:val="none"/>
        </w:rPr>
        <w:t>.“三公”经费：</w:t>
      </w:r>
      <w:r>
        <w:rPr>
          <w:rFonts w:hint="eastAsia" w:ascii="仿宋" w:hAnsi="仿宋" w:eastAsia="仿宋" w:cs="仿宋"/>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7438F14">
      <w:pPr>
        <w:spacing w:line="600" w:lineRule="exact"/>
        <w:ind w:firstLine="640"/>
        <w:rPr>
          <w:rFonts w:hint="eastAsia" w:ascii="仿宋" w:hAnsi="仿宋" w:eastAsia="仿宋" w:cs="仿宋"/>
          <w:sz w:val="32"/>
          <w:szCs w:val="32"/>
        </w:rPr>
      </w:pPr>
      <w:r>
        <w:rPr>
          <w:rFonts w:hint="eastAsia" w:ascii="仿宋" w:hAnsi="仿宋" w:eastAsia="仿宋" w:cs="仿宋"/>
          <w:color w:val="auto"/>
          <w:sz w:val="32"/>
          <w:szCs w:val="32"/>
          <w:highlight w:val="none"/>
          <w:lang w:val="en-US" w:eastAsia="zh-CN"/>
        </w:rPr>
        <w:t>20</w:t>
      </w:r>
      <w:r>
        <w:rPr>
          <w:rFonts w:hint="eastAsia" w:ascii="仿宋" w:hAnsi="仿宋" w:eastAsia="仿宋" w:cs="仿宋"/>
          <w:color w:val="auto"/>
          <w:sz w:val="32"/>
          <w:szCs w:val="32"/>
          <w:highlight w:val="none"/>
        </w:rPr>
        <w:t>.机关运行经费：</w:t>
      </w:r>
      <w:r>
        <w:rPr>
          <w:rFonts w:hint="eastAsia" w:ascii="仿宋" w:hAnsi="仿宋" w:eastAsia="仿宋" w:cs="仿宋"/>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3D256DC">
      <w:pPr>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sz w:val="32"/>
          <w:szCs w:val="32"/>
        </w:rPr>
      </w:pPr>
    </w:p>
    <w:p w14:paraId="65D23024">
      <w:pPr>
        <w:spacing w:line="600" w:lineRule="exact"/>
        <w:jc w:val="center"/>
        <w:rPr>
          <w:rFonts w:hint="eastAsia" w:ascii="Times New Roman" w:hAnsi="Times New Roman" w:eastAsia="黑体"/>
          <w:color w:val="auto"/>
          <w:sz w:val="44"/>
          <w:szCs w:val="44"/>
          <w:highlight w:val="none"/>
        </w:rPr>
      </w:pPr>
      <w:bookmarkStart w:id="36" w:name="_Toc15396614"/>
    </w:p>
    <w:p w14:paraId="1816CF46">
      <w:pPr>
        <w:spacing w:line="600" w:lineRule="exact"/>
        <w:jc w:val="center"/>
        <w:rPr>
          <w:rFonts w:hint="eastAsia" w:ascii="Times New Roman" w:hAnsi="Times New Roman" w:eastAsia="黑体"/>
          <w:color w:val="auto"/>
          <w:sz w:val="44"/>
          <w:szCs w:val="44"/>
          <w:highlight w:val="none"/>
        </w:rPr>
      </w:pPr>
    </w:p>
    <w:p w14:paraId="7E6C26CD">
      <w:pPr>
        <w:spacing w:line="600" w:lineRule="exact"/>
        <w:jc w:val="center"/>
        <w:rPr>
          <w:rFonts w:hint="eastAsia" w:ascii="Times New Roman" w:hAnsi="Times New Roman" w:eastAsia="黑体"/>
          <w:color w:val="auto"/>
          <w:sz w:val="44"/>
          <w:szCs w:val="44"/>
          <w:highlight w:val="none"/>
        </w:rPr>
      </w:pPr>
    </w:p>
    <w:p w14:paraId="4E5DE46F">
      <w:pPr>
        <w:spacing w:line="600" w:lineRule="exact"/>
        <w:jc w:val="center"/>
        <w:rPr>
          <w:rFonts w:hint="eastAsia" w:ascii="Times New Roman" w:hAnsi="Times New Roman" w:eastAsia="黑体"/>
          <w:color w:val="auto"/>
          <w:sz w:val="44"/>
          <w:szCs w:val="44"/>
          <w:highlight w:val="none"/>
        </w:rPr>
      </w:pPr>
    </w:p>
    <w:p w14:paraId="35E29DEE">
      <w:pPr>
        <w:spacing w:line="600" w:lineRule="exact"/>
        <w:jc w:val="center"/>
        <w:rPr>
          <w:rFonts w:hint="eastAsia" w:ascii="Times New Roman" w:hAnsi="Times New Roman" w:eastAsia="黑体"/>
          <w:color w:val="auto"/>
          <w:sz w:val="44"/>
          <w:szCs w:val="44"/>
          <w:highlight w:val="none"/>
        </w:rPr>
      </w:pPr>
    </w:p>
    <w:p w14:paraId="5B7DD81B">
      <w:pPr>
        <w:spacing w:line="600" w:lineRule="exact"/>
        <w:jc w:val="center"/>
        <w:rPr>
          <w:rFonts w:hint="eastAsia" w:ascii="Times New Roman" w:hAnsi="Times New Roman" w:eastAsia="黑体"/>
          <w:color w:val="auto"/>
          <w:sz w:val="44"/>
          <w:szCs w:val="44"/>
          <w:highlight w:val="none"/>
        </w:rPr>
      </w:pPr>
    </w:p>
    <w:p w14:paraId="32AFF2BF">
      <w:pPr>
        <w:spacing w:line="600" w:lineRule="exact"/>
        <w:jc w:val="center"/>
        <w:rPr>
          <w:rFonts w:hint="eastAsia" w:ascii="Times New Roman" w:hAnsi="Times New Roman" w:eastAsia="黑体"/>
          <w:color w:val="auto"/>
          <w:sz w:val="44"/>
          <w:szCs w:val="44"/>
          <w:highlight w:val="none"/>
        </w:rPr>
      </w:pPr>
    </w:p>
    <w:p w14:paraId="58C3A005">
      <w:pPr>
        <w:spacing w:line="600" w:lineRule="exact"/>
        <w:jc w:val="center"/>
        <w:rPr>
          <w:rFonts w:hint="eastAsia" w:ascii="Times New Roman" w:hAnsi="Times New Roman" w:eastAsia="黑体"/>
          <w:color w:val="auto"/>
          <w:sz w:val="44"/>
          <w:szCs w:val="44"/>
          <w:highlight w:val="none"/>
        </w:rPr>
      </w:pPr>
    </w:p>
    <w:p w14:paraId="3863A111">
      <w:pPr>
        <w:spacing w:line="600" w:lineRule="exact"/>
        <w:jc w:val="center"/>
        <w:rPr>
          <w:rFonts w:hint="eastAsia" w:ascii="Times New Roman" w:hAnsi="Times New Roman" w:eastAsia="黑体"/>
          <w:color w:val="auto"/>
          <w:sz w:val="44"/>
          <w:szCs w:val="44"/>
          <w:highlight w:val="none"/>
        </w:rPr>
      </w:pPr>
    </w:p>
    <w:p w14:paraId="437E7738">
      <w:pPr>
        <w:spacing w:line="600" w:lineRule="exact"/>
        <w:jc w:val="center"/>
        <w:rPr>
          <w:rFonts w:hint="eastAsia" w:ascii="Times New Roman" w:hAnsi="Times New Roman" w:eastAsia="黑体"/>
          <w:color w:val="auto"/>
          <w:sz w:val="44"/>
          <w:szCs w:val="44"/>
          <w:highlight w:val="none"/>
        </w:rPr>
      </w:pPr>
    </w:p>
    <w:p w14:paraId="207620DF">
      <w:pPr>
        <w:spacing w:line="600" w:lineRule="exact"/>
        <w:jc w:val="center"/>
        <w:rPr>
          <w:rFonts w:hint="eastAsia" w:ascii="Times New Roman" w:hAnsi="Times New Roman" w:eastAsia="黑体"/>
          <w:color w:val="auto"/>
          <w:sz w:val="44"/>
          <w:szCs w:val="44"/>
          <w:highlight w:val="none"/>
        </w:rPr>
      </w:pPr>
    </w:p>
    <w:p w14:paraId="2AF3CFFF">
      <w:pPr>
        <w:spacing w:line="600" w:lineRule="exact"/>
        <w:jc w:val="center"/>
        <w:rPr>
          <w:rFonts w:hint="eastAsia" w:ascii="Times New Roman" w:hAnsi="Times New Roman" w:eastAsia="黑体"/>
          <w:color w:val="auto"/>
          <w:sz w:val="44"/>
          <w:szCs w:val="44"/>
          <w:highlight w:val="none"/>
        </w:rPr>
      </w:pPr>
    </w:p>
    <w:p w14:paraId="7515EEF9">
      <w:pPr>
        <w:spacing w:line="600" w:lineRule="exact"/>
        <w:jc w:val="cente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36"/>
    </w:p>
    <w:p w14:paraId="229DF449">
      <w:pPr>
        <w:pStyle w:val="8"/>
        <w:rPr>
          <w:rFonts w:hint="eastAsia" w:ascii="仿宋" w:hAnsi="仿宋" w:eastAsia="仿宋" w:cs="仿宋"/>
          <w:color w:val="auto"/>
          <w:sz w:val="32"/>
          <w:szCs w:val="32"/>
          <w:highlight w:val="none"/>
          <w:lang w:val="en-US" w:eastAsia="zh-CN"/>
        </w:rPr>
      </w:pPr>
    </w:p>
    <w:p w14:paraId="4A8E6A19">
      <w:pPr>
        <w:pStyle w:val="8"/>
        <w:ind w:firstLine="640" w:firstLineChars="200"/>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部门预算项目支出绩效自评表（2025年度）见附件3。</w:t>
      </w:r>
    </w:p>
    <w:p w14:paraId="74208C2F">
      <w:pPr>
        <w:widowControl/>
        <w:jc w:val="center"/>
        <w:rPr>
          <w:rFonts w:hint="eastAsia" w:ascii="Times New Roman" w:hAnsi="Times New Roman" w:eastAsia="黑体"/>
          <w:color w:val="auto"/>
          <w:sz w:val="44"/>
          <w:szCs w:val="44"/>
          <w:highlight w:val="none"/>
        </w:rPr>
      </w:pPr>
      <w:bookmarkStart w:id="37" w:name="_Toc15396618"/>
    </w:p>
    <w:p w14:paraId="656A1AD2">
      <w:pPr>
        <w:widowControl/>
        <w:jc w:val="center"/>
        <w:rPr>
          <w:rFonts w:hint="eastAsia" w:ascii="Times New Roman" w:hAnsi="Times New Roman" w:eastAsia="黑体"/>
          <w:color w:val="auto"/>
          <w:sz w:val="44"/>
          <w:szCs w:val="44"/>
          <w:highlight w:val="none"/>
        </w:rPr>
      </w:pPr>
    </w:p>
    <w:p w14:paraId="6AC919E9">
      <w:pPr>
        <w:widowControl/>
        <w:jc w:val="center"/>
        <w:rPr>
          <w:rFonts w:hint="eastAsia" w:ascii="Times New Roman" w:hAnsi="Times New Roman" w:eastAsia="黑体"/>
          <w:color w:val="auto"/>
          <w:sz w:val="44"/>
          <w:szCs w:val="44"/>
          <w:highlight w:val="none"/>
        </w:rPr>
      </w:pPr>
    </w:p>
    <w:p w14:paraId="5AAC6D2A">
      <w:pPr>
        <w:widowControl/>
        <w:jc w:val="center"/>
        <w:rPr>
          <w:rFonts w:hint="eastAsia" w:ascii="Times New Roman" w:hAnsi="Times New Roman" w:eastAsia="黑体"/>
          <w:color w:val="auto"/>
          <w:sz w:val="44"/>
          <w:szCs w:val="44"/>
          <w:highlight w:val="none"/>
        </w:rPr>
      </w:pPr>
    </w:p>
    <w:p w14:paraId="2AAA485C">
      <w:pPr>
        <w:widowControl/>
        <w:jc w:val="center"/>
        <w:rPr>
          <w:rFonts w:hint="eastAsia" w:ascii="Times New Roman" w:hAnsi="Times New Roman" w:eastAsia="黑体"/>
          <w:color w:val="auto"/>
          <w:sz w:val="44"/>
          <w:szCs w:val="44"/>
          <w:highlight w:val="none"/>
        </w:rPr>
      </w:pPr>
    </w:p>
    <w:p w14:paraId="547711CC">
      <w:pPr>
        <w:widowControl/>
        <w:jc w:val="center"/>
        <w:rPr>
          <w:rFonts w:hint="eastAsia" w:ascii="Times New Roman" w:hAnsi="Times New Roman" w:eastAsia="黑体"/>
          <w:color w:val="auto"/>
          <w:sz w:val="44"/>
          <w:szCs w:val="44"/>
          <w:highlight w:val="none"/>
        </w:rPr>
      </w:pPr>
    </w:p>
    <w:p w14:paraId="60A090FA">
      <w:pPr>
        <w:widowControl/>
        <w:jc w:val="center"/>
        <w:rPr>
          <w:rFonts w:hint="eastAsia" w:ascii="Times New Roman" w:hAnsi="Times New Roman" w:eastAsia="黑体"/>
          <w:color w:val="auto"/>
          <w:sz w:val="44"/>
          <w:szCs w:val="44"/>
          <w:highlight w:val="none"/>
        </w:rPr>
      </w:pPr>
    </w:p>
    <w:p w14:paraId="179CD80D">
      <w:pPr>
        <w:widowControl/>
        <w:jc w:val="center"/>
        <w:rPr>
          <w:rFonts w:hint="eastAsia" w:ascii="Times New Roman" w:hAnsi="Times New Roman" w:eastAsia="黑体"/>
          <w:color w:val="auto"/>
          <w:sz w:val="44"/>
          <w:szCs w:val="44"/>
          <w:highlight w:val="none"/>
        </w:rPr>
      </w:pPr>
    </w:p>
    <w:p w14:paraId="567EF086">
      <w:pPr>
        <w:widowControl/>
        <w:jc w:val="center"/>
        <w:rPr>
          <w:rFonts w:hint="eastAsia" w:ascii="Times New Roman" w:hAnsi="Times New Roman" w:eastAsia="黑体"/>
          <w:color w:val="auto"/>
          <w:sz w:val="44"/>
          <w:szCs w:val="44"/>
          <w:highlight w:val="none"/>
        </w:rPr>
      </w:pPr>
    </w:p>
    <w:p w14:paraId="00BA069D">
      <w:pPr>
        <w:widowControl/>
        <w:jc w:val="center"/>
        <w:rPr>
          <w:rFonts w:hint="eastAsia" w:ascii="Times New Roman" w:hAnsi="Times New Roman" w:eastAsia="黑体"/>
          <w:color w:val="auto"/>
          <w:sz w:val="44"/>
          <w:szCs w:val="44"/>
          <w:highlight w:val="none"/>
        </w:rPr>
      </w:pPr>
    </w:p>
    <w:p w14:paraId="43127307">
      <w:pPr>
        <w:widowControl/>
        <w:jc w:val="center"/>
        <w:rPr>
          <w:rFonts w:hint="eastAsia" w:ascii="Times New Roman" w:hAnsi="Times New Roman" w:eastAsia="黑体"/>
          <w:color w:val="auto"/>
          <w:sz w:val="44"/>
          <w:szCs w:val="44"/>
          <w:highlight w:val="none"/>
        </w:rPr>
      </w:pPr>
    </w:p>
    <w:p w14:paraId="4909511B">
      <w:pPr>
        <w:widowControl/>
        <w:jc w:val="center"/>
        <w:rPr>
          <w:rFonts w:hint="eastAsia" w:ascii="Times New Roman" w:hAnsi="Times New Roman" w:eastAsia="黑体"/>
          <w:color w:val="auto"/>
          <w:sz w:val="44"/>
          <w:szCs w:val="44"/>
          <w:highlight w:val="none"/>
        </w:rPr>
      </w:pPr>
    </w:p>
    <w:p w14:paraId="0DA4B981">
      <w:pPr>
        <w:widowControl/>
        <w:jc w:val="center"/>
        <w:rPr>
          <w:rFonts w:hint="eastAsia" w:ascii="Times New Roman" w:hAnsi="Times New Roman" w:eastAsia="黑体"/>
          <w:color w:val="auto"/>
          <w:sz w:val="44"/>
          <w:szCs w:val="44"/>
          <w:highlight w:val="none"/>
        </w:rPr>
      </w:pPr>
    </w:p>
    <w:p w14:paraId="233594EA">
      <w:pPr>
        <w:widowControl/>
        <w:jc w:val="center"/>
        <w:rPr>
          <w:rFonts w:hint="eastAsia" w:ascii="Times New Roman" w:hAnsi="Times New Roman" w:eastAsia="黑体"/>
          <w:color w:val="auto"/>
          <w:sz w:val="44"/>
          <w:szCs w:val="44"/>
          <w:highlight w:val="none"/>
        </w:rPr>
      </w:pPr>
    </w:p>
    <w:p w14:paraId="4275653E">
      <w:pPr>
        <w:widowControl/>
        <w:jc w:val="center"/>
        <w:rPr>
          <w:rFonts w:hint="eastAsia" w:ascii="Times New Roman" w:hAnsi="Times New Roman" w:eastAsia="黑体"/>
          <w:color w:val="auto"/>
          <w:sz w:val="44"/>
          <w:szCs w:val="44"/>
          <w:highlight w:val="none"/>
        </w:rPr>
      </w:pPr>
    </w:p>
    <w:p w14:paraId="6C2BE8DD">
      <w:pPr>
        <w:widowControl/>
        <w:jc w:val="center"/>
        <w:rPr>
          <w:rFonts w:hint="eastAsia" w:ascii="Times New Roman" w:hAnsi="Times New Roman" w:eastAsia="黑体"/>
          <w:color w:val="auto"/>
          <w:sz w:val="44"/>
          <w:szCs w:val="44"/>
          <w:highlight w:val="none"/>
        </w:rPr>
      </w:pPr>
    </w:p>
    <w:p w14:paraId="5AB979E7">
      <w:pPr>
        <w:widowControl/>
        <w:jc w:val="center"/>
        <w:rPr>
          <w:rFonts w:hint="eastAsia" w:ascii="Times New Roman" w:hAnsi="Times New Roman" w:eastAsia="黑体"/>
          <w:color w:val="auto"/>
          <w:sz w:val="44"/>
          <w:szCs w:val="44"/>
          <w:highlight w:val="none"/>
        </w:rPr>
      </w:pPr>
    </w:p>
    <w:p w14:paraId="17DDE854">
      <w:pPr>
        <w:widowControl/>
        <w:jc w:val="center"/>
        <w:rPr>
          <w:rFonts w:hint="eastAsia" w:ascii="Times New Roman" w:hAnsi="Times New Roman" w:eastAsia="黑体"/>
          <w:color w:val="auto"/>
          <w:sz w:val="44"/>
          <w:szCs w:val="44"/>
          <w:highlight w:val="none"/>
        </w:rPr>
      </w:pPr>
    </w:p>
    <w:p w14:paraId="5DF86A02">
      <w:pPr>
        <w:widowControl/>
        <w:jc w:val="both"/>
        <w:rPr>
          <w:rFonts w:hint="eastAsia" w:ascii="Times New Roman" w:hAnsi="Times New Roman" w:eastAsia="黑体"/>
          <w:color w:val="auto"/>
          <w:sz w:val="44"/>
          <w:szCs w:val="44"/>
          <w:highlight w:val="none"/>
        </w:rPr>
      </w:pPr>
    </w:p>
    <w:p w14:paraId="7BFB4A94">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19"/>
          <w:rFonts w:hint="eastAsia" w:ascii="Times New Roman" w:hAnsi="Times New Roman" w:eastAsia="黑体"/>
          <w:b w:val="0"/>
          <w:color w:val="auto"/>
          <w:highlight w:val="none"/>
        </w:rPr>
        <w:t>五部分 附表</w:t>
      </w:r>
      <w:bookmarkEnd w:id="35"/>
      <w:bookmarkEnd w:id="37"/>
      <w:bookmarkStart w:id="38" w:name="_Toc15396619"/>
    </w:p>
    <w:p w14:paraId="2AF3011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676279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一、收入支出决算总表</w:t>
      </w:r>
      <w:bookmarkEnd w:id="38"/>
    </w:p>
    <w:p w14:paraId="247DE33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39" w:name="_Toc15396620"/>
      <w:r>
        <w:rPr>
          <w:rFonts w:hint="eastAsia" w:ascii="仿宋" w:hAnsi="仿宋" w:eastAsia="仿宋" w:cs="仿宋"/>
          <w:color w:val="auto"/>
          <w:sz w:val="32"/>
          <w:szCs w:val="32"/>
          <w:highlight w:val="none"/>
        </w:rPr>
        <w:t>二、收入决算表</w:t>
      </w:r>
      <w:bookmarkEnd w:id="39"/>
    </w:p>
    <w:p w14:paraId="39263E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40" w:name="_Toc15396621"/>
      <w:r>
        <w:rPr>
          <w:rFonts w:hint="eastAsia" w:ascii="仿宋" w:hAnsi="仿宋" w:eastAsia="仿宋" w:cs="仿宋"/>
          <w:color w:val="auto"/>
          <w:sz w:val="32"/>
          <w:szCs w:val="32"/>
          <w:highlight w:val="none"/>
        </w:rPr>
        <w:t>三、支出决算表</w:t>
      </w:r>
      <w:bookmarkEnd w:id="40"/>
    </w:p>
    <w:p w14:paraId="26AE643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41" w:name="_Toc15396622"/>
      <w:r>
        <w:rPr>
          <w:rFonts w:hint="eastAsia" w:ascii="仿宋" w:hAnsi="仿宋" w:eastAsia="仿宋" w:cs="仿宋"/>
          <w:color w:val="auto"/>
          <w:sz w:val="32"/>
          <w:szCs w:val="32"/>
          <w:highlight w:val="none"/>
        </w:rPr>
        <w:t>四、财政拨款收入支出决算总表</w:t>
      </w:r>
      <w:bookmarkEnd w:id="41"/>
    </w:p>
    <w:p w14:paraId="06979E2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42" w:name="_Toc15396623"/>
      <w:r>
        <w:rPr>
          <w:rFonts w:hint="eastAsia" w:ascii="仿宋" w:hAnsi="仿宋" w:eastAsia="仿宋" w:cs="仿宋"/>
          <w:color w:val="auto"/>
          <w:sz w:val="32"/>
          <w:szCs w:val="32"/>
          <w:highlight w:val="none"/>
        </w:rPr>
        <w:t>五、财政拨款支出决算明细表</w:t>
      </w:r>
      <w:bookmarkEnd w:id="42"/>
      <w:bookmarkStart w:id="43" w:name="_Toc15396624"/>
    </w:p>
    <w:p w14:paraId="5DE1C4C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六、一般公共预算财政拨款支出决算表</w:t>
      </w:r>
      <w:bookmarkEnd w:id="43"/>
    </w:p>
    <w:p w14:paraId="5066453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44" w:name="_Toc15396625"/>
      <w:r>
        <w:rPr>
          <w:rFonts w:hint="eastAsia" w:ascii="仿宋" w:hAnsi="仿宋" w:eastAsia="仿宋" w:cs="仿宋"/>
          <w:color w:val="auto"/>
          <w:sz w:val="32"/>
          <w:szCs w:val="32"/>
          <w:highlight w:val="none"/>
        </w:rPr>
        <w:t>七、一般公共预算财政拨款支出决算明细表</w:t>
      </w:r>
      <w:bookmarkEnd w:id="44"/>
    </w:p>
    <w:p w14:paraId="74B182D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45" w:name="_Toc15396626"/>
      <w:r>
        <w:rPr>
          <w:rFonts w:hint="eastAsia" w:ascii="仿宋" w:hAnsi="仿宋" w:eastAsia="仿宋" w:cs="仿宋"/>
          <w:color w:val="auto"/>
          <w:sz w:val="32"/>
          <w:szCs w:val="32"/>
          <w:highlight w:val="none"/>
        </w:rPr>
        <w:t>八、一般公共预算财政拨款基本支出决算表</w:t>
      </w:r>
      <w:bookmarkEnd w:id="45"/>
    </w:p>
    <w:p w14:paraId="218E78D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46" w:name="_Toc15396627"/>
      <w:r>
        <w:rPr>
          <w:rFonts w:hint="eastAsia" w:ascii="仿宋" w:hAnsi="仿宋" w:eastAsia="仿宋" w:cs="仿宋"/>
          <w:color w:val="auto"/>
          <w:sz w:val="32"/>
          <w:szCs w:val="32"/>
          <w:highlight w:val="none"/>
        </w:rPr>
        <w:t>九、一般公共预算财政拨款项目支出决算表</w:t>
      </w:r>
      <w:bookmarkEnd w:id="46"/>
    </w:p>
    <w:p w14:paraId="4AD9F57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lang w:eastAsia="zh-CN"/>
        </w:rPr>
      </w:pPr>
      <w:bookmarkStart w:id="47" w:name="_Toc15396628"/>
      <w:r>
        <w:rPr>
          <w:rFonts w:hint="eastAsia" w:ascii="仿宋" w:hAnsi="仿宋" w:eastAsia="仿宋" w:cs="仿宋"/>
          <w:color w:val="auto"/>
          <w:sz w:val="32"/>
          <w:szCs w:val="32"/>
          <w:highlight w:val="none"/>
        </w:rPr>
        <w:t>十、</w:t>
      </w:r>
      <w:bookmarkEnd w:id="47"/>
      <w:r>
        <w:rPr>
          <w:rFonts w:hint="eastAsia" w:ascii="仿宋" w:hAnsi="仿宋" w:eastAsia="仿宋" w:cs="仿宋"/>
          <w:color w:val="auto"/>
          <w:sz w:val="32"/>
          <w:szCs w:val="32"/>
          <w:highlight w:val="none"/>
        </w:rPr>
        <w:t>政府性基金预算财政拨款收入支出决算表</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此表无数据</w:t>
      </w:r>
      <w:r>
        <w:rPr>
          <w:rFonts w:hint="eastAsia" w:ascii="仿宋" w:hAnsi="仿宋" w:eastAsia="仿宋" w:cs="仿宋"/>
          <w:color w:val="auto"/>
          <w:sz w:val="32"/>
          <w:szCs w:val="32"/>
          <w:highlight w:val="none"/>
          <w:lang w:eastAsia="zh-CN"/>
        </w:rPr>
        <w:t>）</w:t>
      </w:r>
    </w:p>
    <w:p w14:paraId="2C09550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lang w:eastAsia="zh-CN"/>
        </w:rPr>
      </w:pPr>
      <w:bookmarkStart w:id="48" w:name="_Toc15396629"/>
      <w:r>
        <w:rPr>
          <w:rFonts w:hint="eastAsia" w:ascii="仿宋" w:hAnsi="仿宋" w:eastAsia="仿宋" w:cs="仿宋"/>
          <w:color w:val="auto"/>
          <w:sz w:val="32"/>
          <w:szCs w:val="32"/>
          <w:highlight w:val="none"/>
        </w:rPr>
        <w:t>十一、</w:t>
      </w:r>
      <w:bookmarkEnd w:id="48"/>
      <w:r>
        <w:rPr>
          <w:rFonts w:hint="eastAsia" w:ascii="仿宋" w:hAnsi="仿宋" w:eastAsia="仿宋" w:cs="仿宋"/>
          <w:color w:val="auto"/>
          <w:sz w:val="32"/>
          <w:szCs w:val="32"/>
          <w:highlight w:val="none"/>
        </w:rPr>
        <w:t>国有资本经营预算</w:t>
      </w:r>
      <w:r>
        <w:rPr>
          <w:rFonts w:hint="eastAsia" w:ascii="仿宋" w:hAnsi="仿宋" w:eastAsia="仿宋" w:cs="仿宋"/>
          <w:color w:val="auto"/>
          <w:sz w:val="32"/>
          <w:szCs w:val="32"/>
          <w:highlight w:val="none"/>
          <w:lang w:eastAsia="zh-CN"/>
        </w:rPr>
        <w:t>财政拨款收入</w:t>
      </w:r>
      <w:r>
        <w:rPr>
          <w:rFonts w:hint="eastAsia" w:ascii="仿宋" w:hAnsi="仿宋" w:eastAsia="仿宋" w:cs="仿宋"/>
          <w:color w:val="auto"/>
          <w:sz w:val="32"/>
          <w:szCs w:val="32"/>
          <w:highlight w:val="none"/>
        </w:rPr>
        <w:t>支出决算表</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此表无数据</w:t>
      </w:r>
      <w:r>
        <w:rPr>
          <w:rFonts w:hint="eastAsia" w:ascii="仿宋" w:hAnsi="仿宋" w:eastAsia="仿宋" w:cs="仿宋"/>
          <w:color w:val="auto"/>
          <w:sz w:val="32"/>
          <w:szCs w:val="32"/>
          <w:highlight w:val="none"/>
          <w:lang w:eastAsia="zh-CN"/>
        </w:rPr>
        <w:t>）</w:t>
      </w:r>
    </w:p>
    <w:p w14:paraId="113F6C9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49" w:name="_Toc15396630"/>
      <w:r>
        <w:rPr>
          <w:rFonts w:hint="eastAsia" w:ascii="仿宋" w:hAnsi="仿宋" w:eastAsia="仿宋" w:cs="仿宋"/>
          <w:color w:val="auto"/>
          <w:sz w:val="32"/>
          <w:szCs w:val="32"/>
          <w:highlight w:val="none"/>
        </w:rPr>
        <w:t>十二、</w:t>
      </w:r>
      <w:bookmarkEnd w:id="49"/>
      <w:r>
        <w:rPr>
          <w:rFonts w:hint="eastAsia" w:ascii="仿宋" w:hAnsi="仿宋" w:eastAsia="仿宋" w:cs="仿宋"/>
          <w:color w:val="auto"/>
          <w:sz w:val="32"/>
          <w:szCs w:val="32"/>
          <w:highlight w:val="none"/>
          <w:lang w:eastAsia="zh-CN"/>
        </w:rPr>
        <w:t>国有资本经营预算财政拨款支出决算表（</w:t>
      </w:r>
      <w:r>
        <w:rPr>
          <w:rFonts w:hint="eastAsia" w:ascii="仿宋" w:hAnsi="仿宋" w:eastAsia="仿宋" w:cs="仿宋"/>
          <w:color w:val="auto"/>
          <w:sz w:val="32"/>
          <w:szCs w:val="32"/>
          <w:highlight w:val="none"/>
          <w:lang w:val="en-US" w:eastAsia="zh-CN"/>
        </w:rPr>
        <w:t>此表无数据</w:t>
      </w:r>
      <w:r>
        <w:rPr>
          <w:rFonts w:hint="eastAsia" w:ascii="仿宋" w:hAnsi="仿宋" w:eastAsia="仿宋" w:cs="仿宋"/>
          <w:color w:val="auto"/>
          <w:sz w:val="32"/>
          <w:szCs w:val="32"/>
          <w:highlight w:val="none"/>
          <w:lang w:eastAsia="zh-CN"/>
        </w:rPr>
        <w:t>）</w:t>
      </w:r>
    </w:p>
    <w:p w14:paraId="2DB0D20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lang w:eastAsia="zh-CN"/>
        </w:rPr>
      </w:pPr>
      <w:bookmarkStart w:id="50" w:name="_Toc15396631"/>
      <w:r>
        <w:rPr>
          <w:rFonts w:hint="eastAsia" w:ascii="仿宋" w:hAnsi="仿宋" w:eastAsia="仿宋" w:cs="仿宋"/>
          <w:color w:val="auto"/>
          <w:sz w:val="32"/>
          <w:szCs w:val="32"/>
          <w:highlight w:val="none"/>
        </w:rPr>
        <w:t>十三、</w:t>
      </w:r>
      <w:bookmarkEnd w:id="50"/>
      <w:r>
        <w:rPr>
          <w:rFonts w:hint="eastAsia" w:ascii="仿宋" w:hAnsi="仿宋" w:eastAsia="仿宋" w:cs="仿宋"/>
          <w:color w:val="auto"/>
          <w:sz w:val="32"/>
          <w:szCs w:val="32"/>
          <w:highlight w:val="none"/>
          <w:lang w:eastAsia="zh-CN"/>
        </w:rPr>
        <w:t>财政拨款“三公”经费支出决算表（</w:t>
      </w:r>
      <w:r>
        <w:rPr>
          <w:rFonts w:hint="eastAsia" w:ascii="仿宋" w:hAnsi="仿宋" w:eastAsia="仿宋" w:cs="仿宋"/>
          <w:color w:val="auto"/>
          <w:sz w:val="32"/>
          <w:szCs w:val="32"/>
          <w:highlight w:val="none"/>
          <w:lang w:val="en-US" w:eastAsia="zh-CN"/>
        </w:rPr>
        <w:t>此表无数据</w:t>
      </w:r>
      <w:r>
        <w:rPr>
          <w:rFonts w:hint="eastAsia" w:ascii="仿宋" w:hAnsi="仿宋" w:eastAsia="仿宋" w:cs="仿宋"/>
          <w:color w:val="auto"/>
          <w:sz w:val="32"/>
          <w:szCs w:val="32"/>
          <w:highlight w:val="none"/>
          <w:lang w:eastAsia="zh-CN"/>
        </w:rPr>
        <w:t>）</w:t>
      </w:r>
    </w:p>
    <w:p w14:paraId="6EAF44A2">
      <w:pPr>
        <w:rPr>
          <w:rFonts w:hint="eastAsia" w:ascii="Times New Roman" w:hAnsi="Times New Roman"/>
          <w:lang w:eastAsia="zh-CN"/>
        </w:rPr>
      </w:pPr>
    </w:p>
    <w:sectPr>
      <w:footerReference r:id="rId11" w:type="first"/>
      <w:footerReference r:id="rId10"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33A5C">
    <w:pPr>
      <w:pStyle w:val="11"/>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7805B">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DD7805B">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49373E3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A9904">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B310D">
    <w:pPr>
      <w:pStyle w:val="11"/>
      <w:jc w:val="both"/>
    </w:pPr>
  </w:p>
  <w:p w14:paraId="21BB0086">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184C4">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8C587">
    <w:pPr>
      <w:pStyle w:val="11"/>
      <w:jc w:val="both"/>
    </w:pPr>
  </w:p>
  <w:p w14:paraId="59E03F1D">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C8F21">
    <w:pPr>
      <w:pStyle w:val="1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17C88">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917B78">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917B78">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5A4F0EAD">
    <w:pPr>
      <w:pStyle w:val="1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EEFE9">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610F6">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A3610F6">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A0E5">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899"/>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2D3960"/>
    <w:rsid w:val="015975B8"/>
    <w:rsid w:val="02FEBE30"/>
    <w:rsid w:val="036B5288"/>
    <w:rsid w:val="03D02352"/>
    <w:rsid w:val="04316B7F"/>
    <w:rsid w:val="04916F1E"/>
    <w:rsid w:val="0544641B"/>
    <w:rsid w:val="061E35DE"/>
    <w:rsid w:val="066E0107"/>
    <w:rsid w:val="06D0266B"/>
    <w:rsid w:val="07996F6E"/>
    <w:rsid w:val="07BE58E7"/>
    <w:rsid w:val="07DFD8BA"/>
    <w:rsid w:val="094E0E7A"/>
    <w:rsid w:val="09867E8F"/>
    <w:rsid w:val="0A2032A3"/>
    <w:rsid w:val="0B4821A6"/>
    <w:rsid w:val="0CA8290A"/>
    <w:rsid w:val="0D35B1ED"/>
    <w:rsid w:val="0E254B6B"/>
    <w:rsid w:val="0F98263C"/>
    <w:rsid w:val="101860EC"/>
    <w:rsid w:val="101F47CC"/>
    <w:rsid w:val="10AF2C58"/>
    <w:rsid w:val="10C055FF"/>
    <w:rsid w:val="11694EBD"/>
    <w:rsid w:val="11772AA4"/>
    <w:rsid w:val="118107EC"/>
    <w:rsid w:val="1188101B"/>
    <w:rsid w:val="12E24EE2"/>
    <w:rsid w:val="13541BA1"/>
    <w:rsid w:val="13D1738A"/>
    <w:rsid w:val="13D50BC4"/>
    <w:rsid w:val="14B17F78"/>
    <w:rsid w:val="14C40F66"/>
    <w:rsid w:val="15AE788B"/>
    <w:rsid w:val="165E0673"/>
    <w:rsid w:val="16B831D5"/>
    <w:rsid w:val="16BB723D"/>
    <w:rsid w:val="17E50567"/>
    <w:rsid w:val="17EC6540"/>
    <w:rsid w:val="186504BB"/>
    <w:rsid w:val="19A445FC"/>
    <w:rsid w:val="1BE8440E"/>
    <w:rsid w:val="1D155CEE"/>
    <w:rsid w:val="1D1638FE"/>
    <w:rsid w:val="1D1D719C"/>
    <w:rsid w:val="1E312DEB"/>
    <w:rsid w:val="1E740ACF"/>
    <w:rsid w:val="1FF35744"/>
    <w:rsid w:val="1FF6BC77"/>
    <w:rsid w:val="20741A1C"/>
    <w:rsid w:val="21017335"/>
    <w:rsid w:val="2186353C"/>
    <w:rsid w:val="23706450"/>
    <w:rsid w:val="23860B96"/>
    <w:rsid w:val="240371BF"/>
    <w:rsid w:val="244F3473"/>
    <w:rsid w:val="24C97D99"/>
    <w:rsid w:val="25A718F0"/>
    <w:rsid w:val="25BB59F6"/>
    <w:rsid w:val="260F557C"/>
    <w:rsid w:val="26970054"/>
    <w:rsid w:val="26DA7CC8"/>
    <w:rsid w:val="26E95D2B"/>
    <w:rsid w:val="281408E2"/>
    <w:rsid w:val="29FD04D3"/>
    <w:rsid w:val="2BFF7BC6"/>
    <w:rsid w:val="2C6E3EF1"/>
    <w:rsid w:val="2C8A61B5"/>
    <w:rsid w:val="2DF04E50"/>
    <w:rsid w:val="2E5171F3"/>
    <w:rsid w:val="2E586DFA"/>
    <w:rsid w:val="2E6B4E8D"/>
    <w:rsid w:val="2E7819BC"/>
    <w:rsid w:val="2F040D46"/>
    <w:rsid w:val="2F6B035B"/>
    <w:rsid w:val="2FAE5751"/>
    <w:rsid w:val="2FB1A395"/>
    <w:rsid w:val="2FD9A7D8"/>
    <w:rsid w:val="2FDBF714"/>
    <w:rsid w:val="30AB6865"/>
    <w:rsid w:val="319F7F4E"/>
    <w:rsid w:val="31C905BF"/>
    <w:rsid w:val="32BD1EF1"/>
    <w:rsid w:val="3304709D"/>
    <w:rsid w:val="33A773CB"/>
    <w:rsid w:val="348B537B"/>
    <w:rsid w:val="349D6851"/>
    <w:rsid w:val="36AA5135"/>
    <w:rsid w:val="36BE0DA7"/>
    <w:rsid w:val="376B6AA6"/>
    <w:rsid w:val="376D39B2"/>
    <w:rsid w:val="37E16F03"/>
    <w:rsid w:val="37F53A3B"/>
    <w:rsid w:val="389B6C89"/>
    <w:rsid w:val="38D469F0"/>
    <w:rsid w:val="39627CCD"/>
    <w:rsid w:val="397BAF1F"/>
    <w:rsid w:val="3AA474F0"/>
    <w:rsid w:val="3AB79AF3"/>
    <w:rsid w:val="3ADE19F7"/>
    <w:rsid w:val="3AE834C0"/>
    <w:rsid w:val="3B7EF35A"/>
    <w:rsid w:val="3B9FDB6C"/>
    <w:rsid w:val="3BF5BC2F"/>
    <w:rsid w:val="3CEBA265"/>
    <w:rsid w:val="3D0671DA"/>
    <w:rsid w:val="3D98207C"/>
    <w:rsid w:val="3DEE7CF3"/>
    <w:rsid w:val="3E740A63"/>
    <w:rsid w:val="3E78745D"/>
    <w:rsid w:val="3EE17838"/>
    <w:rsid w:val="3F55381A"/>
    <w:rsid w:val="3F7F7599"/>
    <w:rsid w:val="3FAA1996"/>
    <w:rsid w:val="3FF4CAE0"/>
    <w:rsid w:val="3FF7B227"/>
    <w:rsid w:val="40EA4185"/>
    <w:rsid w:val="44E268DA"/>
    <w:rsid w:val="450D13D7"/>
    <w:rsid w:val="45506656"/>
    <w:rsid w:val="45CC1CF4"/>
    <w:rsid w:val="473D367D"/>
    <w:rsid w:val="486A6C7A"/>
    <w:rsid w:val="48C537D5"/>
    <w:rsid w:val="49F96717"/>
    <w:rsid w:val="4A525E27"/>
    <w:rsid w:val="4A627F82"/>
    <w:rsid w:val="4B0E749A"/>
    <w:rsid w:val="4B2477C4"/>
    <w:rsid w:val="4B4F25DA"/>
    <w:rsid w:val="4BC9255A"/>
    <w:rsid w:val="4BE068DB"/>
    <w:rsid w:val="4D577224"/>
    <w:rsid w:val="4D967C63"/>
    <w:rsid w:val="4DBF1CEB"/>
    <w:rsid w:val="4DF0007C"/>
    <w:rsid w:val="4EAB630A"/>
    <w:rsid w:val="4ECE2238"/>
    <w:rsid w:val="4F833267"/>
    <w:rsid w:val="4FE9BD67"/>
    <w:rsid w:val="4FFB052F"/>
    <w:rsid w:val="520F6696"/>
    <w:rsid w:val="537E6D0A"/>
    <w:rsid w:val="53F74C96"/>
    <w:rsid w:val="550C1AC2"/>
    <w:rsid w:val="55170BA8"/>
    <w:rsid w:val="553218C9"/>
    <w:rsid w:val="558C043F"/>
    <w:rsid w:val="567E1AA5"/>
    <w:rsid w:val="56CB4F97"/>
    <w:rsid w:val="56E47B74"/>
    <w:rsid w:val="57175D52"/>
    <w:rsid w:val="57BD3DD4"/>
    <w:rsid w:val="5AF92295"/>
    <w:rsid w:val="5B250254"/>
    <w:rsid w:val="5BDD79E6"/>
    <w:rsid w:val="5BF561CA"/>
    <w:rsid w:val="5BFF5DFC"/>
    <w:rsid w:val="5CD71FC4"/>
    <w:rsid w:val="5CE600A7"/>
    <w:rsid w:val="5D1F11B5"/>
    <w:rsid w:val="5D695134"/>
    <w:rsid w:val="5DAE1B18"/>
    <w:rsid w:val="5DE7D9E5"/>
    <w:rsid w:val="5ECEC941"/>
    <w:rsid w:val="5FBF9FF3"/>
    <w:rsid w:val="5FCD4E2C"/>
    <w:rsid w:val="5FEF394A"/>
    <w:rsid w:val="5FF67715"/>
    <w:rsid w:val="60D26988"/>
    <w:rsid w:val="627078F5"/>
    <w:rsid w:val="62BF3928"/>
    <w:rsid w:val="63B3701E"/>
    <w:rsid w:val="642D24A9"/>
    <w:rsid w:val="647F5392"/>
    <w:rsid w:val="657E215B"/>
    <w:rsid w:val="65E66580"/>
    <w:rsid w:val="664B1D71"/>
    <w:rsid w:val="664B4E8E"/>
    <w:rsid w:val="66BE31F6"/>
    <w:rsid w:val="67277B67"/>
    <w:rsid w:val="67AA3209"/>
    <w:rsid w:val="698D0931"/>
    <w:rsid w:val="6A7FE5F3"/>
    <w:rsid w:val="6B053271"/>
    <w:rsid w:val="6BDD78B3"/>
    <w:rsid w:val="6C4A05C8"/>
    <w:rsid w:val="6C8742B8"/>
    <w:rsid w:val="6CCA313F"/>
    <w:rsid w:val="6CCB62B2"/>
    <w:rsid w:val="6DBF5E93"/>
    <w:rsid w:val="6DFF077E"/>
    <w:rsid w:val="6E714EF0"/>
    <w:rsid w:val="6E7E3605"/>
    <w:rsid w:val="6E7FDCC7"/>
    <w:rsid w:val="6ED6A62E"/>
    <w:rsid w:val="6EE00B15"/>
    <w:rsid w:val="6F6FB3EB"/>
    <w:rsid w:val="6F8412B8"/>
    <w:rsid w:val="6F8731EA"/>
    <w:rsid w:val="6FCE6052"/>
    <w:rsid w:val="6FD57C00"/>
    <w:rsid w:val="6FEFFFD8"/>
    <w:rsid w:val="6FF5CC65"/>
    <w:rsid w:val="6FFB47EC"/>
    <w:rsid w:val="6FFF034A"/>
    <w:rsid w:val="702C5774"/>
    <w:rsid w:val="70484440"/>
    <w:rsid w:val="712A28F1"/>
    <w:rsid w:val="715C0E4B"/>
    <w:rsid w:val="71992E7C"/>
    <w:rsid w:val="71F3206D"/>
    <w:rsid w:val="72233669"/>
    <w:rsid w:val="724050D5"/>
    <w:rsid w:val="72734D90"/>
    <w:rsid w:val="73160E6D"/>
    <w:rsid w:val="7332FE48"/>
    <w:rsid w:val="734E41BF"/>
    <w:rsid w:val="73AB61DA"/>
    <w:rsid w:val="73AD73D5"/>
    <w:rsid w:val="73B6EB34"/>
    <w:rsid w:val="73FA497D"/>
    <w:rsid w:val="744731E5"/>
    <w:rsid w:val="74BBD01D"/>
    <w:rsid w:val="74ED5379"/>
    <w:rsid w:val="754D67B8"/>
    <w:rsid w:val="75DEEEC2"/>
    <w:rsid w:val="75E32345"/>
    <w:rsid w:val="76E3355F"/>
    <w:rsid w:val="76FF5125"/>
    <w:rsid w:val="7722255A"/>
    <w:rsid w:val="776F6FFA"/>
    <w:rsid w:val="778769C8"/>
    <w:rsid w:val="77A75DCA"/>
    <w:rsid w:val="77DC22F5"/>
    <w:rsid w:val="783E271A"/>
    <w:rsid w:val="78616DE9"/>
    <w:rsid w:val="78E875D7"/>
    <w:rsid w:val="79086DAD"/>
    <w:rsid w:val="79D7FD79"/>
    <w:rsid w:val="79EE5BA4"/>
    <w:rsid w:val="7A894339"/>
    <w:rsid w:val="7AD284E8"/>
    <w:rsid w:val="7AFF7572"/>
    <w:rsid w:val="7B0703E4"/>
    <w:rsid w:val="7B6C7DFB"/>
    <w:rsid w:val="7BBFBED0"/>
    <w:rsid w:val="7BC3E394"/>
    <w:rsid w:val="7BDB3F41"/>
    <w:rsid w:val="7C1F3737"/>
    <w:rsid w:val="7C3743CF"/>
    <w:rsid w:val="7CBFC87B"/>
    <w:rsid w:val="7CFE0F48"/>
    <w:rsid w:val="7D272ABC"/>
    <w:rsid w:val="7D7EC23E"/>
    <w:rsid w:val="7E8ADEBF"/>
    <w:rsid w:val="7EEF11D3"/>
    <w:rsid w:val="7EFE4840"/>
    <w:rsid w:val="7F0971A6"/>
    <w:rsid w:val="7F1D62E7"/>
    <w:rsid w:val="7F3F679B"/>
    <w:rsid w:val="7F4FC4EF"/>
    <w:rsid w:val="7F5E4D54"/>
    <w:rsid w:val="7F6E0135"/>
    <w:rsid w:val="7F79F205"/>
    <w:rsid w:val="7F997CB3"/>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8F6CE3E"/>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character" w:customStyle="1" w:styleId="19">
    <w:name w:val="标题 1 Char"/>
    <w:basedOn w:val="16"/>
    <w:link w:val="5"/>
    <w:qFormat/>
    <w:uiPriority w:val="9"/>
    <w:rPr>
      <w:rFonts w:ascii="Times New Roman" w:hAnsi="Times New Roman"/>
      <w:b/>
      <w:bCs/>
      <w:kern w:val="44"/>
      <w:sz w:val="44"/>
      <w:szCs w:val="44"/>
    </w:rPr>
  </w:style>
  <w:style w:type="character" w:customStyle="1" w:styleId="20">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6"/>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6"/>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6"/>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正文-公1"/>
    <w:basedOn w:val="36"/>
    <w:next w:val="1"/>
    <w:qFormat/>
    <w:uiPriority w:val="0"/>
    <w:pPr>
      <w:ind w:firstLine="200" w:firstLineChars="200"/>
    </w:pPr>
  </w:style>
  <w:style w:type="paragraph" w:customStyle="1" w:styleId="3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5"/>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742</Words>
  <Characters>772</Characters>
  <Lines>61</Lines>
  <Paragraphs>17</Paragraphs>
  <TotalTime>12</TotalTime>
  <ScaleCrop>false</ScaleCrop>
  <LinksUpToDate>false</LinksUpToDate>
  <CharactersWithSpaces>833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2025-08-07T01:34:00Z</cp:lastPrinted>
  <dcterms:modified xsi:type="dcterms:W3CDTF">2026-09-14T11:28:34Z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A5DAB60DC32C4FA188E8F631732AF7A5_13</vt:lpwstr>
  </property>
  <property fmtid="{D5CDD505-2E9C-101B-9397-08002B2CF9AE}" pid="4" name="KSOTemplateDocerSaveRecord">
    <vt:lpwstr>eyJoZGlkIjoiYjVhOTdmYThkOWI3OTNiZDM0OWFiYWQyYzM0YjA3YjUiLCJ1c2VySWQiOiI2NjU5NDc0MDkifQ==</vt:lpwstr>
  </property>
</Properties>
</file>