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0F91F0">
      <w:pPr>
        <w:pStyle w:val="2"/>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96475"/>
      <w:bookmarkStart w:id="2" w:name="_Toc15377425"/>
      <w:bookmarkStart w:id="3" w:name="_Toc15396597"/>
      <w:bookmarkStart w:id="4" w:name="_Toc15377193"/>
      <w:bookmarkStart w:id="5" w:name="_Toc15378441"/>
    </w:p>
    <w:p w14:paraId="631EADB9">
      <w:pPr>
        <w:pStyle w:val="2"/>
        <w:rPr>
          <w:rFonts w:hint="eastAsia" w:ascii="Times New Roman" w:hAnsi="Times New Roman" w:eastAsia="方正小标宋简体" w:cs="Times New Roman"/>
          <w:color w:val="auto"/>
          <w:kern w:val="2"/>
          <w:sz w:val="72"/>
          <w:szCs w:val="72"/>
          <w:highlight w:val="none"/>
          <w:lang w:val="en-US" w:eastAsia="zh-CN" w:bidi="ar-SA"/>
        </w:rPr>
      </w:pPr>
    </w:p>
    <w:p w14:paraId="00B9428A">
      <w:pPr>
        <w:pStyle w:val="2"/>
        <w:rPr>
          <w:rFonts w:hint="eastAsia" w:ascii="Times New Roman" w:hAnsi="Times New Roman" w:eastAsia="方正小标宋简体" w:cs="Times New Roman"/>
          <w:color w:val="auto"/>
          <w:kern w:val="2"/>
          <w:sz w:val="72"/>
          <w:szCs w:val="72"/>
          <w:highlight w:val="none"/>
          <w:lang w:val="en-US" w:eastAsia="zh-CN" w:bidi="ar-SA"/>
        </w:rPr>
      </w:pPr>
    </w:p>
    <w:p w14:paraId="3F708B16">
      <w:pPr>
        <w:pStyle w:val="2"/>
        <w:rPr>
          <w:rFonts w:hint="eastAsia" w:ascii="Times New Roman" w:hAnsi="Times New Roman" w:eastAsia="方正小标宋简体" w:cs="Times New Roman"/>
          <w:color w:val="auto"/>
          <w:kern w:val="2"/>
          <w:sz w:val="72"/>
          <w:szCs w:val="72"/>
          <w:highlight w:val="none"/>
          <w:lang w:val="en-US" w:eastAsia="zh-CN" w:bidi="ar-SA"/>
        </w:rPr>
      </w:pPr>
    </w:p>
    <w:p w14:paraId="5C198319">
      <w:pPr>
        <w:pStyle w:val="2"/>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2025年度攀枝花市第四人民医院</w:t>
      </w:r>
      <w:r>
        <w:rPr>
          <w:rFonts w:hint="eastAsia" w:ascii="Times New Roman" w:hAnsi="Times New Roman" w:eastAsia="方正小标宋简体" w:cs="Times New Roman"/>
          <w:color w:val="auto"/>
          <w:kern w:val="2"/>
          <w:sz w:val="44"/>
          <w:szCs w:val="44"/>
          <w:highlight w:val="none"/>
          <w:lang w:val="en-US" w:eastAsia="zh-CN" w:bidi="ar-SA"/>
        </w:rPr>
        <w:t>决算</w:t>
      </w:r>
      <w:r>
        <w:rPr>
          <w:rFonts w:hint="eastAsia" w:ascii="Times New Roman" w:eastAsia="方正小标宋简体" w:cs="Times New Roman"/>
          <w:color w:val="auto"/>
          <w:kern w:val="2"/>
          <w:sz w:val="44"/>
          <w:szCs w:val="44"/>
          <w:highlight w:val="none"/>
          <w:lang w:val="en-US" w:eastAsia="zh-CN" w:bidi="ar-SA"/>
        </w:rPr>
        <w:t>公开</w:t>
      </w:r>
    </w:p>
    <w:p w14:paraId="00211DA0">
      <w:pPr>
        <w:spacing w:line="600" w:lineRule="exact"/>
        <w:jc w:val="center"/>
        <w:outlineLvl w:val="0"/>
        <w:rPr>
          <w:rFonts w:ascii="Times New Roman" w:hAnsi="Times New Roman"/>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cols w:space="425" w:num="1"/>
          <w:docGrid w:type="lines" w:linePitch="312" w:charSpace="0"/>
        </w:sectPr>
      </w:pPr>
      <w:r>
        <w:rPr>
          <w:rFonts w:hint="eastAsia" w:eastAsia="方正小标宋简体" w:cs="Times New Roman"/>
          <w:color w:val="auto"/>
          <w:kern w:val="2"/>
          <w:sz w:val="44"/>
          <w:szCs w:val="44"/>
          <w:highlight w:val="none"/>
          <w:lang w:val="en-US" w:eastAsia="zh-CN" w:bidi="ar-SA"/>
        </w:rPr>
        <w:t xml:space="preserve"> </w:t>
      </w:r>
    </w:p>
    <w:bookmarkEnd w:id="0"/>
    <w:bookmarkEnd w:id="1"/>
    <w:bookmarkEnd w:id="2"/>
    <w:bookmarkEnd w:id="3"/>
    <w:bookmarkEnd w:id="4"/>
    <w:bookmarkEnd w:id="5"/>
    <w:p w14:paraId="39660EF2">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684BDAED">
      <w:pPr>
        <w:pStyle w:val="12"/>
        <w:rPr>
          <w:rFonts w:ascii="Times New Roman" w:hAnsi="Times New Roman"/>
          <w:color w:val="auto"/>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default" w:ascii="Times New Roman" w:hAnsi="Times New Roman" w:eastAsia="仿宋_GB2312" w:cs="仿宋_GB2312"/>
          <w:color w:val="auto"/>
          <w:sz w:val="32"/>
          <w:szCs w:val="32"/>
          <w:highlight w:val="none"/>
          <w:lang w:val="en-US" w:eastAsia="zh-CN"/>
        </w:rPr>
        <w:t>14</w:t>
      </w:r>
      <w:bookmarkStart w:id="61" w:name="_GoBack"/>
      <w:bookmarkEnd w:id="61"/>
      <w:r>
        <w:rPr>
          <w:rFonts w:hint="eastAsia" w:ascii="Times New Roman" w:hAnsi="Times New Roman" w:eastAsia="仿宋_GB2312" w:cs="仿宋_GB2312"/>
          <w:color w:val="auto"/>
          <w:sz w:val="32"/>
          <w:szCs w:val="32"/>
          <w:highlight w:val="none"/>
        </w:rPr>
        <w:t>日</w:t>
      </w:r>
    </w:p>
    <w:p w14:paraId="070A616E">
      <w:pPr>
        <w:pStyle w:val="12"/>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4</w:t>
      </w:r>
    </w:p>
    <w:p w14:paraId="086F638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4</w:t>
      </w:r>
    </w:p>
    <w:p w14:paraId="20088EB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4</w:t>
      </w:r>
    </w:p>
    <w:p w14:paraId="1AEB639A">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5</w:t>
      </w:r>
    </w:p>
    <w:p w14:paraId="10E6832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5</w:t>
      </w:r>
    </w:p>
    <w:p w14:paraId="6D3ECB3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5</w:t>
      </w:r>
    </w:p>
    <w:p w14:paraId="5E1DE6D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6</w:t>
      </w:r>
    </w:p>
    <w:p w14:paraId="6E65344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7</w:t>
      </w:r>
    </w:p>
    <w:p w14:paraId="5516452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8</w:t>
      </w:r>
    </w:p>
    <w:p w14:paraId="32DD555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11</w:t>
      </w:r>
    </w:p>
    <w:p w14:paraId="3582783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11</w:t>
      </w:r>
    </w:p>
    <w:p w14:paraId="3D78967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13</w:t>
      </w:r>
    </w:p>
    <w:p w14:paraId="1A2556A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13</w:t>
      </w:r>
    </w:p>
    <w:p w14:paraId="06C8A1A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13</w:t>
      </w:r>
    </w:p>
    <w:p w14:paraId="5812CE95">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15</w:t>
      </w:r>
    </w:p>
    <w:p w14:paraId="548AECF9">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19</w:t>
      </w:r>
    </w:p>
    <w:p w14:paraId="6213BDAF">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20</w:t>
      </w:r>
    </w:p>
    <w:p w14:paraId="5BF852A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20</w:t>
      </w:r>
    </w:p>
    <w:p w14:paraId="1EF09AE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20</w:t>
      </w:r>
    </w:p>
    <w:p w14:paraId="5EFA3FD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20</w:t>
      </w:r>
    </w:p>
    <w:p w14:paraId="7EA2432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20</w:t>
      </w:r>
    </w:p>
    <w:p w14:paraId="1EB12F5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20</w:t>
      </w:r>
    </w:p>
    <w:p w14:paraId="57517D9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20</w:t>
      </w:r>
    </w:p>
    <w:p w14:paraId="6261128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20</w:t>
      </w:r>
    </w:p>
    <w:p w14:paraId="1EF1F72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20</w:t>
      </w:r>
    </w:p>
    <w:p w14:paraId="02429E6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20</w:t>
      </w:r>
    </w:p>
    <w:p w14:paraId="6B73066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20</w:t>
      </w:r>
    </w:p>
    <w:p w14:paraId="222C442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20</w:t>
      </w:r>
    </w:p>
    <w:p w14:paraId="6754678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20</w:t>
      </w:r>
    </w:p>
    <w:p w14:paraId="075402C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20</w:t>
      </w:r>
    </w:p>
    <w:p w14:paraId="2046FAC1">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eastAsia="仿宋_GB2312" w:cs="仿宋_GB2312"/>
          <w:b/>
          <w:bCs/>
          <w:color w:val="auto"/>
          <w:sz w:val="32"/>
          <w:szCs w:val="32"/>
          <w:highlight w:val="none"/>
          <w:lang w:val="en-US" w:eastAsia="zh-CN"/>
        </w:rPr>
        <w:t xml:space="preserve"> </w:t>
      </w:r>
      <w:r>
        <w:rPr>
          <w:rFonts w:hint="eastAsia" w:ascii="Times New Roman" w:hAnsi="Times New Roman" w:eastAsia="仿宋_GB2312" w:cs="仿宋_GB2312"/>
          <w:b/>
          <w:color w:val="auto"/>
          <w:sz w:val="32"/>
          <w:szCs w:val="32"/>
          <w:highlight w:val="none"/>
        </w:rPr>
        <w:br w:type="page"/>
      </w:r>
    </w:p>
    <w:p w14:paraId="38DF76D1">
      <w:pPr>
        <w:pStyle w:val="3"/>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14:paraId="7D99D67C">
      <w:pPr>
        <w:widowControl/>
        <w:jc w:val="left"/>
        <w:rPr>
          <w:rFonts w:ascii="Times New Roman" w:hAnsi="Times New Roman" w:eastAsia="黑体"/>
          <w:color w:val="auto"/>
          <w:sz w:val="32"/>
          <w:szCs w:val="32"/>
          <w:highlight w:val="none"/>
        </w:rPr>
      </w:pPr>
    </w:p>
    <w:p w14:paraId="2AA950BC">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3CD2658D">
      <w:pPr>
        <w:pStyle w:val="2"/>
        <w:adjustRightInd w:val="0"/>
        <w:spacing w:before="130" w:beforeLines="0" w:line="600" w:lineRule="exact"/>
        <w:ind w:firstLine="640" w:firstLineChars="200"/>
        <w:rPr>
          <w:rFonts w:hint="eastAsia" w:ascii="Times New Roman"/>
          <w:sz w:val="32"/>
        </w:rPr>
      </w:pPr>
      <w:r>
        <w:rPr>
          <w:rFonts w:hint="eastAsia" w:ascii="Times New Roman"/>
          <w:sz w:val="32"/>
        </w:rPr>
        <w:t>医院是川西南、滇西北唯一一所集医疗、预防、保健、教学、科研于一体的现代化传染病专科医院。是国家和四川省中医药防治传染病临床基地建设单位；攀枝花市“突发公共卫生事件救治基地”；是全市传染病，特别是艾滋病、肺结核、肝病等重大传染病定点救治医院。</w:t>
      </w:r>
    </w:p>
    <w:p w14:paraId="227CD35F">
      <w:pPr>
        <w:numPr>
          <w:ilvl w:val="0"/>
          <w:numId w:val="0"/>
        </w:numPr>
        <w:rPr>
          <w:rFonts w:hint="eastAsia"/>
          <w:lang w:eastAsia="zh-CN"/>
        </w:rPr>
      </w:pPr>
    </w:p>
    <w:p w14:paraId="220B5A1C">
      <w:pPr>
        <w:pStyle w:val="4"/>
        <w:rPr>
          <w:rStyle w:val="30"/>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8"/>
      <w:bookmarkEnd w:id="9"/>
    </w:p>
    <w:p w14:paraId="140A0A47">
      <w:pPr>
        <w:widowControl/>
        <w:ind w:firstLine="640" w:firstLineChars="200"/>
        <w:jc w:val="left"/>
        <w:rPr>
          <w:rFonts w:hint="eastAsia" w:ascii="Times New Roman" w:hAnsi="Times New Roman" w:eastAsia="仿宋_GB2312" w:cs="Times New Roman"/>
          <w:kern w:val="0"/>
          <w:sz w:val="32"/>
          <w:szCs w:val="24"/>
          <w:lang w:val="en-US" w:eastAsia="zh-CN" w:bidi="ar-SA"/>
        </w:rPr>
      </w:pPr>
      <w:r>
        <w:rPr>
          <w:rFonts w:hint="eastAsia" w:ascii="Times New Roman" w:hAnsi="Times New Roman" w:eastAsia="仿宋_GB2312" w:cs="Times New Roman"/>
          <w:kern w:val="0"/>
          <w:sz w:val="32"/>
          <w:szCs w:val="24"/>
          <w:lang w:val="en-US" w:eastAsia="zh-CN" w:bidi="ar-SA"/>
        </w:rPr>
        <w:t>攀枝花市第四人民医院下属二级预算单位0个，其中行政单位0个，参照公务员法管理的事业单位0个，其他事业单位0个。</w:t>
      </w:r>
    </w:p>
    <w:p w14:paraId="5DB7F1B1">
      <w:pPr>
        <w:pStyle w:val="2"/>
        <w:rPr>
          <w:rFonts w:hint="eastAsia" w:ascii="Times New Roman" w:hAnsi="Times New Roman" w:eastAsia="仿宋_GB2312" w:cs="Times New Roman"/>
          <w:kern w:val="0"/>
          <w:sz w:val="32"/>
          <w:szCs w:val="24"/>
          <w:lang w:val="en-US" w:eastAsia="zh-CN" w:bidi="ar-SA"/>
        </w:rPr>
      </w:pPr>
    </w:p>
    <w:p w14:paraId="0B812DD3">
      <w:pPr>
        <w:pStyle w:val="2"/>
        <w:rPr>
          <w:rFonts w:hint="eastAsia" w:ascii="Times New Roman" w:hAnsi="Times New Roman" w:eastAsia="仿宋_GB2312" w:cs="Times New Roman"/>
          <w:kern w:val="0"/>
          <w:sz w:val="32"/>
          <w:szCs w:val="24"/>
          <w:lang w:val="en-US" w:eastAsia="zh-CN" w:bidi="ar-SA"/>
        </w:rPr>
      </w:pPr>
    </w:p>
    <w:p w14:paraId="3A0C0CBC">
      <w:pPr>
        <w:pStyle w:val="2"/>
        <w:rPr>
          <w:rFonts w:hint="eastAsia" w:ascii="Times New Roman" w:hAnsi="Times New Roman" w:eastAsia="仿宋_GB2312" w:cs="Times New Roman"/>
          <w:kern w:val="0"/>
          <w:sz w:val="32"/>
          <w:szCs w:val="24"/>
          <w:lang w:val="en-US" w:eastAsia="zh-CN" w:bidi="ar-SA"/>
        </w:rPr>
      </w:pPr>
    </w:p>
    <w:p w14:paraId="201E8539">
      <w:pPr>
        <w:pStyle w:val="2"/>
        <w:rPr>
          <w:rFonts w:hint="eastAsia" w:ascii="Times New Roman" w:hAnsi="Times New Roman" w:eastAsia="仿宋_GB2312" w:cs="Times New Roman"/>
          <w:kern w:val="0"/>
          <w:sz w:val="32"/>
          <w:szCs w:val="24"/>
          <w:lang w:val="en-US" w:eastAsia="zh-CN" w:bidi="ar-SA"/>
        </w:rPr>
      </w:pPr>
    </w:p>
    <w:p w14:paraId="73C8F2C3">
      <w:pPr>
        <w:pStyle w:val="3"/>
        <w:jc w:val="center"/>
        <w:rPr>
          <w:rFonts w:hint="eastAsia" w:ascii="Times New Roman" w:hAnsi="Times New Roman" w:eastAsia="方正小标宋简体" w:cs="方正小标宋简体"/>
          <w:b w:val="0"/>
          <w:color w:val="auto"/>
          <w:highlight w:val="none"/>
        </w:rPr>
      </w:pPr>
      <w:bookmarkStart w:id="10" w:name="_Toc15377204"/>
      <w:bookmarkStart w:id="1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18A29636">
      <w:pPr>
        <w:rPr>
          <w:rFonts w:ascii="Times New Roman" w:hAnsi="Times New Roman"/>
          <w:color w:val="auto"/>
          <w:highlight w:val="none"/>
        </w:rPr>
      </w:pPr>
    </w:p>
    <w:p w14:paraId="56D7C9C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2"/>
      <w:bookmarkEnd w:id="13"/>
    </w:p>
    <w:p w14:paraId="213BF04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4551.64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ascii="仿宋_GB2312" w:hAnsi="仿宋_GB2312" w:eastAsia="仿宋_GB2312" w:cs="仿宋_GB2312"/>
          <w:sz w:val="32"/>
          <w:szCs w:val="32"/>
          <w:lang w:val="en-US" w:eastAsia="zh-CN"/>
        </w:rPr>
        <w:t>564.25</w:t>
      </w:r>
      <w:r>
        <w:rPr>
          <w:rFonts w:hint="eastAsia" w:ascii="仿宋_GB2312" w:hAnsi="仿宋_GB2312" w:eastAsia="仿宋_GB2312" w:cs="仿宋_GB2312"/>
          <w:sz w:val="32"/>
          <w:szCs w:val="32"/>
        </w:rPr>
        <w:t>万</w:t>
      </w:r>
      <w:r>
        <w:rPr>
          <w:rFonts w:hint="eastAsia" w:ascii="Times New Roman" w:hAnsi="Times New Roman" w:eastAsia="仿宋_GB2312" w:cs="仿宋_GB2312"/>
          <w:color w:val="auto"/>
          <w:sz w:val="32"/>
          <w:szCs w:val="32"/>
          <w:highlight w:val="none"/>
        </w:rPr>
        <w:t>元，下降</w:t>
      </w:r>
      <w:r>
        <w:rPr>
          <w:rFonts w:hint="eastAsia" w:ascii="仿宋_GB2312" w:hAnsi="仿宋_GB2312" w:eastAsia="仿宋_GB2312" w:cs="仿宋_GB2312"/>
          <w:sz w:val="32"/>
          <w:szCs w:val="32"/>
          <w:lang w:val="en-US" w:eastAsia="zh-CN"/>
        </w:rPr>
        <w:t>11.03</w:t>
      </w:r>
      <w:r>
        <w:rPr>
          <w:rFonts w:hint="eastAsia" w:ascii="仿宋_GB2312" w:hAnsi="仿宋_GB2312" w:eastAsia="仿宋_GB2312" w:cs="仿宋_GB2312"/>
          <w:sz w:val="32"/>
          <w:szCs w:val="32"/>
        </w:rPr>
        <w:t>%。</w:t>
      </w:r>
      <w:r>
        <w:rPr>
          <w:rFonts w:hint="eastAsia" w:ascii="Times New Roman" w:hAnsi="Times New Roman" w:eastAsia="仿宋_GB2312" w:cs="仿宋_GB2312"/>
          <w:color w:val="auto"/>
          <w:sz w:val="32"/>
          <w:szCs w:val="32"/>
          <w:highlight w:val="none"/>
        </w:rPr>
        <w:t>主要变动原</w:t>
      </w:r>
      <w:r>
        <w:rPr>
          <w:rFonts w:hint="eastAsia" w:ascii="仿宋_GB2312" w:hAnsi="仿宋_GB2312" w:eastAsia="仿宋_GB2312" w:cs="仿宋_GB2312"/>
          <w:sz w:val="32"/>
          <w:szCs w:val="32"/>
        </w:rPr>
        <w:t>因是</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lang w:eastAsia="zh-CN"/>
        </w:rPr>
        <w:t>事业收入</w:t>
      </w:r>
      <w:r>
        <w:rPr>
          <w:rFonts w:hint="eastAsia" w:eastAsia="仿宋_GB2312" w:cs="仿宋_GB2312"/>
          <w:color w:val="auto"/>
          <w:sz w:val="32"/>
          <w:szCs w:val="32"/>
          <w:highlight w:val="none"/>
          <w:lang w:eastAsia="zh-CN"/>
        </w:rPr>
        <w:t>及其他收入减少。</w:t>
      </w:r>
    </w:p>
    <w:p w14:paraId="70F281B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935" distR="114935">
            <wp:extent cx="4551680" cy="2759710"/>
            <wp:effectExtent l="4445" t="4445" r="15875"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8C6FE4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60162A3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p>
    <w:p w14:paraId="2DE79F4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14"/>
      <w:bookmarkEnd w:id="15"/>
    </w:p>
    <w:p w14:paraId="250B03C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4551.64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2369.02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52.04</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1513.87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33.25</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668.75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14.69</w:t>
      </w:r>
      <w:r>
        <w:rPr>
          <w:rFonts w:hint="eastAsia" w:ascii="Times New Roman" w:hAnsi="Times New Roman" w:eastAsia="仿宋_GB2312" w:cs="仿宋_GB2312"/>
          <w:color w:val="auto"/>
          <w:sz w:val="32"/>
          <w:szCs w:val="32"/>
          <w:highlight w:val="none"/>
          <w:lang w:eastAsia="zh-CN"/>
        </w:rPr>
        <w:t>%。</w:t>
      </w:r>
    </w:p>
    <w:p w14:paraId="3F21C17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r>
        <w:rPr>
          <w:rFonts w:ascii="仿宋_GB2312" w:eastAsia="仿宋_GB2312"/>
          <w:color w:val="FF0000"/>
          <w:sz w:val="32"/>
          <w:szCs w:val="32"/>
        </w:rPr>
        <w:drawing>
          <wp:anchor distT="0" distB="0" distL="114300" distR="114300" simplePos="0" relativeHeight="251659264" behindDoc="0" locked="0" layoutInCell="1" allowOverlap="1">
            <wp:simplePos x="0" y="0"/>
            <wp:positionH relativeFrom="column">
              <wp:posOffset>24130</wp:posOffset>
            </wp:positionH>
            <wp:positionV relativeFrom="paragraph">
              <wp:posOffset>262255</wp:posOffset>
            </wp:positionV>
            <wp:extent cx="5028565" cy="2609215"/>
            <wp:effectExtent l="4445" t="4445" r="15240" b="15240"/>
            <wp:wrapTopAndBottom/>
            <wp:docPr id="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17C2F3B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3BDA493D">
      <w:pPr>
        <w:ind w:firstLine="800" w:firstLineChars="250"/>
        <w:rPr>
          <w:rFonts w:hint="eastAsia" w:ascii="Times New Roman" w:hAnsi="Times New Roman" w:eastAsia="仿宋_GB2312" w:cs="仿宋_GB2312"/>
          <w:color w:val="auto"/>
          <w:sz w:val="32"/>
          <w:szCs w:val="32"/>
          <w:highlight w:val="none"/>
          <w:lang w:eastAsia="zh-CN"/>
        </w:rPr>
      </w:pPr>
    </w:p>
    <w:p w14:paraId="305CE6C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77207"/>
      <w:bookmarkStart w:id="17"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6"/>
      <w:bookmarkEnd w:id="17"/>
    </w:p>
    <w:p w14:paraId="29F89B2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4551.64</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3084.94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67.77</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1466.7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32.22</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0411BBE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8A0351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65F8048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D488FF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5A9DB95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7C5BEE8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6EA9568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ascii="仿宋_GB2312" w:eastAsia="仿宋_GB2312"/>
          <w:color w:val="FF0000"/>
          <w:sz w:val="32"/>
          <w:szCs w:val="32"/>
        </w:rPr>
        <w:drawing>
          <wp:anchor distT="0" distB="0" distL="114300" distR="114300" simplePos="0" relativeHeight="251659264" behindDoc="0" locked="0" layoutInCell="1" allowOverlap="1">
            <wp:simplePos x="0" y="0"/>
            <wp:positionH relativeFrom="column">
              <wp:posOffset>222885</wp:posOffset>
            </wp:positionH>
            <wp:positionV relativeFrom="paragraph">
              <wp:posOffset>287655</wp:posOffset>
            </wp:positionV>
            <wp:extent cx="5123815" cy="2732405"/>
            <wp:effectExtent l="4445" t="4445" r="15240" b="6350"/>
            <wp:wrapTopAndBottom/>
            <wp:docPr id="1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56B66E8B">
      <w:pPr>
        <w:ind w:firstLine="800" w:firstLineChars="250"/>
        <w:rPr>
          <w:rFonts w:hint="eastAsia" w:ascii="Times New Roman" w:hAnsi="Times New Roman" w:eastAsia="仿宋_GB2312" w:cs="仿宋_GB2312"/>
          <w:color w:val="auto"/>
          <w:sz w:val="32"/>
          <w:szCs w:val="32"/>
          <w:highlight w:val="none"/>
          <w:lang w:eastAsia="zh-CN"/>
        </w:rPr>
      </w:pPr>
    </w:p>
    <w:p w14:paraId="5BAE2B65">
      <w:pPr>
        <w:spacing w:line="600" w:lineRule="exact"/>
        <w:outlineLvl w:val="1"/>
        <w:rPr>
          <w:rStyle w:val="30"/>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8"/>
      <w:bookmarkEnd w:id="19"/>
    </w:p>
    <w:p w14:paraId="2D0AAB1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2369.02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999.22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72.95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财政拨付2024年养老保险、职业年金单位部分和公立医院改革补助经费。</w:t>
      </w:r>
    </w:p>
    <w:p w14:paraId="243A4F46">
      <w:pPr>
        <w:pStyle w:val="2"/>
        <w:rPr>
          <w:rFonts w:hint="eastAsia" w:ascii="Times New Roman" w:hAnsi="Times New Roman" w:eastAsia="仿宋_GB2312" w:cs="仿宋_GB2312"/>
          <w:color w:val="auto"/>
          <w:kern w:val="2"/>
          <w:sz w:val="32"/>
          <w:szCs w:val="32"/>
          <w:highlight w:val="none"/>
          <w:lang w:val="en-US" w:eastAsia="zh-CN" w:bidi="ar-SA"/>
        </w:rPr>
      </w:pPr>
    </w:p>
    <w:p w14:paraId="5DE8701E">
      <w:pPr>
        <w:pStyle w:val="2"/>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56530" cy="2988310"/>
            <wp:effectExtent l="5080" t="4445" r="15240" b="1714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EAC9B51">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420093D9">
      <w:pPr>
        <w:pStyle w:val="2"/>
        <w:rPr>
          <w:rFonts w:hint="eastAsia"/>
          <w:lang w:val="en-US" w:eastAsia="zh-CN"/>
        </w:rPr>
      </w:pPr>
    </w:p>
    <w:p w14:paraId="0C6CEBDD">
      <w:pPr>
        <w:spacing w:line="600" w:lineRule="exact"/>
        <w:ind w:firstLine="640" w:firstLineChars="200"/>
        <w:outlineLvl w:val="1"/>
        <w:rPr>
          <w:rStyle w:val="30"/>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0"/>
      <w:bookmarkEnd w:id="21"/>
    </w:p>
    <w:p w14:paraId="225A434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0C5BD276">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2369.02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52.04</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999.22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72.95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财政拨付2024年养老保险、职业年金单位部分和公立医院改革补助经费。</w:t>
      </w:r>
    </w:p>
    <w:p w14:paraId="5BF1E8B2">
      <w:pPr>
        <w:pStyle w:val="2"/>
        <w:rPr>
          <w:rFonts w:hint="eastAsia" w:eastAsia="仿宋_GB2312" w:cs="仿宋_GB2312"/>
          <w:color w:val="auto"/>
          <w:kern w:val="2"/>
          <w:sz w:val="32"/>
          <w:szCs w:val="32"/>
          <w:highlight w:val="none"/>
          <w:lang w:val="en-US" w:eastAsia="zh-CN" w:bidi="ar-SA"/>
        </w:rPr>
      </w:pPr>
    </w:p>
    <w:p w14:paraId="70C920EF">
      <w:pPr>
        <w:pStyle w:val="2"/>
        <w:rPr>
          <w:rFonts w:hint="eastAsia" w:eastAsia="仿宋_GB2312" w:cs="仿宋_GB2312"/>
          <w:color w:val="auto"/>
          <w:kern w:val="2"/>
          <w:sz w:val="32"/>
          <w:szCs w:val="32"/>
          <w:highlight w:val="none"/>
          <w:lang w:val="en-US" w:eastAsia="zh-CN" w:bidi="ar-SA"/>
        </w:rPr>
      </w:pPr>
    </w:p>
    <w:p w14:paraId="3F43755C">
      <w:pPr>
        <w:pStyle w:val="2"/>
        <w:rPr>
          <w:rFonts w:hint="eastAsia" w:eastAsia="仿宋_GB2312" w:cs="仿宋_GB2312"/>
          <w:color w:val="auto"/>
          <w:kern w:val="2"/>
          <w:sz w:val="32"/>
          <w:szCs w:val="32"/>
          <w:highlight w:val="none"/>
          <w:lang w:val="en-US" w:eastAsia="zh-CN" w:bidi="ar-SA"/>
        </w:rPr>
      </w:pPr>
    </w:p>
    <w:p w14:paraId="61EFC353">
      <w:pPr>
        <w:pStyle w:val="2"/>
        <w:rPr>
          <w:rFonts w:hint="eastAsia" w:eastAsia="仿宋_GB2312" w:cs="仿宋_GB2312"/>
          <w:color w:val="auto"/>
          <w:kern w:val="2"/>
          <w:sz w:val="32"/>
          <w:szCs w:val="32"/>
          <w:highlight w:val="none"/>
          <w:lang w:val="en-US" w:eastAsia="zh-CN" w:bidi="ar-SA"/>
        </w:rPr>
      </w:pPr>
    </w:p>
    <w:p w14:paraId="56520A49">
      <w:pPr>
        <w:pStyle w:val="2"/>
        <w:rPr>
          <w:rFonts w:hint="eastAsia" w:eastAsia="仿宋_GB2312" w:cs="仿宋_GB2312"/>
          <w:color w:val="auto"/>
          <w:kern w:val="2"/>
          <w:sz w:val="32"/>
          <w:szCs w:val="32"/>
          <w:highlight w:val="none"/>
          <w:lang w:val="en-US" w:eastAsia="zh-CN" w:bidi="ar-SA"/>
        </w:rPr>
      </w:pPr>
    </w:p>
    <w:p w14:paraId="33A23E63">
      <w:pPr>
        <w:pStyle w:val="2"/>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drawing>
          <wp:inline distT="0" distB="0" distL="114300" distR="114300">
            <wp:extent cx="5256530" cy="2988310"/>
            <wp:effectExtent l="5080" t="4445" r="15240" b="1714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106BCC3">
      <w:pPr>
        <w:pStyle w:val="2"/>
        <w:rPr>
          <w:rFonts w:hint="default" w:eastAsia="仿宋_GB2312" w:cs="仿宋_GB2312"/>
          <w:color w:val="auto"/>
          <w:kern w:val="2"/>
          <w:sz w:val="32"/>
          <w:szCs w:val="32"/>
          <w:highlight w:val="none"/>
          <w:lang w:val="en-US" w:eastAsia="zh-CN" w:bidi="ar-SA"/>
        </w:rPr>
      </w:pPr>
    </w:p>
    <w:p w14:paraId="7476BD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7041B36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868AE3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1C5F525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2369.02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6.84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0.29</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886.38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37.41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1475.79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62.3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6D35A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1E465CD">
      <w:pPr>
        <w:pStyle w:val="2"/>
        <w:rPr>
          <w:rFonts w:hint="eastAsia" w:ascii="Times New Roman" w:hAnsi="Times New Roman" w:eastAsia="仿宋_GB2312" w:cs="仿宋_GB2312"/>
          <w:color w:val="auto"/>
          <w:kern w:val="2"/>
          <w:sz w:val="32"/>
          <w:szCs w:val="32"/>
          <w:highlight w:val="none"/>
          <w:lang w:val="en-US" w:eastAsia="zh-CN" w:bidi="ar-SA"/>
        </w:rPr>
      </w:pPr>
    </w:p>
    <w:p w14:paraId="14951CCF">
      <w:pPr>
        <w:pStyle w:val="2"/>
        <w:rPr>
          <w:rFonts w:hint="eastAsia" w:ascii="Times New Roman" w:hAnsi="Times New Roman" w:eastAsia="仿宋_GB2312" w:cs="仿宋_GB2312"/>
          <w:color w:val="auto"/>
          <w:kern w:val="2"/>
          <w:sz w:val="32"/>
          <w:szCs w:val="32"/>
          <w:highlight w:val="none"/>
          <w:lang w:val="en-US" w:eastAsia="zh-CN" w:bidi="ar-SA"/>
        </w:rPr>
      </w:pPr>
    </w:p>
    <w:p w14:paraId="34FA89CF">
      <w:pPr>
        <w:pStyle w:val="2"/>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56530" cy="2483485"/>
            <wp:effectExtent l="4445" t="4445" r="15875" b="7620"/>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1EB1B0F">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4E683884">
      <w:pPr>
        <w:pStyle w:val="2"/>
        <w:rPr>
          <w:rFonts w:hint="eastAsia" w:ascii="Times New Roman" w:hAnsi="Times New Roman" w:eastAsia="仿宋_GB2312" w:cs="仿宋_GB2312"/>
          <w:color w:val="auto"/>
          <w:kern w:val="2"/>
          <w:sz w:val="32"/>
          <w:szCs w:val="32"/>
          <w:highlight w:val="none"/>
          <w:lang w:val="en-US" w:eastAsia="zh-CN" w:bidi="ar-SA"/>
        </w:rPr>
      </w:pPr>
    </w:p>
    <w:p w14:paraId="049804F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49C7ACE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8460"/>
      <w:bookmarkStart w:id="26" w:name="_Toc15377213"/>
      <w:bookmarkStart w:id="2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2369.02</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064566E6">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一般公共服务（类）组织事务（款）其他组织事务支出（项）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6.84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B9D5C9B">
      <w:pPr>
        <w:numPr>
          <w:ilvl w:val="0"/>
          <w:numId w:val="2"/>
        </w:numPr>
        <w:spacing w:line="600" w:lineRule="exact"/>
        <w:ind w:left="0" w:leftChars="0" w:firstLine="64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社会保障和就业（类）行政事业单位养老支出（款）事业单位离退休（项）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467.63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7E96FA8">
      <w:pPr>
        <w:numPr>
          <w:ilvl w:val="0"/>
          <w:numId w:val="2"/>
        </w:numPr>
        <w:spacing w:line="600" w:lineRule="exact"/>
        <w:ind w:left="0" w:leftChars="0" w:firstLine="64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398.86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2F94741">
      <w:pPr>
        <w:numPr>
          <w:ilvl w:val="0"/>
          <w:numId w:val="2"/>
        </w:numPr>
        <w:spacing w:line="600" w:lineRule="exact"/>
        <w:ind w:left="0" w:leftChars="0" w:firstLine="640" w:firstLineChars="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社会保障和就业（类）抚恤（款）死亡抚恤（项）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19.9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66B962A">
      <w:pPr>
        <w:numPr>
          <w:ilvl w:val="0"/>
          <w:numId w:val="2"/>
        </w:numPr>
        <w:spacing w:line="600" w:lineRule="exact"/>
        <w:ind w:left="0" w:leftChars="0" w:firstLine="640" w:firstLineChars="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卫生健康（类）公立医院（款）传染病医院（项）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1102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D46FA44">
      <w:pPr>
        <w:numPr>
          <w:ilvl w:val="0"/>
          <w:numId w:val="2"/>
        </w:numPr>
        <w:spacing w:line="600" w:lineRule="exact"/>
        <w:ind w:left="0" w:leftChars="0" w:firstLine="640" w:firstLineChars="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卫生健康（类）公立医院（款）其他公立医院支出（项）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19.81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611499E">
      <w:pPr>
        <w:numPr>
          <w:ilvl w:val="0"/>
          <w:numId w:val="2"/>
        </w:numPr>
        <w:spacing w:line="600" w:lineRule="exact"/>
        <w:ind w:left="0" w:leftChars="0" w:firstLine="640" w:firstLineChars="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卫生健康（类）公共卫生（款）重大公共卫生服务（项）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274.71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CCF45B1">
      <w:pPr>
        <w:numPr>
          <w:ilvl w:val="0"/>
          <w:numId w:val="2"/>
        </w:numPr>
        <w:spacing w:line="600" w:lineRule="exact"/>
        <w:ind w:left="0" w:leftChars="0" w:firstLine="640" w:firstLineChars="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卫生健康（类）公共卫生（款）其他公共卫生支出（项）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D050E9B">
      <w:pPr>
        <w:numPr>
          <w:ilvl w:val="0"/>
          <w:numId w:val="2"/>
        </w:numPr>
        <w:spacing w:line="600" w:lineRule="exact"/>
        <w:ind w:left="0" w:leftChars="0" w:firstLine="640" w:firstLineChars="0"/>
        <w:rPr>
          <w:rFonts w:hint="eastAsia" w:ascii="Times New Roman" w:hAnsi="Times New Roman" w:eastAsia="黑体"/>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卫生健康（类）其他卫生健康支出</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款）其他卫生健康支出（项）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98.76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bookmarkStart w:id="28" w:name="_Toc15377214"/>
      <w:bookmarkStart w:id="29" w:name="_Toc15396608"/>
    </w:p>
    <w:p w14:paraId="640B78FE">
      <w:pPr>
        <w:tabs>
          <w:tab w:val="right" w:pos="8306"/>
        </w:tabs>
        <w:spacing w:line="600" w:lineRule="exact"/>
        <w:ind w:firstLine="640"/>
        <w:outlineLvl w:val="1"/>
        <w:rPr>
          <w:rStyle w:val="30"/>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8"/>
      <w:bookmarkEnd w:id="29"/>
      <w:r>
        <w:rPr>
          <w:rStyle w:val="30"/>
          <w:rFonts w:ascii="Times New Roman" w:hAnsi="Times New Roman" w:eastAsia="黑体"/>
          <w:b w:val="0"/>
          <w:color w:val="auto"/>
          <w:highlight w:val="none"/>
        </w:rPr>
        <w:tab/>
      </w:r>
    </w:p>
    <w:p w14:paraId="53443D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902.32</w:t>
      </w:r>
      <w:r>
        <w:rPr>
          <w:rFonts w:hint="eastAsia" w:ascii="Times New Roman" w:hAnsi="Times New Roman" w:eastAsia="仿宋_GB2312" w:cs="仿宋_GB2312"/>
          <w:color w:val="auto"/>
          <w:kern w:val="2"/>
          <w:sz w:val="32"/>
          <w:szCs w:val="32"/>
          <w:highlight w:val="none"/>
          <w:lang w:val="en-US" w:eastAsia="zh-CN" w:bidi="ar-SA"/>
        </w:rPr>
        <w:t>万元，其中：</w:t>
      </w:r>
    </w:p>
    <w:p w14:paraId="266F959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870.18</w:t>
      </w:r>
      <w:r>
        <w:rPr>
          <w:rFonts w:hint="eastAsia" w:ascii="Times New Roman" w:hAnsi="Times New Roman" w:eastAsia="仿宋_GB2312" w:cs="仿宋_GB2312"/>
          <w:color w:val="auto"/>
          <w:kern w:val="2"/>
          <w:sz w:val="32"/>
          <w:szCs w:val="32"/>
          <w:highlight w:val="none"/>
          <w:lang w:val="en-US" w:eastAsia="zh-CN" w:bidi="ar-SA"/>
        </w:rPr>
        <w:t>万元，主要包括：机关事业单位基本养老保险缴费</w:t>
      </w:r>
      <w:r>
        <w:rPr>
          <w:rFonts w:hint="eastAsia" w:eastAsia="仿宋_GB2312" w:cs="仿宋_GB2312"/>
          <w:color w:val="auto"/>
          <w:kern w:val="2"/>
          <w:sz w:val="32"/>
          <w:szCs w:val="32"/>
          <w:highlight w:val="none"/>
          <w:lang w:val="en-US" w:eastAsia="zh-CN" w:bidi="ar-SA"/>
        </w:rPr>
        <w:t>和</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eastAsia="仿宋_GB2312" w:cs="仿宋_GB2312"/>
          <w:color w:val="auto"/>
          <w:kern w:val="2"/>
          <w:sz w:val="32"/>
          <w:szCs w:val="32"/>
          <w:highlight w:val="none"/>
          <w:lang w:val="en-US" w:eastAsia="zh-CN" w:bidi="ar-SA"/>
        </w:rPr>
        <w:t>398.86万元</w:t>
      </w:r>
      <w:r>
        <w:rPr>
          <w:rFonts w:hint="eastAsia" w:ascii="Times New Roman" w:hAnsi="Times New Roman" w:eastAsia="仿宋_GB2312" w:cs="仿宋_GB2312"/>
          <w:color w:val="auto"/>
          <w:kern w:val="2"/>
          <w:sz w:val="32"/>
          <w:szCs w:val="32"/>
          <w:highlight w:val="none"/>
          <w:lang w:val="en-US" w:eastAsia="zh-CN" w:bidi="ar-SA"/>
        </w:rPr>
        <w:t>、抚恤金</w:t>
      </w:r>
      <w:r>
        <w:rPr>
          <w:rFonts w:hint="eastAsia" w:eastAsia="仿宋_GB2312" w:cs="仿宋_GB2312"/>
          <w:color w:val="auto"/>
          <w:kern w:val="2"/>
          <w:sz w:val="32"/>
          <w:szCs w:val="32"/>
          <w:highlight w:val="none"/>
          <w:lang w:val="en-US" w:eastAsia="zh-CN" w:bidi="ar-SA"/>
        </w:rPr>
        <w:t>19.9万元</w:t>
      </w:r>
      <w:r>
        <w:rPr>
          <w:rFonts w:hint="eastAsia" w:ascii="Times New Roman" w:hAnsi="Times New Roman" w:eastAsia="仿宋_GB2312" w:cs="仿宋_GB2312"/>
          <w:color w:val="auto"/>
          <w:kern w:val="2"/>
          <w:sz w:val="32"/>
          <w:szCs w:val="32"/>
          <w:highlight w:val="none"/>
          <w:lang w:val="en-US" w:eastAsia="zh-CN" w:bidi="ar-SA"/>
        </w:rPr>
        <w:t>、生活补助</w:t>
      </w:r>
      <w:r>
        <w:rPr>
          <w:rFonts w:hint="eastAsia" w:eastAsia="仿宋_GB2312" w:cs="仿宋_GB2312"/>
          <w:color w:val="auto"/>
          <w:kern w:val="2"/>
          <w:sz w:val="32"/>
          <w:szCs w:val="32"/>
          <w:highlight w:val="none"/>
          <w:lang w:val="en-US" w:eastAsia="zh-CN" w:bidi="ar-SA"/>
        </w:rPr>
        <w:t>403.46万元</w:t>
      </w:r>
      <w:r>
        <w:rPr>
          <w:rFonts w:hint="eastAsia" w:ascii="Times New Roman" w:hAnsi="Times New Roman" w:eastAsia="仿宋_GB2312" w:cs="仿宋_GB2312"/>
          <w:color w:val="auto"/>
          <w:kern w:val="2"/>
          <w:sz w:val="32"/>
          <w:szCs w:val="32"/>
          <w:highlight w:val="none"/>
          <w:lang w:val="en-US" w:eastAsia="zh-CN" w:bidi="ar-SA"/>
        </w:rPr>
        <w:t>、医疗费补助</w:t>
      </w:r>
      <w:r>
        <w:rPr>
          <w:rFonts w:hint="eastAsia" w:eastAsia="仿宋_GB2312" w:cs="仿宋_GB2312"/>
          <w:color w:val="auto"/>
          <w:kern w:val="2"/>
          <w:sz w:val="32"/>
          <w:szCs w:val="32"/>
          <w:highlight w:val="none"/>
          <w:lang w:val="en-US" w:eastAsia="zh-CN" w:bidi="ar-SA"/>
        </w:rPr>
        <w:t>32.03万元</w:t>
      </w:r>
      <w:r>
        <w:rPr>
          <w:rFonts w:hint="eastAsia" w:ascii="Times New Roman" w:hAnsi="Times New Roman" w:eastAsia="仿宋_GB2312" w:cs="仿宋_GB2312"/>
          <w:color w:val="auto"/>
          <w:kern w:val="2"/>
          <w:sz w:val="32"/>
          <w:szCs w:val="32"/>
          <w:highlight w:val="none"/>
          <w:lang w:val="en-US" w:eastAsia="zh-CN" w:bidi="ar-SA"/>
        </w:rPr>
        <w:t>、其他对个人和家庭的补助支出</w:t>
      </w:r>
      <w:r>
        <w:rPr>
          <w:rFonts w:hint="eastAsia" w:eastAsia="仿宋_GB2312" w:cs="仿宋_GB2312"/>
          <w:color w:val="auto"/>
          <w:kern w:val="2"/>
          <w:sz w:val="32"/>
          <w:szCs w:val="32"/>
          <w:highlight w:val="none"/>
          <w:lang w:val="en-US" w:eastAsia="zh-CN" w:bidi="ar-SA"/>
        </w:rPr>
        <w:t>15.93万元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32.14</w:t>
      </w:r>
      <w:r>
        <w:rPr>
          <w:rFonts w:hint="eastAsia" w:ascii="Times New Roman" w:hAnsi="Times New Roman" w:eastAsia="仿宋_GB2312" w:cs="仿宋_GB2312"/>
          <w:color w:val="auto"/>
          <w:kern w:val="2"/>
          <w:sz w:val="32"/>
          <w:szCs w:val="32"/>
          <w:highlight w:val="none"/>
          <w:lang w:val="en-US" w:eastAsia="zh-CN" w:bidi="ar-SA"/>
        </w:rPr>
        <w:t>万元，主要包括：其他商品和服务支出</w:t>
      </w:r>
      <w:r>
        <w:rPr>
          <w:rFonts w:hint="eastAsia" w:eastAsia="仿宋_GB2312" w:cs="仿宋_GB2312"/>
          <w:color w:val="auto"/>
          <w:kern w:val="2"/>
          <w:sz w:val="32"/>
          <w:szCs w:val="32"/>
          <w:highlight w:val="none"/>
          <w:lang w:val="en-US" w:eastAsia="zh-CN" w:bidi="ar-SA"/>
        </w:rPr>
        <w:t>32.14万元</w:t>
      </w:r>
      <w:r>
        <w:rPr>
          <w:rFonts w:hint="eastAsia" w:ascii="Times New Roman" w:hAnsi="Times New Roman" w:eastAsia="仿宋_GB2312" w:cs="仿宋_GB2312"/>
          <w:color w:val="auto"/>
          <w:kern w:val="2"/>
          <w:sz w:val="32"/>
          <w:szCs w:val="32"/>
          <w:highlight w:val="none"/>
          <w:lang w:val="en-US" w:eastAsia="zh-CN" w:bidi="ar-SA"/>
        </w:rPr>
        <w:t>。</w:t>
      </w:r>
    </w:p>
    <w:p w14:paraId="6689DDD9">
      <w:pPr>
        <w:spacing w:line="600" w:lineRule="exact"/>
        <w:ind w:firstLine="640"/>
        <w:outlineLvl w:val="1"/>
        <w:rPr>
          <w:rStyle w:val="30"/>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0"/>
      <w:bookmarkEnd w:id="31"/>
    </w:p>
    <w:p w14:paraId="4350A0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2B28A244">
      <w:pPr>
        <w:pStyle w:val="15"/>
        <w:widowControl w:val="0"/>
        <w:autoSpaceDN w:val="0"/>
        <w:adjustRightInd w:val="0"/>
        <w:snapToGrid w:val="0"/>
        <w:spacing w:beforeAutospacing="0" w:afterAutospacing="0" w:line="600" w:lineRule="exact"/>
        <w:ind w:firstLine="665" w:firstLineChars="208"/>
        <w:jc w:val="both"/>
        <w:outlineLvl w:val="2"/>
        <w:rPr>
          <w:rFonts w:ascii="仿宋_GB2312" w:eastAsia="仿宋_GB2312"/>
          <w:bCs/>
          <w:color w:val="000000"/>
          <w:sz w:val="32"/>
          <w:szCs w:val="32"/>
        </w:rPr>
      </w:pPr>
      <w:r>
        <w:rPr>
          <w:rFonts w:ascii="仿宋_GB2312" w:eastAsia="仿宋_GB2312"/>
          <w:sz w:val="32"/>
          <w:szCs w:val="32"/>
        </w:rPr>
        <w:t>202</w:t>
      </w:r>
      <w:r>
        <w:rPr>
          <w:rFonts w:hint="eastAsia" w:ascii="仿宋_GB2312" w:eastAsia="仿宋_GB2312"/>
          <w:sz w:val="32"/>
          <w:szCs w:val="32"/>
          <w:lang w:val="en-US" w:eastAsia="zh-CN"/>
        </w:rPr>
        <w:t>5</w:t>
      </w:r>
      <w:r>
        <w:rPr>
          <w:rFonts w:ascii="仿宋_GB2312" w:eastAsia="仿宋_GB2312"/>
          <w:sz w:val="32"/>
          <w:szCs w:val="32"/>
        </w:rPr>
        <w:t>年“三公”经费财政拨款支出决算为0万元，完成预算0%，</w:t>
      </w:r>
      <w:r>
        <w:rPr>
          <w:rFonts w:ascii="仿宋_GB2312" w:eastAsia="仿宋_GB2312"/>
          <w:bCs/>
          <w:color w:val="000000"/>
          <w:sz w:val="32"/>
          <w:szCs w:val="32"/>
        </w:rPr>
        <w:t>决算与202</w:t>
      </w:r>
      <w:r>
        <w:rPr>
          <w:rFonts w:hint="eastAsia" w:ascii="仿宋_GB2312" w:eastAsia="仿宋_GB2312"/>
          <w:bCs/>
          <w:color w:val="000000"/>
          <w:sz w:val="32"/>
          <w:szCs w:val="32"/>
          <w:lang w:val="en-US" w:eastAsia="zh-CN"/>
        </w:rPr>
        <w:t>4</w:t>
      </w:r>
      <w:r>
        <w:rPr>
          <w:rFonts w:ascii="仿宋_GB2312" w:eastAsia="仿宋_GB2312"/>
          <w:bCs/>
          <w:color w:val="000000"/>
          <w:sz w:val="32"/>
          <w:szCs w:val="32"/>
        </w:rPr>
        <w:t>预算数持平。</w:t>
      </w:r>
    </w:p>
    <w:p w14:paraId="5C69486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4EC347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463A6C32">
      <w:pPr>
        <w:spacing w:line="600" w:lineRule="exact"/>
        <w:ind w:firstLine="640" w:firstLineChars="20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06CFD9EB">
      <w:pPr>
        <w:numPr>
          <w:ilvl w:val="0"/>
          <w:numId w:val="0"/>
        </w:num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601A6A2">
      <w:pPr>
        <w:numPr>
          <w:ilvl w:val="0"/>
          <w:numId w:val="0"/>
        </w:numPr>
        <w:spacing w:line="600" w:lineRule="exact"/>
        <w:ind w:firstLine="640" w:firstLineChars="200"/>
        <w:rPr>
          <w:rFonts w:hint="eastAsia" w:ascii="仿宋_GB2312" w:eastAsia="仿宋_GB2312"/>
          <w:sz w:val="32"/>
          <w:szCs w:val="32"/>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仿宋_GB2312" w:eastAsia="仿宋_GB2312"/>
          <w:sz w:val="32"/>
          <w:szCs w:val="32"/>
          <w:lang w:val="en-US" w:eastAsia="zh-CN"/>
        </w:rPr>
        <w:t>公</w:t>
      </w:r>
      <w:r>
        <w:rPr>
          <w:rFonts w:hint="eastAsia" w:ascii="仿宋_GB2312" w:eastAsia="仿宋_GB2312"/>
          <w:sz w:val="32"/>
          <w:szCs w:val="32"/>
        </w:rPr>
        <w:t>务用车购置及运行维护费支出0万元,完成预算0</w:t>
      </w:r>
      <w:r>
        <w:rPr>
          <w:rFonts w:ascii="仿宋_GB2312" w:eastAsia="仿宋_GB2312"/>
          <w:sz w:val="32"/>
          <w:szCs w:val="32"/>
        </w:rPr>
        <w:t>%</w:t>
      </w:r>
      <w:r>
        <w:rPr>
          <w:rFonts w:hint="eastAsia" w:ascii="仿宋_GB2312" w:eastAsia="仿宋_GB2312"/>
          <w:sz w:val="32"/>
          <w:szCs w:val="32"/>
        </w:rPr>
        <w:t>。公务用车购置及运行维护费支出决算与</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持平。</w:t>
      </w:r>
    </w:p>
    <w:p w14:paraId="0C87EC5C">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2E4FF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16E7FA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仿宋_GB2312" w:eastAsia="仿宋_GB2312"/>
          <w:sz w:val="32"/>
          <w:szCs w:val="32"/>
        </w:rPr>
        <w:t>公务接待费支出决算与</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持平</w:t>
      </w:r>
      <w:r>
        <w:rPr>
          <w:rFonts w:hint="eastAsia" w:ascii="Times New Roman" w:hAnsi="Times New Roman" w:eastAsia="仿宋_GB2312" w:cs="仿宋_GB2312"/>
          <w:color w:val="auto"/>
          <w:kern w:val="2"/>
          <w:sz w:val="32"/>
          <w:szCs w:val="32"/>
          <w:highlight w:val="none"/>
          <w:lang w:val="en-US" w:eastAsia="zh-CN" w:bidi="ar-SA"/>
        </w:rPr>
        <w:t>。其中：</w:t>
      </w:r>
    </w:p>
    <w:p w14:paraId="131350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0262A3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43B229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77218"/>
      <w:bookmarkStart w:id="35" w:name="_Toc15396610"/>
    </w:p>
    <w:p w14:paraId="46CE5E25">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4"/>
      <w:bookmarkEnd w:id="35"/>
    </w:p>
    <w:p w14:paraId="64472D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 xml:space="preserve"> </w:t>
      </w:r>
    </w:p>
    <w:p w14:paraId="5D14CB5A">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6" w:name="_Toc15377219"/>
      <w:bookmarkStart w:id="37"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6"/>
      <w:bookmarkEnd w:id="37"/>
    </w:p>
    <w:p w14:paraId="4755855F">
      <w:pPr>
        <w:numPr>
          <w:ilvl w:val="0"/>
          <w:numId w:val="0"/>
        </w:numPr>
        <w:spacing w:line="600" w:lineRule="exact"/>
        <w:ind w:left="630" w:leftChars="0"/>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w:t>
      </w:r>
      <w:bookmarkStart w:id="38" w:name="_Toc15377221"/>
      <w:bookmarkStart w:id="39" w:name="_Toc15396612"/>
    </w:p>
    <w:p w14:paraId="769ECC8D">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8"/>
      <w:bookmarkEnd w:id="39"/>
    </w:p>
    <w:p w14:paraId="2D63A92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35DDC3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攀枝花市第四人民医院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w:t>
      </w:r>
    </w:p>
    <w:p w14:paraId="1DAC4FD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54AE19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攀枝花市第四人民医院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50.81</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41.81</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9</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医疗设备采购</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26.01</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51.19</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26.01</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51.19</w:t>
      </w:r>
      <w:r>
        <w:rPr>
          <w:rFonts w:hint="eastAsia" w:ascii="Times New Roman" w:hAnsi="Times New Roman" w:eastAsia="仿宋_GB2312" w:cs="仿宋_GB2312"/>
          <w:color w:val="auto"/>
          <w:kern w:val="2"/>
          <w:sz w:val="32"/>
          <w:szCs w:val="32"/>
          <w:highlight w:val="none"/>
          <w:lang w:val="en-US" w:eastAsia="zh-CN" w:bidi="ar-SA"/>
        </w:rPr>
        <w:t>%。</w:t>
      </w:r>
    </w:p>
    <w:p w14:paraId="2ABAFFC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7E57AC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攀枝花市第四人民医院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6</w:t>
      </w:r>
      <w:r>
        <w:rPr>
          <w:rFonts w:hint="eastAsia" w:ascii="Times New Roman" w:hAnsi="Times New Roman" w:eastAsia="仿宋_GB2312" w:cs="仿宋_GB2312"/>
          <w:color w:val="auto"/>
          <w:kern w:val="2"/>
          <w:sz w:val="32"/>
          <w:szCs w:val="32"/>
          <w:highlight w:val="none"/>
          <w:lang w:val="en-US" w:eastAsia="zh-CN" w:bidi="ar-SA"/>
        </w:rPr>
        <w:t>辆，</w:t>
      </w:r>
      <w:r>
        <w:rPr>
          <w:rFonts w:hint="eastAsia" w:ascii="仿宋_GB2312" w:eastAsia="仿宋_GB2312"/>
          <w:sz w:val="32"/>
          <w:szCs w:val="32"/>
        </w:rPr>
        <w:t>其他用车主要是用于日常业务及公务出行。</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1052E4E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8E3E242">
      <w:pPr>
        <w:pStyle w:val="2"/>
        <w:spacing w:before="93" w:beforeLines="0"/>
        <w:ind w:firstLine="640" w:firstLineChars="200"/>
        <w:rPr>
          <w:rFonts w:hint="eastAsia" w:cs="仿宋_GB2312"/>
          <w:color w:val="000000"/>
          <w:sz w:val="32"/>
          <w:szCs w:val="32"/>
        </w:rPr>
      </w:pPr>
      <w:r>
        <w:rPr>
          <w:rFonts w:hint="eastAsia" w:cs="仿宋_GB2312"/>
          <w:color w:val="000000"/>
          <w:sz w:val="32"/>
          <w:szCs w:val="32"/>
        </w:rPr>
        <w:t>根据预算绩效管理要求，本单位在202</w:t>
      </w:r>
      <w:r>
        <w:rPr>
          <w:rFonts w:hint="eastAsia" w:cs="仿宋_GB2312"/>
          <w:color w:val="000000"/>
          <w:sz w:val="32"/>
          <w:szCs w:val="32"/>
          <w:lang w:val="en-US" w:eastAsia="zh-CN"/>
        </w:rPr>
        <w:t>5</w:t>
      </w:r>
      <w:r>
        <w:rPr>
          <w:rFonts w:hint="eastAsia" w:cs="仿宋_GB2312"/>
          <w:color w:val="000000"/>
          <w:sz w:val="32"/>
          <w:szCs w:val="32"/>
        </w:rPr>
        <w:t>年度预算编制阶段，组织对202</w:t>
      </w:r>
      <w:r>
        <w:rPr>
          <w:rFonts w:hint="eastAsia" w:cs="仿宋_GB2312"/>
          <w:color w:val="000000"/>
          <w:sz w:val="32"/>
          <w:szCs w:val="32"/>
          <w:lang w:val="en-US" w:eastAsia="zh-CN"/>
        </w:rPr>
        <w:t>5</w:t>
      </w:r>
      <w:r>
        <w:rPr>
          <w:rFonts w:hint="eastAsia" w:cs="仿宋_GB2312"/>
          <w:color w:val="000000"/>
          <w:sz w:val="32"/>
          <w:szCs w:val="32"/>
        </w:rPr>
        <w:t>年基本养老保险项目（项目名称）等</w:t>
      </w:r>
      <w:r>
        <w:rPr>
          <w:rFonts w:hint="eastAsia" w:cs="仿宋_GB2312"/>
          <w:color w:val="000000"/>
          <w:sz w:val="32"/>
          <w:szCs w:val="32"/>
          <w:lang w:val="en-US" w:eastAsia="zh-CN"/>
        </w:rPr>
        <w:t>25</w:t>
      </w:r>
      <w:r>
        <w:rPr>
          <w:rFonts w:hint="eastAsia" w:cs="仿宋_GB2312"/>
          <w:color w:val="000000"/>
          <w:sz w:val="32"/>
          <w:szCs w:val="32"/>
        </w:rPr>
        <w:t>个项目开展了预算事前绩效评估，对</w:t>
      </w:r>
      <w:r>
        <w:rPr>
          <w:rFonts w:hint="eastAsia" w:cs="仿宋_GB2312"/>
          <w:color w:val="000000"/>
          <w:sz w:val="32"/>
          <w:szCs w:val="32"/>
          <w:lang w:val="en-US" w:eastAsia="zh-CN"/>
        </w:rPr>
        <w:t>25</w:t>
      </w:r>
      <w:r>
        <w:rPr>
          <w:rFonts w:hint="eastAsia" w:cs="仿宋_GB2312"/>
          <w:color w:val="000000"/>
          <w:sz w:val="32"/>
          <w:szCs w:val="32"/>
        </w:rPr>
        <w:t>个项目编制了绩效目标，预算执行过程中，选取</w:t>
      </w:r>
      <w:r>
        <w:rPr>
          <w:rFonts w:hint="eastAsia" w:cs="仿宋_GB2312"/>
          <w:color w:val="000000"/>
          <w:sz w:val="32"/>
          <w:szCs w:val="32"/>
          <w:lang w:val="en-US" w:eastAsia="zh-CN"/>
        </w:rPr>
        <w:t>25</w:t>
      </w:r>
      <w:r>
        <w:rPr>
          <w:rFonts w:hint="eastAsia" w:cs="仿宋_GB2312"/>
          <w:color w:val="000000"/>
          <w:sz w:val="32"/>
          <w:szCs w:val="32"/>
        </w:rPr>
        <w:t>个项目开展绩效监控，组织对</w:t>
      </w:r>
      <w:r>
        <w:rPr>
          <w:rFonts w:hint="eastAsia" w:cs="仿宋_GB2312"/>
          <w:color w:val="000000"/>
          <w:sz w:val="32"/>
          <w:szCs w:val="32"/>
          <w:lang w:val="en-US" w:eastAsia="zh-CN"/>
        </w:rPr>
        <w:t>25</w:t>
      </w:r>
      <w:r>
        <w:rPr>
          <w:rFonts w:hint="eastAsia" w:cs="仿宋_GB2312"/>
          <w:color w:val="000000"/>
          <w:sz w:val="32"/>
          <w:szCs w:val="32"/>
        </w:rPr>
        <w:t>个项目开展绩效自评，绩效自评表详见第四部分附件。</w:t>
      </w:r>
    </w:p>
    <w:p w14:paraId="3BAFC7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FF9510A">
      <w:pPr>
        <w:pStyle w:val="2"/>
        <w:rPr>
          <w:rFonts w:hint="eastAsia" w:ascii="Times New Roman" w:hAnsi="Times New Roman" w:eastAsia="仿宋_GB2312" w:cs="仿宋_GB2312"/>
          <w:color w:val="auto"/>
          <w:kern w:val="2"/>
          <w:sz w:val="32"/>
          <w:szCs w:val="32"/>
          <w:highlight w:val="none"/>
          <w:lang w:val="en-US" w:eastAsia="zh-CN" w:bidi="ar-SA"/>
        </w:rPr>
      </w:pPr>
    </w:p>
    <w:p w14:paraId="602EE97C">
      <w:pPr>
        <w:pStyle w:val="2"/>
        <w:rPr>
          <w:rFonts w:hint="eastAsia" w:ascii="Times New Roman" w:hAnsi="Times New Roman" w:eastAsia="仿宋_GB2312" w:cs="仿宋_GB2312"/>
          <w:color w:val="auto"/>
          <w:kern w:val="2"/>
          <w:sz w:val="32"/>
          <w:szCs w:val="32"/>
          <w:highlight w:val="none"/>
          <w:lang w:val="en-US" w:eastAsia="zh-CN" w:bidi="ar-SA"/>
        </w:rPr>
      </w:pPr>
    </w:p>
    <w:p w14:paraId="60D9D438">
      <w:pPr>
        <w:pStyle w:val="2"/>
        <w:rPr>
          <w:rFonts w:hint="eastAsia" w:ascii="Times New Roman" w:hAnsi="Times New Roman" w:eastAsia="仿宋_GB2312" w:cs="仿宋_GB2312"/>
          <w:color w:val="auto"/>
          <w:kern w:val="2"/>
          <w:sz w:val="32"/>
          <w:szCs w:val="32"/>
          <w:highlight w:val="none"/>
          <w:lang w:val="en-US" w:eastAsia="zh-CN" w:bidi="ar-SA"/>
        </w:rPr>
      </w:pPr>
    </w:p>
    <w:p w14:paraId="0ACCA3B9">
      <w:pPr>
        <w:pStyle w:val="2"/>
        <w:rPr>
          <w:rFonts w:hint="eastAsia" w:ascii="Times New Roman" w:hAnsi="Times New Roman" w:eastAsia="仿宋_GB2312" w:cs="仿宋_GB2312"/>
          <w:color w:val="auto"/>
          <w:kern w:val="2"/>
          <w:sz w:val="32"/>
          <w:szCs w:val="32"/>
          <w:highlight w:val="none"/>
          <w:lang w:val="en-US" w:eastAsia="zh-CN" w:bidi="ar-SA"/>
        </w:rPr>
      </w:pPr>
    </w:p>
    <w:p w14:paraId="7F5DF081">
      <w:pPr>
        <w:pStyle w:val="2"/>
        <w:rPr>
          <w:rFonts w:hint="eastAsia" w:ascii="Times New Roman" w:hAnsi="Times New Roman" w:eastAsia="仿宋_GB2312" w:cs="仿宋_GB2312"/>
          <w:color w:val="auto"/>
          <w:kern w:val="2"/>
          <w:sz w:val="32"/>
          <w:szCs w:val="32"/>
          <w:highlight w:val="none"/>
          <w:lang w:val="en-US" w:eastAsia="zh-CN" w:bidi="ar-SA"/>
        </w:rPr>
      </w:pPr>
    </w:p>
    <w:p w14:paraId="484186EA">
      <w:pPr>
        <w:pStyle w:val="2"/>
        <w:rPr>
          <w:rFonts w:hint="eastAsia" w:ascii="Times New Roman" w:hAnsi="Times New Roman" w:eastAsia="仿宋_GB2312" w:cs="仿宋_GB2312"/>
          <w:color w:val="auto"/>
          <w:kern w:val="2"/>
          <w:sz w:val="32"/>
          <w:szCs w:val="32"/>
          <w:highlight w:val="none"/>
          <w:lang w:val="en-US" w:eastAsia="zh-CN" w:bidi="ar-SA"/>
        </w:rPr>
      </w:pPr>
    </w:p>
    <w:p w14:paraId="5AD9144E">
      <w:pPr>
        <w:pStyle w:val="2"/>
        <w:rPr>
          <w:rFonts w:hint="eastAsia" w:ascii="Times New Roman" w:hAnsi="Times New Roman" w:eastAsia="仿宋_GB2312" w:cs="仿宋_GB2312"/>
          <w:color w:val="auto"/>
          <w:kern w:val="2"/>
          <w:sz w:val="32"/>
          <w:szCs w:val="32"/>
          <w:highlight w:val="none"/>
          <w:lang w:val="en-US" w:eastAsia="zh-CN" w:bidi="ar-SA"/>
        </w:rPr>
      </w:pPr>
    </w:p>
    <w:p w14:paraId="726E9441">
      <w:pPr>
        <w:pStyle w:val="2"/>
        <w:rPr>
          <w:rFonts w:hint="eastAsia" w:ascii="Times New Roman" w:hAnsi="Times New Roman" w:eastAsia="仿宋_GB2312" w:cs="仿宋_GB2312"/>
          <w:color w:val="auto"/>
          <w:kern w:val="2"/>
          <w:sz w:val="32"/>
          <w:szCs w:val="32"/>
          <w:highlight w:val="none"/>
          <w:lang w:val="en-US" w:eastAsia="zh-CN" w:bidi="ar-SA"/>
        </w:rPr>
      </w:pPr>
    </w:p>
    <w:p w14:paraId="264830A2">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96613"/>
      <w:bookmarkStart w:id="4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4A2C632C">
      <w:pPr>
        <w:spacing w:line="600" w:lineRule="exact"/>
        <w:jc w:val="left"/>
        <w:rPr>
          <w:rFonts w:ascii="Times New Roman" w:hAnsi="Times New Roman"/>
          <w:b/>
          <w:color w:val="auto"/>
          <w:sz w:val="44"/>
          <w:szCs w:val="44"/>
          <w:highlight w:val="none"/>
        </w:rPr>
      </w:pPr>
    </w:p>
    <w:p w14:paraId="69C11D0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497EBFAF">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r>
        <w:rPr>
          <w:rFonts w:hint="eastAsia" w:eastAsia="仿宋_GB2312" w:cs="仿宋_GB2312"/>
          <w:color w:val="auto"/>
          <w:kern w:val="2"/>
          <w:sz w:val="32"/>
          <w:szCs w:val="32"/>
          <w:highlight w:val="none"/>
          <w:lang w:val="en-US" w:eastAsia="zh-CN" w:bidi="ar-SA"/>
        </w:rPr>
        <w:t xml:space="preserve"> </w:t>
      </w:r>
    </w:p>
    <w:p w14:paraId="29E13F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3C3865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p>
    <w:p w14:paraId="278602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4455C1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79116F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0FE44F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5B25AE95">
      <w:pPr>
        <w:ind w:firstLine="640" w:firstLineChars="200"/>
        <w:rPr>
          <w:rFonts w:ascii="仿宋_GB2312" w:eastAsia="仿宋_GB2312"/>
          <w:color w:val="000000"/>
          <w:sz w:val="32"/>
          <w:szCs w:val="32"/>
        </w:rPr>
      </w:pPr>
      <w:r>
        <w:rPr>
          <w:rFonts w:hint="eastAsia" w:ascii="Times New Roman" w:hAnsi="Times New Roman" w:eastAsia="仿宋_GB2312" w:cs="仿宋_GB2312"/>
          <w:color w:val="auto"/>
          <w:kern w:val="2"/>
          <w:sz w:val="32"/>
          <w:szCs w:val="32"/>
          <w:highlight w:val="none"/>
          <w:lang w:val="en-US" w:eastAsia="zh-CN" w:bidi="ar-SA"/>
        </w:rPr>
        <w:t>9.</w:t>
      </w:r>
      <w:r>
        <w:rPr>
          <w:rFonts w:hint="eastAsia" w:ascii="仿宋_GB2312" w:eastAsia="仿宋_GB2312"/>
          <w:color w:val="000000"/>
          <w:sz w:val="32"/>
          <w:szCs w:val="32"/>
        </w:rPr>
        <w:t>一般公共服务（类）组织事务（款）其他组织事务支出（项）：指除行政运行、一般行政管理事务、机关服务、公务员事务、事业运行外的用于中国共产党组织部门的事务支出。</w:t>
      </w:r>
    </w:p>
    <w:p w14:paraId="23AE6792">
      <w:pPr>
        <w:spacing w:line="600" w:lineRule="exact"/>
        <w:ind w:firstLine="640"/>
        <w:rPr>
          <w:rFonts w:hint="eastAsia" w:ascii="仿宋_GB2312" w:eastAsia="仿宋_GB2312"/>
          <w:color w:val="000000"/>
          <w:sz w:val="32"/>
          <w:szCs w:val="32"/>
        </w:rPr>
      </w:pPr>
      <w:r>
        <w:rPr>
          <w:rFonts w:hint="eastAsia" w:ascii="Times New Roman" w:hAnsi="Times New Roman" w:eastAsia="仿宋_GB2312" w:cs="仿宋_GB2312"/>
          <w:color w:val="auto"/>
          <w:kern w:val="2"/>
          <w:sz w:val="32"/>
          <w:szCs w:val="32"/>
          <w:highlight w:val="none"/>
          <w:lang w:val="en-US" w:eastAsia="zh-CN" w:bidi="ar-SA"/>
        </w:rPr>
        <w:t>10.</w:t>
      </w:r>
      <w:r>
        <w:rPr>
          <w:rFonts w:hint="eastAsia" w:ascii="仿宋_GB2312" w:eastAsia="仿宋_GB2312"/>
          <w:color w:val="000000"/>
          <w:sz w:val="32"/>
          <w:szCs w:val="32"/>
        </w:rPr>
        <w:t>社会保障和就业（类）行政事业单位养老支出（款）事业单位离退休（项）：指实行归口管理的事业单位开支的离退休经费。</w:t>
      </w:r>
    </w:p>
    <w:p w14:paraId="15DF390B">
      <w:pPr>
        <w:ind w:firstLine="640" w:firstLineChars="200"/>
        <w:rPr>
          <w:rFonts w:ascii="仿宋_GB2312" w:eastAsia="仿宋_GB2312"/>
          <w:color w:val="000000"/>
          <w:sz w:val="32"/>
          <w:szCs w:val="32"/>
        </w:rPr>
      </w:pPr>
      <w:r>
        <w:rPr>
          <w:rFonts w:hint="eastAsia" w:ascii="Times New Roman" w:hAnsi="Times New Roman" w:eastAsia="仿宋_GB2312" w:cs="仿宋_GB2312"/>
          <w:color w:val="auto"/>
          <w:kern w:val="2"/>
          <w:sz w:val="32"/>
          <w:szCs w:val="32"/>
          <w:highlight w:val="none"/>
          <w:lang w:val="en-US" w:eastAsia="zh-CN" w:bidi="ar-SA"/>
        </w:rPr>
        <w:t>11.</w:t>
      </w:r>
      <w:r>
        <w:rPr>
          <w:rFonts w:hint="eastAsia" w:ascii="仿宋_GB2312" w:eastAsia="仿宋_GB2312"/>
          <w:color w:val="000000"/>
          <w:sz w:val="32"/>
          <w:szCs w:val="32"/>
        </w:rPr>
        <w:t>社会保障和就业（类）抚恤（款）死亡抚恤（项）：指按规定用于烈士和牺牲、病故人员家属的一次性和定期抚恤金以及丧葬补助费。</w:t>
      </w:r>
    </w:p>
    <w:p w14:paraId="1564815D">
      <w:pPr>
        <w:ind w:firstLine="640" w:firstLineChars="200"/>
        <w:rPr>
          <w:rFonts w:ascii="仿宋_GB2312" w:eastAsia="仿宋_GB2312"/>
          <w:color w:val="000000"/>
          <w:sz w:val="32"/>
          <w:szCs w:val="32"/>
        </w:rPr>
      </w:pPr>
      <w:r>
        <w:rPr>
          <w:rFonts w:hint="eastAsia" w:ascii="Times New Roman" w:hAnsi="Times New Roman" w:eastAsia="仿宋_GB2312" w:cs="仿宋_GB2312"/>
          <w:color w:val="auto"/>
          <w:kern w:val="2"/>
          <w:sz w:val="32"/>
          <w:szCs w:val="32"/>
          <w:highlight w:val="none"/>
          <w:lang w:val="en-US" w:eastAsia="zh-CN" w:bidi="ar-SA"/>
        </w:rPr>
        <w:t>12.</w:t>
      </w:r>
      <w:r>
        <w:rPr>
          <w:rFonts w:hint="eastAsia" w:ascii="仿宋_GB2312" w:eastAsia="仿宋_GB2312"/>
          <w:color w:val="000000"/>
          <w:sz w:val="32"/>
          <w:szCs w:val="32"/>
        </w:rPr>
        <w:t>社会保障和就业（类）其他社会保障和就业支出（款）其他社会保障和就业支出（项）：指除人力资源和社会保障管理事务、民政管理事务、补充全国社会保障基金、行政事业单位离退休、企业改革补助、就业补助、抚恤、退役安置、社会福利、残疾人事业、红十字事业、最低生活保障、临时救助、特困人员救助供养、补充道路交通事故社会救助基金、其他生活救助、财政对基本养老保险基金的补助、财政对其他社会保险基金、退役军人管理事务外的用于社会保障和就业方面的支出。</w:t>
      </w:r>
    </w:p>
    <w:p w14:paraId="47F388B7">
      <w:pPr>
        <w:ind w:firstLine="640" w:firstLineChars="200"/>
        <w:rPr>
          <w:rFonts w:ascii="仿宋_GB2312" w:eastAsia="仿宋_GB2312"/>
          <w:color w:val="000000"/>
          <w:sz w:val="32"/>
          <w:szCs w:val="32"/>
        </w:rPr>
      </w:pPr>
      <w:r>
        <w:rPr>
          <w:rFonts w:hint="eastAsia" w:ascii="Times New Roman" w:hAnsi="Times New Roman" w:eastAsia="仿宋_GB2312" w:cs="仿宋_GB2312"/>
          <w:color w:val="auto"/>
          <w:kern w:val="2"/>
          <w:sz w:val="32"/>
          <w:szCs w:val="32"/>
          <w:highlight w:val="none"/>
          <w:lang w:val="en-US" w:eastAsia="zh-CN" w:bidi="ar-SA"/>
        </w:rPr>
        <w:t>13.</w:t>
      </w:r>
      <w:r>
        <w:rPr>
          <w:rFonts w:hint="eastAsia" w:ascii="仿宋_GB2312" w:eastAsia="仿宋_GB2312"/>
          <w:color w:val="000000"/>
          <w:sz w:val="32"/>
          <w:szCs w:val="32"/>
        </w:rPr>
        <w:t>卫生健康支出（类）公立医院（款）传染病（项）：指反映卫生健康部门所属传染病医院的支出</w:t>
      </w:r>
      <w:r>
        <w:rPr>
          <w:rFonts w:ascii="仿宋_GB2312" w:eastAsia="仿宋_GB2312"/>
          <w:color w:val="000000"/>
          <w:sz w:val="32"/>
          <w:szCs w:val="32"/>
        </w:rPr>
        <w:t>。</w:t>
      </w:r>
    </w:p>
    <w:p w14:paraId="6D3451DE">
      <w:pPr>
        <w:ind w:firstLine="640" w:firstLineChars="200"/>
        <w:rPr>
          <w:rFonts w:ascii="仿宋_GB2312" w:eastAsia="仿宋_GB2312"/>
          <w:color w:val="000000"/>
          <w:sz w:val="32"/>
          <w:szCs w:val="32"/>
        </w:rPr>
      </w:pPr>
      <w:r>
        <w:rPr>
          <w:rFonts w:hint="eastAsia" w:ascii="Times New Roman" w:hAnsi="Times New Roman" w:eastAsia="仿宋_GB2312" w:cs="仿宋_GB2312"/>
          <w:color w:val="auto"/>
          <w:kern w:val="2"/>
          <w:sz w:val="32"/>
          <w:szCs w:val="32"/>
          <w:highlight w:val="none"/>
          <w:lang w:val="en-US" w:eastAsia="zh-CN" w:bidi="ar-SA"/>
        </w:rPr>
        <w:t>14.</w:t>
      </w:r>
      <w:r>
        <w:rPr>
          <w:rFonts w:hint="eastAsia" w:ascii="仿宋_GB2312" w:eastAsia="仿宋_GB2312"/>
          <w:color w:val="000000"/>
          <w:sz w:val="32"/>
          <w:szCs w:val="32"/>
        </w:rPr>
        <w:t>卫生健康支出（类）公共卫生（款）基本公共卫生服务（项）：指反映基本公共卫生支出</w:t>
      </w:r>
      <w:r>
        <w:rPr>
          <w:rFonts w:ascii="仿宋_GB2312" w:eastAsia="仿宋_GB2312"/>
          <w:color w:val="000000"/>
          <w:sz w:val="32"/>
          <w:szCs w:val="32"/>
        </w:rPr>
        <w:t>。</w:t>
      </w:r>
    </w:p>
    <w:p w14:paraId="5B3CAA43">
      <w:pPr>
        <w:ind w:firstLine="640" w:firstLineChars="200"/>
        <w:rPr>
          <w:rFonts w:ascii="仿宋_GB2312" w:eastAsia="仿宋_GB2312"/>
          <w:color w:val="000000"/>
          <w:sz w:val="32"/>
          <w:szCs w:val="32"/>
        </w:rPr>
      </w:pPr>
      <w:r>
        <w:rPr>
          <w:rFonts w:hint="eastAsia" w:ascii="Times New Roman" w:hAnsi="Times New Roman" w:eastAsia="仿宋_GB2312" w:cs="仿宋_GB2312"/>
          <w:color w:val="auto"/>
          <w:kern w:val="2"/>
          <w:sz w:val="32"/>
          <w:szCs w:val="32"/>
          <w:highlight w:val="none"/>
          <w:lang w:val="en-US" w:eastAsia="zh-CN" w:bidi="ar-SA"/>
        </w:rPr>
        <w:t>15.</w:t>
      </w:r>
      <w:r>
        <w:rPr>
          <w:rFonts w:hint="eastAsia" w:ascii="仿宋_GB2312" w:eastAsia="仿宋_GB2312"/>
          <w:color w:val="000000"/>
          <w:sz w:val="32"/>
          <w:szCs w:val="32"/>
        </w:rPr>
        <w:t>卫生健康支出（类）公共卫生（款）重大公共卫生服务（项）：指反映重大疾病预防控制等重大公共卫生服务项目支出</w:t>
      </w:r>
      <w:r>
        <w:rPr>
          <w:rFonts w:ascii="仿宋_GB2312" w:eastAsia="仿宋_GB2312"/>
          <w:color w:val="000000"/>
          <w:sz w:val="32"/>
          <w:szCs w:val="32"/>
        </w:rPr>
        <w:t>。</w:t>
      </w:r>
    </w:p>
    <w:p w14:paraId="2C1978A5">
      <w:pPr>
        <w:ind w:firstLine="640" w:firstLineChars="200"/>
        <w:rPr>
          <w:rFonts w:ascii="仿宋_GB2312" w:eastAsia="仿宋_GB2312"/>
          <w:color w:val="000000"/>
          <w:sz w:val="32"/>
          <w:szCs w:val="32"/>
        </w:rPr>
      </w:pPr>
      <w:r>
        <w:rPr>
          <w:rFonts w:hint="eastAsia" w:ascii="Times New Roman" w:hAnsi="Times New Roman" w:eastAsia="仿宋_GB2312" w:cs="仿宋_GB2312"/>
          <w:color w:val="auto"/>
          <w:kern w:val="2"/>
          <w:sz w:val="32"/>
          <w:szCs w:val="32"/>
          <w:highlight w:val="none"/>
          <w:lang w:val="en-US" w:eastAsia="zh-CN" w:bidi="ar-SA"/>
        </w:rPr>
        <w:t>16.</w:t>
      </w:r>
      <w:r>
        <w:rPr>
          <w:rFonts w:hint="eastAsia" w:ascii="仿宋_GB2312" w:eastAsia="仿宋_GB2312"/>
          <w:color w:val="000000"/>
          <w:sz w:val="32"/>
          <w:szCs w:val="32"/>
        </w:rPr>
        <w:t>卫生健康支出（类）公共卫生（款）突发公共卫生事件应急处理（项）：指反映用于突发公共卫生事件应急处理支出</w:t>
      </w:r>
      <w:r>
        <w:rPr>
          <w:rFonts w:ascii="仿宋_GB2312" w:eastAsia="仿宋_GB2312"/>
          <w:color w:val="000000"/>
          <w:sz w:val="32"/>
          <w:szCs w:val="32"/>
        </w:rPr>
        <w:t>。</w:t>
      </w:r>
    </w:p>
    <w:p w14:paraId="719062D9">
      <w:pPr>
        <w:ind w:firstLine="640" w:firstLineChars="200"/>
        <w:rPr>
          <w:rFonts w:ascii="仿宋_GB2312" w:eastAsia="仿宋_GB2312"/>
          <w:color w:val="000000"/>
          <w:sz w:val="32"/>
          <w:szCs w:val="32"/>
        </w:rPr>
      </w:pPr>
      <w:r>
        <w:rPr>
          <w:rFonts w:hint="eastAsia" w:ascii="Times New Roman" w:hAnsi="Times New Roman" w:eastAsia="仿宋_GB2312" w:cs="仿宋_GB2312"/>
          <w:color w:val="auto"/>
          <w:kern w:val="2"/>
          <w:sz w:val="32"/>
          <w:szCs w:val="32"/>
          <w:highlight w:val="none"/>
          <w:lang w:val="en-US" w:eastAsia="zh-CN" w:bidi="ar-SA"/>
        </w:rPr>
        <w:t>17.</w:t>
      </w:r>
      <w:r>
        <w:rPr>
          <w:rFonts w:hint="eastAsia" w:ascii="仿宋_GB2312" w:eastAsia="仿宋_GB2312"/>
          <w:color w:val="000000"/>
          <w:sz w:val="32"/>
          <w:szCs w:val="32"/>
        </w:rPr>
        <w:t>卫生健康支出（类）其他卫生健康支出（款）其他卫生健康支出（项）：指除卫生健康管理事务、公立医院、基层医疗卫生机构、公共卫生、中医药、计划生育事务、行政事业单位医疗、财政对基本医疗保险基金的补助、医疗救助、优抚对象医疗、医疗保障管理事务、行政运行、老龄卫生健康事务以外的其他用于卫生健康方面的支出。</w:t>
      </w:r>
    </w:p>
    <w:p w14:paraId="770F13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56A67C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31B2CC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53CF09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85EF1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AB1FF68">
      <w:pPr>
        <w:spacing w:line="600" w:lineRule="exact"/>
        <w:jc w:val="center"/>
        <w:rPr>
          <w:rFonts w:hint="eastAsia" w:ascii="Times New Roman" w:hAnsi="Times New Roman" w:eastAsia="黑体"/>
          <w:color w:val="auto"/>
          <w:sz w:val="44"/>
          <w:szCs w:val="44"/>
          <w:highlight w:val="none"/>
        </w:rPr>
      </w:pPr>
      <w:bookmarkStart w:id="45" w:name="_Toc15396614"/>
      <w:bookmarkStart w:id="46" w:name="_Toc15377226"/>
    </w:p>
    <w:p w14:paraId="3FC2B1FA">
      <w:pPr>
        <w:spacing w:line="600" w:lineRule="exact"/>
        <w:jc w:val="center"/>
        <w:rPr>
          <w:rFonts w:hint="eastAsia" w:ascii="Times New Roman" w:hAnsi="Times New Roman" w:eastAsia="黑体"/>
          <w:color w:val="auto"/>
          <w:sz w:val="44"/>
          <w:szCs w:val="44"/>
          <w:highlight w:val="none"/>
        </w:rPr>
      </w:pPr>
    </w:p>
    <w:p w14:paraId="087A80DA">
      <w:pPr>
        <w:spacing w:line="600" w:lineRule="exact"/>
        <w:jc w:val="center"/>
        <w:rPr>
          <w:rFonts w:hint="eastAsia" w:ascii="Times New Roman" w:hAnsi="Times New Roman" w:eastAsia="黑体"/>
          <w:color w:val="auto"/>
          <w:sz w:val="44"/>
          <w:szCs w:val="44"/>
          <w:highlight w:val="none"/>
        </w:rPr>
      </w:pPr>
    </w:p>
    <w:p w14:paraId="6B44D1BD">
      <w:pPr>
        <w:spacing w:line="600" w:lineRule="exact"/>
        <w:jc w:val="center"/>
        <w:rPr>
          <w:rFonts w:hint="eastAsia" w:ascii="Times New Roman" w:hAnsi="Times New Roman" w:eastAsia="黑体"/>
          <w:color w:val="auto"/>
          <w:sz w:val="44"/>
          <w:szCs w:val="44"/>
          <w:highlight w:val="none"/>
        </w:rPr>
      </w:pPr>
    </w:p>
    <w:p w14:paraId="19ADEF92">
      <w:pPr>
        <w:spacing w:line="600" w:lineRule="exact"/>
        <w:jc w:val="center"/>
        <w:rPr>
          <w:rFonts w:hint="eastAsia" w:ascii="Times New Roman" w:hAnsi="Times New Roman" w:eastAsia="黑体"/>
          <w:color w:val="auto"/>
          <w:sz w:val="44"/>
          <w:szCs w:val="44"/>
          <w:highlight w:val="none"/>
        </w:rPr>
      </w:pPr>
    </w:p>
    <w:p w14:paraId="420570CD">
      <w:pPr>
        <w:spacing w:line="600" w:lineRule="exact"/>
        <w:jc w:val="center"/>
        <w:rPr>
          <w:rFonts w:hint="eastAsia" w:ascii="Times New Roman" w:hAnsi="Times New Roman" w:eastAsia="黑体"/>
          <w:color w:val="auto"/>
          <w:sz w:val="44"/>
          <w:szCs w:val="44"/>
          <w:highlight w:val="none"/>
        </w:rPr>
      </w:pPr>
    </w:p>
    <w:p w14:paraId="39493FC8">
      <w:pPr>
        <w:spacing w:line="600" w:lineRule="exact"/>
        <w:jc w:val="center"/>
        <w:rPr>
          <w:rFonts w:hint="eastAsia" w:ascii="Times New Roman" w:hAnsi="Times New Roman" w:eastAsia="黑体"/>
          <w:color w:val="auto"/>
          <w:sz w:val="44"/>
          <w:szCs w:val="44"/>
          <w:highlight w:val="none"/>
        </w:rPr>
      </w:pPr>
    </w:p>
    <w:p w14:paraId="14BBA50C">
      <w:pPr>
        <w:spacing w:line="600" w:lineRule="exact"/>
        <w:jc w:val="center"/>
        <w:rPr>
          <w:rFonts w:hint="eastAsia" w:ascii="Times New Roman" w:hAnsi="Times New Roman" w:eastAsia="黑体"/>
          <w:color w:val="auto"/>
          <w:sz w:val="44"/>
          <w:szCs w:val="44"/>
          <w:highlight w:val="none"/>
        </w:rPr>
      </w:pPr>
    </w:p>
    <w:p w14:paraId="0AD4BDF8">
      <w:pPr>
        <w:spacing w:line="600" w:lineRule="exact"/>
        <w:jc w:val="center"/>
        <w:rPr>
          <w:rFonts w:hint="eastAsia" w:ascii="Times New Roman" w:hAnsi="Times New Roman" w:eastAsia="黑体"/>
          <w:color w:val="auto"/>
          <w:sz w:val="44"/>
          <w:szCs w:val="44"/>
          <w:highlight w:val="none"/>
        </w:rPr>
      </w:pPr>
    </w:p>
    <w:p w14:paraId="77DC25BD">
      <w:pPr>
        <w:spacing w:line="600" w:lineRule="exact"/>
        <w:jc w:val="center"/>
        <w:rPr>
          <w:rFonts w:hint="eastAsia" w:ascii="Times New Roman" w:hAnsi="Times New Roman" w:eastAsia="黑体"/>
          <w:color w:val="auto"/>
          <w:sz w:val="44"/>
          <w:szCs w:val="44"/>
          <w:highlight w:val="none"/>
        </w:rPr>
      </w:pPr>
    </w:p>
    <w:p w14:paraId="0FBD1502">
      <w:pPr>
        <w:spacing w:line="600" w:lineRule="exact"/>
        <w:jc w:val="center"/>
        <w:rPr>
          <w:rFonts w:hint="eastAsia" w:ascii="Times New Roman" w:hAnsi="Times New Roman" w:eastAsia="黑体"/>
          <w:color w:val="auto"/>
          <w:sz w:val="44"/>
          <w:szCs w:val="44"/>
          <w:highlight w:val="none"/>
        </w:rPr>
      </w:pPr>
    </w:p>
    <w:p w14:paraId="7D487C2D">
      <w:pPr>
        <w:spacing w:line="600" w:lineRule="exact"/>
        <w:jc w:val="center"/>
        <w:rPr>
          <w:rFonts w:hint="eastAsia" w:ascii="Times New Roman" w:hAnsi="Times New Roman" w:eastAsia="黑体"/>
          <w:color w:val="auto"/>
          <w:sz w:val="44"/>
          <w:szCs w:val="44"/>
          <w:highlight w:val="none"/>
        </w:rPr>
      </w:pPr>
    </w:p>
    <w:p w14:paraId="61F2E6B5">
      <w:pPr>
        <w:spacing w:line="600" w:lineRule="exact"/>
        <w:jc w:val="center"/>
        <w:rPr>
          <w:rFonts w:hint="eastAsia" w:ascii="Times New Roman" w:hAnsi="Times New Roman" w:eastAsia="黑体"/>
          <w:color w:val="auto"/>
          <w:sz w:val="44"/>
          <w:szCs w:val="44"/>
          <w:highlight w:val="none"/>
        </w:rPr>
      </w:pPr>
    </w:p>
    <w:p w14:paraId="5BD92D04">
      <w:pPr>
        <w:spacing w:line="600" w:lineRule="exact"/>
        <w:jc w:val="center"/>
        <w:rPr>
          <w:rFonts w:hint="eastAsia" w:ascii="Times New Roman" w:hAnsi="Times New Roman" w:eastAsia="黑体"/>
          <w:color w:val="auto"/>
          <w:sz w:val="44"/>
          <w:szCs w:val="44"/>
          <w:highlight w:val="none"/>
        </w:rPr>
      </w:pPr>
    </w:p>
    <w:p w14:paraId="267FD1D4">
      <w:pPr>
        <w:spacing w:line="600" w:lineRule="exact"/>
        <w:jc w:val="center"/>
        <w:rPr>
          <w:rFonts w:hint="eastAsia" w:ascii="Times New Roman" w:hAnsi="Times New Roman" w:eastAsia="黑体"/>
          <w:color w:val="auto"/>
          <w:sz w:val="44"/>
          <w:szCs w:val="44"/>
          <w:highlight w:val="none"/>
        </w:rPr>
      </w:pPr>
    </w:p>
    <w:p w14:paraId="617C4F2E">
      <w:pPr>
        <w:spacing w:line="600" w:lineRule="exact"/>
        <w:jc w:val="center"/>
        <w:rPr>
          <w:rFonts w:hint="eastAsia" w:ascii="Times New Roman" w:hAnsi="Times New Roman" w:eastAsia="黑体"/>
          <w:color w:val="auto"/>
          <w:sz w:val="44"/>
          <w:szCs w:val="44"/>
          <w:highlight w:val="none"/>
        </w:rPr>
      </w:pPr>
    </w:p>
    <w:p w14:paraId="2E5B6260">
      <w:pPr>
        <w:spacing w:line="600" w:lineRule="exact"/>
        <w:jc w:val="center"/>
        <w:rPr>
          <w:rFonts w:hint="eastAsia" w:ascii="Times New Roman" w:hAnsi="Times New Roman" w:eastAsia="黑体"/>
          <w:color w:val="auto"/>
          <w:sz w:val="44"/>
          <w:szCs w:val="44"/>
          <w:highlight w:val="none"/>
        </w:rPr>
      </w:pPr>
    </w:p>
    <w:p w14:paraId="57CC959D">
      <w:pPr>
        <w:spacing w:line="600" w:lineRule="exact"/>
        <w:jc w:val="center"/>
        <w:rPr>
          <w:rFonts w:hint="eastAsia" w:ascii="Times New Roman" w:hAnsi="Times New Roman" w:eastAsia="黑体"/>
          <w:color w:val="auto"/>
          <w:sz w:val="44"/>
          <w:szCs w:val="44"/>
          <w:highlight w:val="none"/>
        </w:rPr>
      </w:pPr>
    </w:p>
    <w:p w14:paraId="4D13F235">
      <w:pPr>
        <w:spacing w:line="600" w:lineRule="exact"/>
        <w:jc w:val="center"/>
        <w:rPr>
          <w:rFonts w:hint="eastAsia" w:ascii="Times New Roman" w:hAnsi="Times New Roman" w:eastAsia="黑体"/>
          <w:color w:val="auto"/>
          <w:sz w:val="44"/>
          <w:szCs w:val="44"/>
          <w:highlight w:val="none"/>
        </w:rPr>
      </w:pPr>
    </w:p>
    <w:p w14:paraId="0CA12FF7">
      <w:pPr>
        <w:spacing w:line="600" w:lineRule="exact"/>
        <w:jc w:val="center"/>
        <w:rPr>
          <w:rStyle w:val="29"/>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5"/>
    </w:p>
    <w:p w14:paraId="389D227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5457D63C">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73083CFB">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131CF72F">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3A89CC1C">
      <w:pPr>
        <w:pStyle w:val="2"/>
        <w:rPr>
          <w:rFonts w:hint="eastAsia" w:ascii="Times New Roman" w:hAnsi="Times New Roman" w:cs="宋体"/>
          <w:color w:val="FF0000"/>
          <w:kern w:val="0"/>
          <w:sz w:val="32"/>
          <w:szCs w:val="32"/>
          <w:highlight w:val="yellow"/>
          <w:shd w:val="clear" w:color="auto" w:fill="FFFFFF"/>
          <w:lang w:val="zh-CN"/>
        </w:rPr>
      </w:pPr>
    </w:p>
    <w:p w14:paraId="11EE8FE1">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50BF0B55">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仿宋"/>
          <w:b w:val="0"/>
          <w:color w:val="auto"/>
          <w:highlight w:val="none"/>
        </w:rPr>
      </w:pPr>
      <w:bookmarkStart w:id="47" w:name="_Toc15396618"/>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6"/>
      <w:bookmarkEnd w:id="47"/>
      <w:bookmarkStart w:id="48" w:name="_Toc15396619"/>
    </w:p>
    <w:p w14:paraId="54001148">
      <w:pPr>
        <w:pStyle w:val="14"/>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仿宋_GB2312"/>
          <w:color w:val="auto"/>
          <w:sz w:val="32"/>
          <w:szCs w:val="32"/>
          <w:highlight w:val="none"/>
        </w:rPr>
      </w:pPr>
    </w:p>
    <w:p w14:paraId="49AC0B7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2C0199F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3EF0AE7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0ABF23B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25E2B1D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78642B2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439EAD8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13A17AD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2DDE61E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3A6F5EA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r>
        <w:rPr>
          <w:rFonts w:hint="eastAsia" w:eastAsia="仿宋_GB2312" w:cs="仿宋_GB2312"/>
          <w:color w:val="auto"/>
          <w:sz w:val="32"/>
          <w:szCs w:val="32"/>
          <w:highlight w:val="none"/>
          <w:lang w:eastAsia="zh-CN"/>
        </w:rPr>
        <w:t>（此表无数据）</w:t>
      </w:r>
    </w:p>
    <w:p w14:paraId="362DDB5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r>
        <w:rPr>
          <w:rFonts w:hint="eastAsia" w:eastAsia="仿宋_GB2312" w:cs="仿宋_GB2312"/>
          <w:color w:val="auto"/>
          <w:sz w:val="32"/>
          <w:szCs w:val="32"/>
          <w:highlight w:val="none"/>
          <w:lang w:eastAsia="zh-CN"/>
        </w:rPr>
        <w:t>（此表无数据）</w:t>
      </w:r>
    </w:p>
    <w:p w14:paraId="621A672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0F0F69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r>
        <w:rPr>
          <w:rFonts w:hint="eastAsia" w:eastAsia="仿宋_GB2312" w:cs="仿宋_GB2312"/>
          <w:color w:val="auto"/>
          <w:sz w:val="32"/>
          <w:szCs w:val="32"/>
          <w:highlight w:val="none"/>
          <w:lang w:eastAsia="zh-CN"/>
        </w:rPr>
        <w:t>（此表无数据）</w:t>
      </w:r>
    </w:p>
    <w:p w14:paraId="793248C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292426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r>
        <w:rPr>
          <w:rFonts w:hint="eastAsia" w:eastAsia="仿宋_GB2312" w:cs="仿宋_GB2312"/>
          <w:color w:val="auto"/>
          <w:sz w:val="32"/>
          <w:szCs w:val="32"/>
          <w:highlight w:val="none"/>
          <w:lang w:eastAsia="zh-CN"/>
        </w:rPr>
        <w:t>（此表无数据）</w:t>
      </w:r>
    </w:p>
    <w:p w14:paraId="219E9C8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p>
    <w:p w14:paraId="1DCB6962">
      <w:pPr>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A12E8">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0DC556">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E0DC556">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13CCC011">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FC661">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07752C">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907752C">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5EA64">
    <w:pPr>
      <w:pStyle w:val="1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178F47">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5178F47">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1232ACF9">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ABA66">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28EEF5">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928EEF5">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D60F9">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4CAC9">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7CFF16"/>
    <w:multiLevelType w:val="singleLevel"/>
    <w:tmpl w:val="937CFF16"/>
    <w:lvl w:ilvl="0" w:tentative="0">
      <w:start w:val="1"/>
      <w:numFmt w:val="chineseCounting"/>
      <w:suff w:val="nothing"/>
      <w:lvlText w:val="%1、"/>
      <w:lvlJc w:val="left"/>
      <w:rPr>
        <w:rFonts w:hint="eastAsia"/>
      </w:rPr>
    </w:lvl>
  </w:abstractNum>
  <w:abstractNum w:abstractNumId="1">
    <w:nsid w:val="4A7C37AF"/>
    <w:multiLevelType w:val="singleLevel"/>
    <w:tmpl w:val="4A7C37AF"/>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19"/>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2561E"/>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587777"/>
    <w:rsid w:val="02BA21E0"/>
    <w:rsid w:val="02FEBE30"/>
    <w:rsid w:val="04442F5D"/>
    <w:rsid w:val="04461F7D"/>
    <w:rsid w:val="04E452F2"/>
    <w:rsid w:val="061E35DE"/>
    <w:rsid w:val="066E0107"/>
    <w:rsid w:val="07996F6E"/>
    <w:rsid w:val="07DFD8BA"/>
    <w:rsid w:val="08DB07E4"/>
    <w:rsid w:val="09511DFB"/>
    <w:rsid w:val="09867E8F"/>
    <w:rsid w:val="0A2032A3"/>
    <w:rsid w:val="0A5D1DCF"/>
    <w:rsid w:val="0A9C3FDC"/>
    <w:rsid w:val="0C142961"/>
    <w:rsid w:val="0C636431"/>
    <w:rsid w:val="0C6C4794"/>
    <w:rsid w:val="0CA8290A"/>
    <w:rsid w:val="0D35B1ED"/>
    <w:rsid w:val="0DE07E2B"/>
    <w:rsid w:val="0ECB3ECA"/>
    <w:rsid w:val="0F84395A"/>
    <w:rsid w:val="0F98263C"/>
    <w:rsid w:val="101860EC"/>
    <w:rsid w:val="10C02C5C"/>
    <w:rsid w:val="10C055FF"/>
    <w:rsid w:val="10E42CCD"/>
    <w:rsid w:val="11772AA4"/>
    <w:rsid w:val="118107EC"/>
    <w:rsid w:val="13957196"/>
    <w:rsid w:val="13D50BC4"/>
    <w:rsid w:val="14022904"/>
    <w:rsid w:val="152F2A07"/>
    <w:rsid w:val="165E0673"/>
    <w:rsid w:val="16BB723D"/>
    <w:rsid w:val="16F13FCB"/>
    <w:rsid w:val="17936E30"/>
    <w:rsid w:val="17BC0000"/>
    <w:rsid w:val="186504BB"/>
    <w:rsid w:val="1938089F"/>
    <w:rsid w:val="19A445FC"/>
    <w:rsid w:val="1B7D550C"/>
    <w:rsid w:val="1BE8440E"/>
    <w:rsid w:val="1CF540E9"/>
    <w:rsid w:val="1D155CEE"/>
    <w:rsid w:val="1D1A12F0"/>
    <w:rsid w:val="1DE178F3"/>
    <w:rsid w:val="1E740ACF"/>
    <w:rsid w:val="1FF35744"/>
    <w:rsid w:val="1FF6BC77"/>
    <w:rsid w:val="20B36E57"/>
    <w:rsid w:val="21962A9E"/>
    <w:rsid w:val="21AE7C77"/>
    <w:rsid w:val="21EA7F94"/>
    <w:rsid w:val="227855A0"/>
    <w:rsid w:val="22BC3C41"/>
    <w:rsid w:val="23860B96"/>
    <w:rsid w:val="240371BF"/>
    <w:rsid w:val="253A4655"/>
    <w:rsid w:val="25E42F4C"/>
    <w:rsid w:val="260F557C"/>
    <w:rsid w:val="27716A62"/>
    <w:rsid w:val="281408E2"/>
    <w:rsid w:val="29C56BF1"/>
    <w:rsid w:val="29FD04D3"/>
    <w:rsid w:val="2A3D0E7D"/>
    <w:rsid w:val="2B6D596B"/>
    <w:rsid w:val="2BA93DB0"/>
    <w:rsid w:val="2BFF7BC6"/>
    <w:rsid w:val="2C8A61B5"/>
    <w:rsid w:val="2CC118F2"/>
    <w:rsid w:val="2D210E50"/>
    <w:rsid w:val="2D2E01CF"/>
    <w:rsid w:val="2DF04E50"/>
    <w:rsid w:val="2E8B6684"/>
    <w:rsid w:val="2E9545B0"/>
    <w:rsid w:val="2EEA6F78"/>
    <w:rsid w:val="2F040D46"/>
    <w:rsid w:val="2F590507"/>
    <w:rsid w:val="2FAE5751"/>
    <w:rsid w:val="2FB1A395"/>
    <w:rsid w:val="2FD9A7D8"/>
    <w:rsid w:val="319F7F4E"/>
    <w:rsid w:val="321B2544"/>
    <w:rsid w:val="3304709D"/>
    <w:rsid w:val="34281836"/>
    <w:rsid w:val="3474091A"/>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57881"/>
    <w:rsid w:val="3B9FDB6C"/>
    <w:rsid w:val="3BF5BC2F"/>
    <w:rsid w:val="3CEBA265"/>
    <w:rsid w:val="3D98207C"/>
    <w:rsid w:val="3D9B0D99"/>
    <w:rsid w:val="3DEE7CF3"/>
    <w:rsid w:val="3DF02244"/>
    <w:rsid w:val="3DF372B3"/>
    <w:rsid w:val="3DFA12BD"/>
    <w:rsid w:val="3E4404E0"/>
    <w:rsid w:val="3E78745D"/>
    <w:rsid w:val="3FBC556E"/>
    <w:rsid w:val="3FF4CAE0"/>
    <w:rsid w:val="3FF7B227"/>
    <w:rsid w:val="40703903"/>
    <w:rsid w:val="40AD06B3"/>
    <w:rsid w:val="40E54C45"/>
    <w:rsid w:val="41313393"/>
    <w:rsid w:val="42324A02"/>
    <w:rsid w:val="43A407DF"/>
    <w:rsid w:val="44515BEA"/>
    <w:rsid w:val="44E268DA"/>
    <w:rsid w:val="453F7E5B"/>
    <w:rsid w:val="46F2067D"/>
    <w:rsid w:val="486A6C7A"/>
    <w:rsid w:val="49176D9B"/>
    <w:rsid w:val="494006BD"/>
    <w:rsid w:val="4A02381D"/>
    <w:rsid w:val="4A627F82"/>
    <w:rsid w:val="4B0E749A"/>
    <w:rsid w:val="4B4F25DA"/>
    <w:rsid w:val="4BDA0CFB"/>
    <w:rsid w:val="4BE068DB"/>
    <w:rsid w:val="4D3C0CCC"/>
    <w:rsid w:val="4D577224"/>
    <w:rsid w:val="4DBF1CEB"/>
    <w:rsid w:val="4EAB630A"/>
    <w:rsid w:val="4ECE2238"/>
    <w:rsid w:val="4F833267"/>
    <w:rsid w:val="4FA47125"/>
    <w:rsid w:val="4FE9BD67"/>
    <w:rsid w:val="4FF763B9"/>
    <w:rsid w:val="4FFB052F"/>
    <w:rsid w:val="53083A92"/>
    <w:rsid w:val="537E6D0A"/>
    <w:rsid w:val="53AF27A2"/>
    <w:rsid w:val="53F74C96"/>
    <w:rsid w:val="55CA364C"/>
    <w:rsid w:val="5640122A"/>
    <w:rsid w:val="56E47B74"/>
    <w:rsid w:val="57233025"/>
    <w:rsid w:val="57BD3DD4"/>
    <w:rsid w:val="58A55FB3"/>
    <w:rsid w:val="5A770F01"/>
    <w:rsid w:val="5AF92295"/>
    <w:rsid w:val="5B280C0A"/>
    <w:rsid w:val="5B3F7D02"/>
    <w:rsid w:val="5BDD79E6"/>
    <w:rsid w:val="5BF561CA"/>
    <w:rsid w:val="5BFF5DFC"/>
    <w:rsid w:val="5CA34A8C"/>
    <w:rsid w:val="5CD71FC4"/>
    <w:rsid w:val="5CF76AE6"/>
    <w:rsid w:val="5D1F11B5"/>
    <w:rsid w:val="5DAE1B18"/>
    <w:rsid w:val="5DE7D9E5"/>
    <w:rsid w:val="5DFB43B4"/>
    <w:rsid w:val="5E4F2952"/>
    <w:rsid w:val="5ECEC941"/>
    <w:rsid w:val="5F493CB7"/>
    <w:rsid w:val="5FBF9FF3"/>
    <w:rsid w:val="5FCD4E2C"/>
    <w:rsid w:val="5FD15F49"/>
    <w:rsid w:val="5FEA46E0"/>
    <w:rsid w:val="5FEF394A"/>
    <w:rsid w:val="5FF67715"/>
    <w:rsid w:val="62BF3928"/>
    <w:rsid w:val="631E7252"/>
    <w:rsid w:val="63C94F54"/>
    <w:rsid w:val="640E2967"/>
    <w:rsid w:val="647F5392"/>
    <w:rsid w:val="648A46E4"/>
    <w:rsid w:val="656E746A"/>
    <w:rsid w:val="664B1D71"/>
    <w:rsid w:val="66C83704"/>
    <w:rsid w:val="67AA3209"/>
    <w:rsid w:val="67DF7BA0"/>
    <w:rsid w:val="681C4F0D"/>
    <w:rsid w:val="68F77E6E"/>
    <w:rsid w:val="69046D0F"/>
    <w:rsid w:val="698D0931"/>
    <w:rsid w:val="6A993CED"/>
    <w:rsid w:val="6B053271"/>
    <w:rsid w:val="6BCE6674"/>
    <w:rsid w:val="6C1C0317"/>
    <w:rsid w:val="6C4A05C8"/>
    <w:rsid w:val="6C8742B8"/>
    <w:rsid w:val="6C8A170F"/>
    <w:rsid w:val="6CB54609"/>
    <w:rsid w:val="6D01750D"/>
    <w:rsid w:val="6DBF5E93"/>
    <w:rsid w:val="6DFF077E"/>
    <w:rsid w:val="6E7E3605"/>
    <w:rsid w:val="6E7FDCC7"/>
    <w:rsid w:val="6ED6A62E"/>
    <w:rsid w:val="6EE00B15"/>
    <w:rsid w:val="6F544B20"/>
    <w:rsid w:val="6F6FB3EB"/>
    <w:rsid w:val="6F784160"/>
    <w:rsid w:val="6F8731EA"/>
    <w:rsid w:val="6FA56875"/>
    <w:rsid w:val="6FC0545D"/>
    <w:rsid w:val="6FCE6052"/>
    <w:rsid w:val="6FD57C00"/>
    <w:rsid w:val="6FEFFFD8"/>
    <w:rsid w:val="6FF5CC65"/>
    <w:rsid w:val="6FFB47EC"/>
    <w:rsid w:val="6FFF034A"/>
    <w:rsid w:val="70496804"/>
    <w:rsid w:val="70D96CCA"/>
    <w:rsid w:val="712A28F1"/>
    <w:rsid w:val="715C0E4B"/>
    <w:rsid w:val="72233669"/>
    <w:rsid w:val="72734D90"/>
    <w:rsid w:val="730B30A4"/>
    <w:rsid w:val="7332FE48"/>
    <w:rsid w:val="7343262D"/>
    <w:rsid w:val="73AB61DA"/>
    <w:rsid w:val="73AD73D5"/>
    <w:rsid w:val="73B6EB34"/>
    <w:rsid w:val="73CA5C8F"/>
    <w:rsid w:val="73FA497D"/>
    <w:rsid w:val="744731E5"/>
    <w:rsid w:val="74527205"/>
    <w:rsid w:val="74BBD01D"/>
    <w:rsid w:val="74ED5379"/>
    <w:rsid w:val="74FC2395"/>
    <w:rsid w:val="75196266"/>
    <w:rsid w:val="7584523C"/>
    <w:rsid w:val="75DEEEC2"/>
    <w:rsid w:val="76E3355F"/>
    <w:rsid w:val="76FF5125"/>
    <w:rsid w:val="77100FCF"/>
    <w:rsid w:val="77470212"/>
    <w:rsid w:val="776F6FFA"/>
    <w:rsid w:val="778769C8"/>
    <w:rsid w:val="77DC22F5"/>
    <w:rsid w:val="78210A63"/>
    <w:rsid w:val="79086DAD"/>
    <w:rsid w:val="79974F09"/>
    <w:rsid w:val="79D7FD79"/>
    <w:rsid w:val="79EE5BA4"/>
    <w:rsid w:val="7A356A48"/>
    <w:rsid w:val="7A894339"/>
    <w:rsid w:val="7ACF47A6"/>
    <w:rsid w:val="7AFF7572"/>
    <w:rsid w:val="7B6C7DFB"/>
    <w:rsid w:val="7BA17227"/>
    <w:rsid w:val="7BBFBED0"/>
    <w:rsid w:val="7BC3E394"/>
    <w:rsid w:val="7C1F3737"/>
    <w:rsid w:val="7CBFC87B"/>
    <w:rsid w:val="7CE64A4C"/>
    <w:rsid w:val="7CFE0F48"/>
    <w:rsid w:val="7D7EC23E"/>
    <w:rsid w:val="7D916348"/>
    <w:rsid w:val="7DC228AE"/>
    <w:rsid w:val="7E867872"/>
    <w:rsid w:val="7E8ADEBF"/>
    <w:rsid w:val="7ECD36F3"/>
    <w:rsid w:val="7EEF11D3"/>
    <w:rsid w:val="7F0971A6"/>
    <w:rsid w:val="7F136209"/>
    <w:rsid w:val="7F3F679B"/>
    <w:rsid w:val="7F4FC4EF"/>
    <w:rsid w:val="7F5E4D54"/>
    <w:rsid w:val="7F6E0135"/>
    <w:rsid w:val="7FA30C79"/>
    <w:rsid w:val="7FAF8ABF"/>
    <w:rsid w:val="7FB7269E"/>
    <w:rsid w:val="7FC96657"/>
    <w:rsid w:val="7FCF6FF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widowControl/>
      <w:spacing w:beforeAutospacing="1" w:afterAutospacing="1"/>
      <w:jc w:val="left"/>
    </w:pPr>
    <w:rPr>
      <w:rFonts w:ascii="宋体"/>
      <w:kern w:val="0"/>
      <w:sz w:val="24"/>
      <w:szCs w:val="21"/>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2"/>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6">
    <w:name w:val="heading 2 Char"/>
    <w:basedOn w:val="17"/>
    <w:link w:val="4"/>
    <w:qFormat/>
    <w:uiPriority w:val="0"/>
    <w:rPr>
      <w:rFonts w:ascii="Cambria" w:hAnsi="Cambria" w:eastAsia="宋体" w:cs="Times New Roman"/>
      <w:b/>
      <w:bCs/>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60304421357816"/>
          <c:y val="0.155546111347216"/>
          <c:w val="0.930345494080696"/>
          <c:h val="0.638631534211645"/>
        </c:manualLayout>
      </c:layout>
      <c:barChart>
        <c:barDir val="col"/>
        <c:grouping val="clustered"/>
        <c:varyColors val="0"/>
        <c:ser>
          <c:idx val="0"/>
          <c:order val="0"/>
          <c:tx>
            <c:strRef>
              <c:f>Sheet1!$B$1</c:f>
              <c:strCache>
                <c:ptCount val="1"/>
                <c:pt idx="0">
                  <c:v>2025</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Sheet1!$A$2:$A$5</c:f>
              <c:strCache>
                <c:ptCount val="4"/>
                <c:pt idx="0">
                  <c:v>总收入</c:v>
                </c:pt>
                <c:pt idx="1">
                  <c:v>总支出</c:v>
                </c:pt>
              </c:strCache>
            </c:strRef>
          </c:cat>
          <c:val>
            <c:numRef>
              <c:f>Sheet1!$B$2:$B$5</c:f>
              <c:numCache>
                <c:formatCode>General</c:formatCode>
                <c:ptCount val="4"/>
                <c:pt idx="0">
                  <c:v>4551.64</c:v>
                </c:pt>
                <c:pt idx="1">
                  <c:v>4551.64</c:v>
                </c:pt>
              </c:numCache>
            </c:numRef>
          </c:val>
        </c:ser>
        <c:ser>
          <c:idx val="1"/>
          <c:order val="1"/>
          <c:tx>
            <c:strRef>
              <c:f>Sheet1!$C$1</c:f>
              <c:strCache>
                <c:ptCount val="1"/>
                <c:pt idx="0">
                  <c:v>2024</c:v>
                </c:pt>
              </c:strCache>
            </c:strRef>
          </c:tx>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Sheet1!$A$2:$A$5</c:f>
              <c:strCache>
                <c:ptCount val="4"/>
                <c:pt idx="0">
                  <c:v>总收入</c:v>
                </c:pt>
                <c:pt idx="1">
                  <c:v>总支出</c:v>
                </c:pt>
              </c:strCache>
            </c:strRef>
          </c:cat>
          <c:val>
            <c:numRef>
              <c:f>Sheet1!$C$2:$C$5</c:f>
              <c:numCache>
                <c:formatCode>General</c:formatCode>
                <c:ptCount val="4"/>
                <c:pt idx="0">
                  <c:v>5115.89</c:v>
                </c:pt>
                <c:pt idx="1">
                  <c:v>5115.89</c:v>
                </c:pt>
              </c:numCache>
            </c:numRef>
          </c:val>
        </c:ser>
        <c:dLbls>
          <c:showLegendKey val="0"/>
          <c:showVal val="1"/>
          <c:showCatName val="0"/>
          <c:showSerName val="0"/>
          <c:showPercent val="0"/>
          <c:showBubbleSize val="0"/>
        </c:dLbls>
        <c:gapWidth val="216"/>
        <c:overlap val="-32"/>
        <c:axId val="902932709"/>
        <c:axId val="182589275"/>
      </c:barChart>
      <c:catAx>
        <c:axId val="90293270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2589275"/>
        <c:crosses val="autoZero"/>
        <c:auto val="1"/>
        <c:lblAlgn val="ctr"/>
        <c:lblOffset val="100"/>
        <c:noMultiLvlLbl val="0"/>
      </c:catAx>
      <c:valAx>
        <c:axId val="18258927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293270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492b0ecb-7cd0-4b39-9394-5ffbb3634e0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 (2)'!$B$1</c:f>
              <c:strCache>
                <c:ptCount val="1"/>
                <c:pt idx="0">
                  <c:v>收入决算结构图</c:v>
                </c:pt>
              </c:strCache>
            </c:strRef>
          </c:tx>
          <c:spPr/>
          <c:explosion val="0"/>
          <c:dPt>
            <c:idx val="0"/>
            <c:bubble3D val="0"/>
            <c:spPr>
              <a:gradFill>
                <a:gsLst>
                  <a:gs pos="100000">
                    <a:schemeClr val="accent1"/>
                  </a:gs>
                  <a:gs pos="0">
                    <a:schemeClr val="accent1">
                      <a:hueOff val="-1670000"/>
                    </a:schemeClr>
                  </a:gs>
                </a:gsLst>
                <a:lin ang="5400000" scaled="0"/>
              </a:gradFill>
              <a:ln>
                <a:gradFill>
                  <a:gsLst>
                    <a:gs pos="100000">
                      <a:schemeClr val="accent1">
                        <a:lumMod val="75000"/>
                      </a:schemeClr>
                    </a:gs>
                    <a:gs pos="0">
                      <a:schemeClr val="accent1">
                        <a:lumMod val="75000"/>
                        <a:hueOff val="-1670000"/>
                      </a:schemeClr>
                    </a:gs>
                  </a:gsLst>
                  <a:lin ang="4620000" scaled="0"/>
                </a:gradFill>
              </a:ln>
              <a:effectLst/>
            </c:spPr>
          </c:dPt>
          <c:dPt>
            <c:idx val="1"/>
            <c:bubble3D val="0"/>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dPt>
          <c:dPt>
            <c:idx val="2"/>
            <c:bubble3D val="0"/>
            <c:spPr>
              <a:gradFill>
                <a:gsLst>
                  <a:gs pos="100000">
                    <a:schemeClr val="accent3"/>
                  </a:gs>
                  <a:gs pos="0">
                    <a:schemeClr val="accent3">
                      <a:hueOff val="-1670000"/>
                    </a:schemeClr>
                  </a:gs>
                </a:gsLst>
                <a:lin ang="5400000" scaled="0"/>
              </a:gradFill>
              <a:ln>
                <a:gradFill>
                  <a:gsLst>
                    <a:gs pos="100000">
                      <a:schemeClr val="accent3">
                        <a:lumMod val="75000"/>
                      </a:schemeClr>
                    </a:gs>
                    <a:gs pos="0">
                      <a:schemeClr val="accent3">
                        <a:lumMod val="75000"/>
                        <a:hueOff val="-1670000"/>
                      </a:schemeClr>
                    </a:gs>
                  </a:gsLst>
                  <a:lin ang="4620000" scaled="0"/>
                </a:gra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extLst>
                <c:ext xmlns:c15="http://schemas.microsoft.com/office/drawing/2012/chart" uri="{02D57815-91ED-43cb-92C2-25804820EDAC}">
                  <c15:fullRef>
                    <c15:sqref>'Sheet1 (2)'!$A$2:$A$5</c15:sqref>
                  </c15:fullRef>
                </c:ext>
              </c:extLst>
              <c:f>('Sheet1 (2)'!$A$2,'Sheet1 (2)'!$A$4:$A$5)</c:f>
              <c:strCache>
                <c:ptCount val="3"/>
                <c:pt idx="0">
                  <c:v>一般公共预算财政拨款收入</c:v>
                </c:pt>
                <c:pt idx="1">
                  <c:v>事业收入</c:v>
                </c:pt>
                <c:pt idx="2">
                  <c:v>其他收入</c:v>
                </c:pt>
              </c:strCache>
            </c:strRef>
          </c:cat>
          <c:val>
            <c:numRef>
              <c:extLst>
                <c:ext xmlns:c15="http://schemas.microsoft.com/office/drawing/2012/chart" uri="{02D57815-91ED-43cb-92C2-25804820EDAC}">
                  <c15:fullRef>
                    <c15:sqref>'Sheet1 (2)'!$B$2:$B$5</c15:sqref>
                  </c15:fullRef>
                </c:ext>
              </c:extLst>
              <c:f>('Sheet1 (2)'!$B$2,'Sheet1 (2)'!$B$4:$B$5)</c:f>
              <c:numCache>
                <c:formatCode>General</c:formatCode>
                <c:ptCount val="3"/>
                <c:pt idx="0">
                  <c:v>2369.02</c:v>
                </c:pt>
                <c:pt idx="1">
                  <c:v>1513.87</c:v>
                </c:pt>
                <c:pt idx="2">
                  <c:v>668.75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0111125142063392"/>
          <c:y val="0.0292041859333171"/>
          <c:w val="0.948983457507261"/>
          <c:h val="0.08104161596495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487d2cc5-b2ee-4a5e-8197-0aa0d5c8b9e0}"/>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 (2)'!$B$1</c:f>
              <c:strCache>
                <c:ptCount val="1"/>
                <c:pt idx="0">
                  <c:v>收入决算结构图</c:v>
                </c:pt>
              </c:strCache>
            </c:strRef>
          </c:tx>
          <c:spPr/>
          <c:explosion val="0"/>
          <c:dPt>
            <c:idx val="0"/>
            <c:bubble3D val="0"/>
            <c:spPr>
              <a:gradFill>
                <a:gsLst>
                  <a:gs pos="100000">
                    <a:schemeClr val="accent1"/>
                  </a:gs>
                  <a:gs pos="0">
                    <a:schemeClr val="accent1">
                      <a:hueOff val="-1670000"/>
                    </a:schemeClr>
                  </a:gs>
                </a:gsLst>
                <a:lin ang="5400000" scaled="0"/>
              </a:gradFill>
              <a:ln>
                <a:gradFill>
                  <a:gsLst>
                    <a:gs pos="100000">
                      <a:schemeClr val="accent1">
                        <a:lumMod val="75000"/>
                      </a:schemeClr>
                    </a:gs>
                    <a:gs pos="0">
                      <a:schemeClr val="accent1">
                        <a:lumMod val="75000"/>
                        <a:hueOff val="-1670000"/>
                      </a:schemeClr>
                    </a:gs>
                  </a:gsLst>
                  <a:lin ang="4620000" scaled="0"/>
                </a:gradFill>
              </a:ln>
              <a:effectLst/>
            </c:spPr>
          </c:dPt>
          <c:dPt>
            <c:idx val="1"/>
            <c:bubble3D val="0"/>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extLst>
                <c:ext xmlns:c15="http://schemas.microsoft.com/office/drawing/2012/chart" uri="{02D57815-91ED-43cb-92C2-25804820EDAC}">
                  <c15:fullRef>
                    <c15:sqref>'Sheet1 (2)'!$A$2:$A$5</c15:sqref>
                  </c15:fullRef>
                </c:ext>
              </c:extLst>
              <c:f>'Sheet1 (2)'!$A$2:$A$3</c:f>
              <c:strCache>
                <c:ptCount val="2"/>
                <c:pt idx="0">
                  <c:v>基本支出</c:v>
                </c:pt>
                <c:pt idx="1">
                  <c:v>项目支出</c:v>
                </c:pt>
              </c:strCache>
            </c:strRef>
          </c:cat>
          <c:val>
            <c:numRef>
              <c:extLst>
                <c:ext xmlns:c15="http://schemas.microsoft.com/office/drawing/2012/chart" uri="{02D57815-91ED-43cb-92C2-25804820EDAC}">
                  <c15:fullRef>
                    <c15:sqref>'Sheet1 (2)'!$B$2:$B$5</c15:sqref>
                  </c15:fullRef>
                </c:ext>
              </c:extLst>
              <c:f>'Sheet1 (2)'!$B$2:$B$3</c:f>
              <c:numCache>
                <c:formatCode>General</c:formatCode>
                <c:ptCount val="2"/>
                <c:pt idx="0">
                  <c:v>3084.94</c:v>
                </c:pt>
                <c:pt idx="1">
                  <c:v>1466.7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487d2cc5-b2ee-4a5e-8197-0aa0d5c8b9e0}"/>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2025</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Sheet1!$A$2:$A$3</c:f>
              <c:strCache>
                <c:ptCount val="2"/>
                <c:pt idx="0">
                  <c:v>财政收入</c:v>
                </c:pt>
                <c:pt idx="1">
                  <c:v>财政支出</c:v>
                </c:pt>
              </c:strCache>
            </c:strRef>
          </c:cat>
          <c:val>
            <c:numRef>
              <c:f>Sheet1!$B$2:$B$3</c:f>
              <c:numCache>
                <c:formatCode>General</c:formatCode>
                <c:ptCount val="2"/>
                <c:pt idx="0">
                  <c:v>2369.02</c:v>
                </c:pt>
                <c:pt idx="1">
                  <c:v>2369.02</c:v>
                </c:pt>
              </c:numCache>
            </c:numRef>
          </c:val>
        </c:ser>
        <c:ser>
          <c:idx val="1"/>
          <c:order val="1"/>
          <c:tx>
            <c:strRef>
              <c:f>Sheet1!$C$1</c:f>
              <c:strCache>
                <c:ptCount val="1"/>
                <c:pt idx="0">
                  <c:v>2024</c:v>
                </c:pt>
              </c:strCache>
            </c:strRef>
          </c:tx>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Sheet1!$A$2:$A$3</c:f>
              <c:strCache>
                <c:ptCount val="2"/>
                <c:pt idx="0">
                  <c:v>财政收入</c:v>
                </c:pt>
                <c:pt idx="1">
                  <c:v>财政支出</c:v>
                </c:pt>
              </c:strCache>
            </c:strRef>
          </c:cat>
          <c:val>
            <c:numRef>
              <c:f>Sheet1!$C$2:$C$3</c:f>
              <c:numCache>
                <c:formatCode>General</c:formatCode>
                <c:ptCount val="2"/>
                <c:pt idx="0">
                  <c:v>1369.8</c:v>
                </c:pt>
                <c:pt idx="1">
                  <c:v>1369.8</c:v>
                </c:pt>
              </c:numCache>
            </c:numRef>
          </c:val>
        </c:ser>
        <c:dLbls>
          <c:showLegendKey val="0"/>
          <c:showVal val="1"/>
          <c:showCatName val="0"/>
          <c:showSerName val="0"/>
          <c:showPercent val="0"/>
          <c:showBubbleSize val="0"/>
        </c:dLbls>
        <c:gapWidth val="216"/>
        <c:overlap val="-32"/>
        <c:axId val="329160359"/>
        <c:axId val="34309627"/>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a:outerShdw blurRad="76200" dist="25400" dir="2700000" algn="tl" rotWithShape="0">
                      <a:schemeClr val="accent3">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extLst>
                      <c:ext uri="{02D57815-91ED-43cb-92C2-25804820EDAC}">
                        <c15:fullRef>
                          <c15:sqref/>
                        </c15:fullRef>
                        <c15:formulaRef>
                          <c15:sqref>Sheet1!$A$2:$A$3</c15:sqref>
                        </c15:formulaRef>
                      </c:ext>
                    </c:extLst>
                    <c:strCache>
                      <c:ptCount val="2"/>
                      <c:pt idx="0">
                        <c:v>财政收入</c:v>
                      </c:pt>
                      <c:pt idx="1">
                        <c:v>财政支出</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32916035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09627"/>
        <c:crosses val="autoZero"/>
        <c:auto val="1"/>
        <c:lblAlgn val="ctr"/>
        <c:lblOffset val="100"/>
        <c:noMultiLvlLbl val="0"/>
      </c:catAx>
      <c:valAx>
        <c:axId val="3430962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916035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279befb6-64bd-41b0-9bff-2a4d6aac5eb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2025</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Sheet1!$A$2</c:f>
              <c:strCache>
                <c:ptCount val="1"/>
                <c:pt idx="0">
                  <c:v>一般公共预算财政拨款支出</c:v>
                </c:pt>
              </c:strCache>
            </c:strRef>
          </c:cat>
          <c:val>
            <c:numRef>
              <c:f>Sheet1!$B$2</c:f>
              <c:numCache>
                <c:formatCode>General</c:formatCode>
                <c:ptCount val="1"/>
                <c:pt idx="0">
                  <c:v>2369.02</c:v>
                </c:pt>
              </c:numCache>
            </c:numRef>
          </c:val>
        </c:ser>
        <c:ser>
          <c:idx val="1"/>
          <c:order val="1"/>
          <c:tx>
            <c:strRef>
              <c:f>Sheet1!$C$1</c:f>
              <c:strCache>
                <c:ptCount val="1"/>
                <c:pt idx="0">
                  <c:v>2024</c:v>
                </c:pt>
              </c:strCache>
            </c:strRef>
          </c:tx>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Sheet1!$A$2</c:f>
              <c:strCache>
                <c:ptCount val="1"/>
                <c:pt idx="0">
                  <c:v>一般公共预算财政拨款支出</c:v>
                </c:pt>
              </c:strCache>
            </c:strRef>
          </c:cat>
          <c:val>
            <c:numRef>
              <c:f>Sheet1!$C$2</c:f>
              <c:numCache>
                <c:formatCode>General</c:formatCode>
                <c:ptCount val="1"/>
                <c:pt idx="0">
                  <c:v>1369.8</c:v>
                </c:pt>
              </c:numCache>
            </c:numRef>
          </c:val>
        </c:ser>
        <c:dLbls>
          <c:showLegendKey val="0"/>
          <c:showVal val="1"/>
          <c:showCatName val="0"/>
          <c:showSerName val="0"/>
          <c:showPercent val="0"/>
          <c:showBubbleSize val="0"/>
        </c:dLbls>
        <c:gapWidth val="216"/>
        <c:overlap val="-32"/>
        <c:axId val="671178344"/>
        <c:axId val="863509879"/>
        <c:extLst>
          <c:ext xmlns:c15="http://schemas.microsoft.com/office/drawing/2012/chart" uri="{02D57815-91ED-43cb-92C2-25804820EDAC}">
            <c15:filteredBarSeries>
              <c15:ser>
                <c:idx val="2"/>
                <c:order val="2"/>
                <c:tx>
                  <c:strRef>
                    <c:extLst>
                      <c:ext uri="{02D57815-91ED-43cb-92C2-25804820EDAC}">
                        <c15:formulaRef>
                          <c15:sqref>"系列"</c15:sqref>
                        </c15:formulaRef>
                      </c:ext>
                    </c:extLst>
                    <c:strCache>
                      <c:ptCount val="1"/>
                      <c:pt idx="0">
                        <c:v>系列</c:v>
                      </c:pt>
                    </c:strCache>
                  </c:strRef>
                </c:tx>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a:outerShdw blurRad="76200" dist="25400" dir="2700000" algn="tl" rotWithShape="0">
                      <a:schemeClr val="accent3">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c15:sqref>
                        </c15:formulaRef>
                      </c:ext>
                    </c:extLst>
                    <c:strCache>
                      <c:ptCount val="1"/>
                      <c:pt idx="0">
                        <c:v>一般公共预算财政拨款支出</c:v>
                      </c:pt>
                    </c:strCache>
                  </c:strRef>
                </c:cat>
                <c:val>
                  <c:numRef>
                    <c:extLst>
                      <c:ext uri="{02D57815-91ED-43cb-92C2-25804820EDAC}">
                        <c15:formulaRef>
                          <c15:sqref>{1}</c15:sqref>
                        </c15:formulaRef>
                      </c:ext>
                    </c:extLst>
                    <c:numCache>
                      <c:formatCode>General</c:formatCode>
                      <c:ptCount val="1"/>
                      <c:pt idx="0">
                        <c:v>1</c:v>
                      </c:pt>
                    </c:numCache>
                  </c:numRef>
                </c:val>
              </c15:ser>
            </c15:filteredBarSeries>
          </c:ext>
        </c:extLst>
      </c:barChart>
      <c:catAx>
        <c:axId val="67117834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3509879"/>
        <c:crosses val="autoZero"/>
        <c:auto val="1"/>
        <c:lblAlgn val="ctr"/>
        <c:lblOffset val="100"/>
        <c:noMultiLvlLbl val="0"/>
      </c:catAx>
      <c:valAx>
        <c:axId val="86350987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117834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ca75ff6f-2128-46e1-9937-9bcd3b4b90c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2025</c:v>
                </c:pt>
              </c:strCache>
            </c:strRef>
          </c:tx>
          <c:spPr/>
          <c:explosion val="0"/>
          <c:dPt>
            <c:idx val="0"/>
            <c:bubble3D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c:spPr>
          </c:dPt>
          <c:dPt>
            <c:idx val="1"/>
            <c:bubble3D val="0"/>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c:spPr>
          </c:dPt>
          <c:dPt>
            <c:idx val="2"/>
            <c:bubble3D val="0"/>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Sheet1!$A$2:$A$4</c:f>
              <c:strCache>
                <c:ptCount val="3"/>
                <c:pt idx="0">
                  <c:v>一般公共服务支出</c:v>
                </c:pt>
                <c:pt idx="1">
                  <c:v>社会保障和就业支出</c:v>
                </c:pt>
                <c:pt idx="2">
                  <c:v>卫生健康支出</c:v>
                </c:pt>
              </c:strCache>
            </c:strRef>
          </c:cat>
          <c:val>
            <c:numRef>
              <c:extLst>
                <c:ext xmlns:c15="http://schemas.microsoft.com/office/drawing/2012/chart" uri="{02D57815-91ED-43cb-92C2-25804820EDAC}">
                  <c15:fullRef>
                    <c15:sqref>Sheet1!$B$2:$B$5</c15:sqref>
                  </c15:fullRef>
                </c:ext>
              </c:extLst>
              <c:f>Sheet1!$B$2:$B$4</c:f>
              <c:numCache>
                <c:formatCode>General</c:formatCode>
                <c:ptCount val="3"/>
                <c:pt idx="0">
                  <c:v>6.84</c:v>
                </c:pt>
                <c:pt idx="1">
                  <c:v>886.38</c:v>
                </c:pt>
                <c:pt idx="2">
                  <c:v>1475.79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0216235805750181"/>
          <c:y val="0.884172845819484"/>
          <c:w val="0.954940806958202"/>
          <c:h val="0.085144464331373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537dc83-fba5-4e68-9041-a717a653c6d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1000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8">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8">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7217</Words>
  <Characters>7787</Characters>
  <Lines>61</Lines>
  <Paragraphs>17</Paragraphs>
  <TotalTime>6</TotalTime>
  <ScaleCrop>false</ScaleCrop>
  <LinksUpToDate>false</LinksUpToDate>
  <CharactersWithSpaces>7812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2026-09-03T10:27:00Z</cp:lastPrinted>
  <dcterms:modified xsi:type="dcterms:W3CDTF">2026-09-14T11:16:09Z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400D301575C74348A5277D00A7902E06</vt:lpwstr>
  </property>
  <property fmtid="{D5CDD505-2E9C-101B-9397-08002B2CF9AE}" pid="4" name="KSOTemplateDocerSaveRecord">
    <vt:lpwstr>eyJoZGlkIjoiNjM2ZmFhZTk5YThhYzZhNzZjNmU4N2MxZGY1YzQxYzcifQ==</vt:lpwstr>
  </property>
</Properties>
</file>