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B67564">
      <w:pPr>
        <w:rPr>
          <w:rFonts w:ascii="Times New Roman" w:hAnsi="Times New Roman"/>
        </w:rPr>
      </w:pPr>
      <w:bookmarkStart w:id="0" w:name="_Toc15378441"/>
      <w:bookmarkStart w:id="1" w:name="_Toc15396475"/>
      <w:bookmarkStart w:id="2" w:name="_Toc15396597"/>
      <w:bookmarkStart w:id="3" w:name="_Toc15377193"/>
      <w:bookmarkStart w:id="4" w:name="_Toc15377425"/>
      <w:bookmarkStart w:id="5" w:name="_Toc15306267"/>
    </w:p>
    <w:p w14:paraId="6A7E0118">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2FE89110">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672C1EA6">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2A68867B">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5D35B72B">
      <w:pPr>
        <w:pStyle w:val="6"/>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78442"/>
      <w:bookmarkStart w:id="8" w:name="_Toc15377426"/>
      <w:bookmarkStart w:id="9" w:name="_Toc15396598"/>
      <w:bookmarkStart w:id="10" w:name="_Toc15396476"/>
      <w:r>
        <w:rPr>
          <w:rFonts w:hint="eastAsia" w:ascii="Times New Roman" w:hAnsi="Times New Roman" w:eastAsia="方正小标宋简体" w:cs="Times New Roman"/>
          <w:color w:val="auto"/>
          <w:kern w:val="2"/>
          <w:sz w:val="44"/>
          <w:szCs w:val="44"/>
          <w:highlight w:val="none"/>
          <w:lang w:val="en-US" w:eastAsia="zh-CN" w:bidi="ar-SA"/>
        </w:rPr>
        <w:t>2025年度</w:t>
      </w:r>
      <w:bookmarkEnd w:id="5"/>
      <w:bookmarkEnd w:id="6"/>
      <w:bookmarkEnd w:id="7"/>
      <w:bookmarkEnd w:id="8"/>
      <w:bookmarkEnd w:id="9"/>
      <w:bookmarkEnd w:id="10"/>
      <w:r>
        <w:rPr>
          <w:rFonts w:hint="eastAsia" w:ascii="Times New Roman" w:hAnsi="Times New Roman" w:eastAsia="方正小标宋简体" w:cs="Times New Roman"/>
          <w:color w:val="auto"/>
          <w:kern w:val="2"/>
          <w:sz w:val="44"/>
          <w:szCs w:val="44"/>
          <w:highlight w:val="none"/>
          <w:lang w:val="en-US" w:eastAsia="zh-CN" w:bidi="ar-SA"/>
        </w:rPr>
        <w:t>四川省</w:t>
      </w:r>
      <w:bookmarkStart w:id="11" w:name="_Toc15306268"/>
      <w:r>
        <w:rPr>
          <w:rFonts w:hint="eastAsia" w:ascii="Times New Roman" w:hAnsi="Times New Roman" w:eastAsia="方正小标宋简体" w:cs="Times New Roman"/>
          <w:color w:val="auto"/>
          <w:kern w:val="2"/>
          <w:sz w:val="44"/>
          <w:szCs w:val="44"/>
          <w:highlight w:val="none"/>
          <w:lang w:val="en-US" w:eastAsia="zh-CN" w:bidi="ar-SA"/>
        </w:rPr>
        <w:t>攀枝花市紧急医学救援中心</w:t>
      </w:r>
      <w:r>
        <w:rPr>
          <w:rFonts w:hint="eastAsia" w:ascii="Times New Roman"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单位决算</w:t>
      </w:r>
      <w:bookmarkEnd w:id="11"/>
    </w:p>
    <w:p w14:paraId="62E31A75">
      <w:pPr>
        <w:widowControl/>
        <w:jc w:val="center"/>
        <w:rPr>
          <w:rFonts w:hint="eastAsia" w:ascii="Times New Roman" w:hAnsi="Times New Roman" w:eastAsia="黑体"/>
          <w:color w:val="auto"/>
          <w:sz w:val="48"/>
          <w:szCs w:val="48"/>
          <w:highlight w:val="none"/>
        </w:rPr>
        <w:sectPr>
          <w:headerReference r:id="rId4" w:type="first"/>
          <w:footerReference r:id="rId6" w:type="first"/>
          <w:headerReference r:id="rId3" w:type="default"/>
          <w:footerReference r:id="rId5" w:type="default"/>
          <w:pgSz w:w="11906" w:h="16838"/>
          <w:pgMar w:top="1440" w:right="1800" w:bottom="1440" w:left="1800" w:header="851" w:footer="992" w:gutter="0"/>
          <w:pgNumType w:fmt="numberInDash" w:start="1"/>
          <w:cols w:space="425" w:num="1"/>
          <w:docGrid w:type="lines" w:linePitch="312" w:charSpace="0"/>
        </w:sectPr>
      </w:pPr>
    </w:p>
    <w:p w14:paraId="7B6870D7">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76347B1">
      <w:pPr>
        <w:widowControl/>
        <w:jc w:val="center"/>
        <w:rPr>
          <w:rFonts w:ascii="Times New Roman" w:hAnsi="Times New Roman" w:eastAsia="黑体" w:cstheme="minorBidi"/>
          <w:color w:val="auto"/>
          <w:sz w:val="28"/>
          <w:szCs w:val="28"/>
          <w:highlight w:val="none"/>
        </w:rPr>
      </w:pPr>
    </w:p>
    <w:p w14:paraId="3D2EF024">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default" w:ascii="Times New Roman" w:hAnsi="Times New Roman" w:eastAsia="仿宋_GB2312" w:cs="仿宋_GB2312"/>
          <w:color w:val="auto"/>
          <w:sz w:val="32"/>
          <w:szCs w:val="32"/>
          <w:highlight w:val="none"/>
          <w:lang w:val="en-US" w:eastAsia="zh-CN"/>
        </w:rPr>
        <w:t>14</w:t>
      </w:r>
      <w:bookmarkStart w:id="69" w:name="_GoBack"/>
      <w:bookmarkEnd w:id="69"/>
      <w:r>
        <w:rPr>
          <w:rFonts w:hint="eastAsia" w:ascii="Times New Roman" w:hAnsi="Times New Roman" w:eastAsia="仿宋_GB2312" w:cs="仿宋_GB2312"/>
          <w:color w:val="auto"/>
          <w:sz w:val="32"/>
          <w:szCs w:val="32"/>
          <w:highlight w:val="none"/>
        </w:rPr>
        <w:t>日</w:t>
      </w:r>
    </w:p>
    <w:p w14:paraId="78B13794">
      <w:pPr>
        <w:rPr>
          <w:rFonts w:ascii="Times New Roman" w:hAnsi="Times New Roman"/>
          <w:color w:val="auto"/>
          <w:highlight w:val="none"/>
        </w:rPr>
      </w:pPr>
    </w:p>
    <w:p w14:paraId="7DE933CF">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bookmarkStart w:id="12" w:name="_Toc15377196"/>
      <w:bookmarkStart w:id="13" w:name="_Toc15396599"/>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概况</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4</w:t>
      </w:r>
    </w:p>
    <w:p w14:paraId="653C735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单位职责</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4</w:t>
      </w:r>
    </w:p>
    <w:p w14:paraId="6B64B53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4</w:t>
      </w:r>
    </w:p>
    <w:p w14:paraId="55AA067E">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决算情况说明</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5</w:t>
      </w:r>
    </w:p>
    <w:p w14:paraId="1255C80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default" w:ascii="Times New Roman" w:hAnsi="Times New Roman" w:cs="Times New Roman"/>
          <w:sz w:val="24"/>
          <w:szCs w:val="24"/>
          <w:lang w:bidi="ar-SA"/>
        </w:rPr>
        <w:tab/>
      </w:r>
      <w:r>
        <w:rPr>
          <w:rFonts w:hint="eastAsia" w:cs="Times New Roman"/>
          <w:sz w:val="24"/>
          <w:szCs w:val="24"/>
          <w:lang w:val="en-US" w:eastAsia="zh-CN" w:bidi="ar-SA"/>
        </w:rPr>
        <w:t>5</w:t>
      </w:r>
    </w:p>
    <w:p w14:paraId="3374831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5</w:t>
      </w:r>
    </w:p>
    <w:p w14:paraId="664CB9A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default" w:ascii="Times New Roman" w:hAnsi="Times New Roman" w:cs="Times New Roman"/>
          <w:sz w:val="24"/>
          <w:szCs w:val="24"/>
          <w:lang w:bidi="ar-SA"/>
        </w:rPr>
        <w:tab/>
      </w:r>
      <w:r>
        <w:rPr>
          <w:rFonts w:hint="eastAsia" w:cs="Times New Roman"/>
          <w:sz w:val="24"/>
          <w:szCs w:val="24"/>
          <w:lang w:val="en-US" w:eastAsia="zh-CN" w:bidi="ar-SA"/>
        </w:rPr>
        <w:t>6</w:t>
      </w:r>
    </w:p>
    <w:p w14:paraId="1A2166D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6</w:t>
      </w:r>
    </w:p>
    <w:p w14:paraId="1508227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7</w:t>
      </w:r>
    </w:p>
    <w:p w14:paraId="566343A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9</w:t>
      </w:r>
    </w:p>
    <w:p w14:paraId="0D270C1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10</w:t>
      </w:r>
    </w:p>
    <w:p w14:paraId="215DF5A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11</w:t>
      </w:r>
    </w:p>
    <w:p w14:paraId="5FD9F09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w:t>
      </w:r>
      <w:r>
        <w:rPr>
          <w:rFonts w:hint="eastAsia" w:cs="Times New Roman"/>
          <w:sz w:val="24"/>
          <w:szCs w:val="24"/>
          <w:lang w:val="en-US" w:eastAsia="zh-CN" w:bidi="ar-SA"/>
        </w:rPr>
        <w:t>1</w:t>
      </w:r>
    </w:p>
    <w:p w14:paraId="049FEB8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12</w:t>
      </w:r>
    </w:p>
    <w:p w14:paraId="60BBA219">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13</w:t>
      </w:r>
    </w:p>
    <w:p w14:paraId="2B3BECE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16</w:t>
      </w:r>
    </w:p>
    <w:p w14:paraId="0CBE8A4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17</w:t>
      </w:r>
    </w:p>
    <w:p w14:paraId="0F333B7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w:t>
      </w:r>
      <w:r>
        <w:rPr>
          <w:rFonts w:hint="eastAsia" w:cs="Times New Roman"/>
          <w:sz w:val="24"/>
          <w:szCs w:val="24"/>
          <w:lang w:val="en-US" w:eastAsia="zh-CN" w:bidi="ar-SA"/>
        </w:rPr>
        <w:t>7</w:t>
      </w:r>
    </w:p>
    <w:p w14:paraId="29BF19E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w:t>
      </w:r>
      <w:r>
        <w:rPr>
          <w:rFonts w:hint="eastAsia" w:cs="Times New Roman"/>
          <w:sz w:val="24"/>
          <w:szCs w:val="24"/>
          <w:lang w:val="en-US" w:eastAsia="zh-CN" w:bidi="ar-SA"/>
        </w:rPr>
        <w:t>7</w:t>
      </w:r>
    </w:p>
    <w:p w14:paraId="26A3ED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w:t>
      </w:r>
      <w:r>
        <w:rPr>
          <w:rFonts w:hint="eastAsia" w:cs="Times New Roman"/>
          <w:sz w:val="24"/>
          <w:szCs w:val="24"/>
          <w:lang w:val="en-US" w:eastAsia="zh-CN" w:bidi="ar-SA"/>
        </w:rPr>
        <w:t>7</w:t>
      </w:r>
    </w:p>
    <w:p w14:paraId="0F3FC9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w:t>
      </w:r>
      <w:r>
        <w:rPr>
          <w:rFonts w:hint="eastAsia" w:cs="Times New Roman"/>
          <w:sz w:val="24"/>
          <w:szCs w:val="24"/>
          <w:lang w:val="en-US" w:eastAsia="zh-CN" w:bidi="ar-SA"/>
        </w:rPr>
        <w:t>7</w:t>
      </w:r>
    </w:p>
    <w:p w14:paraId="4D589C3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w:t>
      </w:r>
      <w:r>
        <w:rPr>
          <w:rFonts w:hint="eastAsia" w:cs="Times New Roman"/>
          <w:sz w:val="24"/>
          <w:szCs w:val="24"/>
          <w:lang w:val="en-US" w:eastAsia="zh-CN" w:bidi="ar-SA"/>
        </w:rPr>
        <w:t>7</w:t>
      </w:r>
    </w:p>
    <w:p w14:paraId="52880A8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w:t>
      </w:r>
      <w:r>
        <w:rPr>
          <w:rFonts w:hint="eastAsia" w:cs="Times New Roman"/>
          <w:sz w:val="24"/>
          <w:szCs w:val="24"/>
          <w:lang w:val="en-US" w:eastAsia="zh-CN" w:bidi="ar-SA"/>
        </w:rPr>
        <w:t>7</w:t>
      </w:r>
    </w:p>
    <w:p w14:paraId="1037DAD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w:t>
      </w:r>
      <w:r>
        <w:rPr>
          <w:rFonts w:hint="eastAsia" w:cs="Times New Roman"/>
          <w:sz w:val="24"/>
          <w:szCs w:val="24"/>
          <w:lang w:val="en-US" w:eastAsia="zh-CN" w:bidi="ar-SA"/>
        </w:rPr>
        <w:t>7</w:t>
      </w:r>
    </w:p>
    <w:p w14:paraId="231A5C2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w:t>
      </w:r>
      <w:r>
        <w:rPr>
          <w:rFonts w:hint="eastAsia" w:cs="Times New Roman"/>
          <w:sz w:val="24"/>
          <w:szCs w:val="24"/>
          <w:lang w:val="en-US" w:eastAsia="zh-CN" w:bidi="ar-SA"/>
        </w:rPr>
        <w:t>7</w:t>
      </w:r>
    </w:p>
    <w:p w14:paraId="410DC04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w:t>
      </w:r>
      <w:r>
        <w:rPr>
          <w:rFonts w:hint="eastAsia" w:cs="Times New Roman"/>
          <w:sz w:val="24"/>
          <w:szCs w:val="24"/>
          <w:lang w:val="en-US" w:eastAsia="zh-CN" w:bidi="ar-SA"/>
        </w:rPr>
        <w:t>7</w:t>
      </w:r>
    </w:p>
    <w:p w14:paraId="2E715FE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w:t>
      </w:r>
      <w:r>
        <w:rPr>
          <w:rFonts w:hint="eastAsia" w:cs="Times New Roman"/>
          <w:sz w:val="24"/>
          <w:szCs w:val="24"/>
          <w:lang w:val="en-US" w:eastAsia="zh-CN" w:bidi="ar-SA"/>
        </w:rPr>
        <w:t>7</w:t>
      </w:r>
    </w:p>
    <w:p w14:paraId="2FDED88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w:t>
      </w:r>
      <w:r>
        <w:rPr>
          <w:rFonts w:hint="eastAsia" w:cs="Times New Roman"/>
          <w:sz w:val="24"/>
          <w:szCs w:val="24"/>
          <w:lang w:val="en-US" w:eastAsia="zh-CN" w:bidi="ar-SA"/>
        </w:rPr>
        <w:t>7</w:t>
      </w:r>
    </w:p>
    <w:p w14:paraId="009BB90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w:t>
      </w:r>
      <w:r>
        <w:rPr>
          <w:rFonts w:hint="eastAsia" w:cs="Times New Roman"/>
          <w:sz w:val="24"/>
          <w:szCs w:val="24"/>
          <w:lang w:val="en-US" w:eastAsia="zh-CN" w:bidi="ar-SA"/>
        </w:rPr>
        <w:t>7</w:t>
      </w:r>
    </w:p>
    <w:p w14:paraId="7A9E730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default" w:ascii="Times New Roman" w:hAnsi="Times New Roman" w:cs="Times New Roman"/>
          <w:sz w:val="24"/>
          <w:szCs w:val="24"/>
          <w:lang w:bidi="ar-SA"/>
        </w:rPr>
        <w:tab/>
      </w:r>
      <w:r>
        <w:rPr>
          <w:rFonts w:hint="eastAsia" w:ascii="Times New Roman" w:hAnsi="Times New Roman" w:cs="Times New Roman"/>
          <w:sz w:val="24"/>
          <w:szCs w:val="24"/>
          <w:lang w:val="en-US" w:eastAsia="zh-CN" w:bidi="ar-SA"/>
        </w:rPr>
        <w:t>1</w:t>
      </w:r>
      <w:r>
        <w:rPr>
          <w:rFonts w:hint="eastAsia" w:cs="Times New Roman"/>
          <w:sz w:val="24"/>
          <w:szCs w:val="24"/>
          <w:lang w:val="en-US" w:eastAsia="zh-CN" w:bidi="ar-SA"/>
        </w:rPr>
        <w:t>7</w:t>
      </w:r>
    </w:p>
    <w:p w14:paraId="3478F6DC">
      <w:pPr>
        <w:pStyle w:val="3"/>
        <w:jc w:val="center"/>
        <w:rPr>
          <w:rFonts w:hint="eastAsia" w:ascii="Times New Roman" w:hAnsi="Times New Roman" w:eastAsia="方正小标宋简体" w:cs="方正小标宋简体"/>
          <w:b w:val="0"/>
          <w:color w:val="auto"/>
          <w:highlight w:val="none"/>
        </w:rPr>
      </w:pPr>
    </w:p>
    <w:p w14:paraId="795CEF1B">
      <w:pPr>
        <w:pStyle w:val="3"/>
        <w:jc w:val="center"/>
        <w:rPr>
          <w:rFonts w:hint="eastAsia" w:ascii="Times New Roman" w:hAnsi="Times New Roman" w:eastAsia="方正小标宋简体" w:cs="方正小标宋简体"/>
          <w:b w:val="0"/>
          <w:color w:val="auto"/>
          <w:highlight w:val="none"/>
        </w:rPr>
      </w:pPr>
    </w:p>
    <w:p w14:paraId="677520ED">
      <w:pPr>
        <w:pStyle w:val="3"/>
        <w:jc w:val="center"/>
        <w:rPr>
          <w:rFonts w:hint="eastAsia" w:ascii="Times New Roman" w:hAnsi="Times New Roman" w:eastAsia="方正小标宋简体" w:cs="方正小标宋简体"/>
          <w:b w:val="0"/>
          <w:color w:val="auto"/>
          <w:highlight w:val="none"/>
        </w:rPr>
      </w:pPr>
    </w:p>
    <w:p w14:paraId="603122A6">
      <w:pPr>
        <w:pStyle w:val="3"/>
        <w:jc w:val="center"/>
        <w:rPr>
          <w:rFonts w:hint="eastAsia" w:ascii="Times New Roman" w:hAnsi="Times New Roman" w:eastAsia="方正小标宋简体" w:cs="方正小标宋简体"/>
          <w:b w:val="0"/>
          <w:color w:val="auto"/>
          <w:highlight w:val="none"/>
        </w:rPr>
      </w:pPr>
    </w:p>
    <w:p w14:paraId="321FAE61">
      <w:pPr>
        <w:pStyle w:val="3"/>
        <w:jc w:val="both"/>
        <w:rPr>
          <w:rFonts w:hint="eastAsia" w:ascii="Times New Roman" w:hAnsi="Times New Roman" w:eastAsia="方正小标宋简体" w:cs="方正小标宋简体"/>
          <w:b w:val="0"/>
          <w:color w:val="auto"/>
          <w:highlight w:val="none"/>
        </w:rPr>
      </w:pPr>
    </w:p>
    <w:p w14:paraId="3C484D0D">
      <w:pPr>
        <w:rPr>
          <w:rFonts w:hint="eastAsia" w:ascii="Times New Roman" w:hAnsi="Times New Roman"/>
        </w:rPr>
      </w:pPr>
    </w:p>
    <w:p w14:paraId="1F36C0DA">
      <w:pPr>
        <w:pStyle w:val="3"/>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059A0C92">
      <w:pPr>
        <w:pStyle w:val="4"/>
        <w:rPr>
          <w:rStyle w:val="29"/>
          <w:rFonts w:hint="eastAsia" w:ascii="Times New Roman" w:hAnsi="Times New Roman" w:eastAsia="黑体"/>
          <w:b w:val="0"/>
          <w:bCs w:val="0"/>
          <w:color w:val="auto"/>
          <w:highlight w:val="none"/>
          <w:lang w:eastAsia="zh-CN"/>
        </w:rPr>
      </w:pPr>
      <w:bookmarkStart w:id="14" w:name="_Toc15396600"/>
      <w:bookmarkStart w:id="15" w:name="_Toc15377197"/>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eastAsia="zh-CN"/>
        </w:rPr>
        <w:t>部门职责</w:t>
      </w:r>
    </w:p>
    <w:p w14:paraId="277EF0A5">
      <w:pPr>
        <w:ind w:firstLine="800" w:firstLineChars="250"/>
        <w:rPr>
          <w:rFonts w:hint="eastAsia" w:ascii="Times New Roman" w:hAnsi="Times New Roman" w:eastAsia="仿宋_GB2312" w:cs="仿宋_GB2312"/>
          <w:color w:val="auto"/>
          <w:sz w:val="32"/>
          <w:szCs w:val="32"/>
          <w:highlight w:val="none"/>
        </w:rPr>
      </w:pPr>
      <w:bookmarkStart w:id="16" w:name="_Toc15377200"/>
      <w:bookmarkStart w:id="17" w:name="_Toc15396601"/>
      <w:r>
        <w:rPr>
          <w:rFonts w:hint="eastAsia" w:ascii="Times New Roman" w:hAnsi="Times New Roman" w:eastAsia="仿宋_GB2312" w:cs="仿宋_GB2312"/>
          <w:color w:val="auto"/>
          <w:sz w:val="32"/>
          <w:szCs w:val="32"/>
          <w:highlight w:val="none"/>
          <w:lang w:eastAsia="zh-CN"/>
        </w:rPr>
        <w:t>承担日常院前急救和突发公共事件医疗救援的指挥调度；负责传染病人转运协调和危重病人转诊；开展院前急救培训；负责全市救护车的统一规范管理和医疗救援物资储备的日常管理；开展急诊急救质量控制等工作。</w:t>
      </w:r>
    </w:p>
    <w:p w14:paraId="25990F3F">
      <w:pPr>
        <w:pStyle w:val="4"/>
        <w:rPr>
          <w:rStyle w:val="29"/>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6"/>
      <w:bookmarkEnd w:id="17"/>
    </w:p>
    <w:p w14:paraId="47C737A3">
      <w:pPr>
        <w:ind w:firstLine="800" w:firstLineChars="25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攀枝花市紧急医学救援中心下属二级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ascii="Times New Roman" w:hAnsi="Times New Roman"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0C282846">
      <w:pPr>
        <w:pStyle w:val="6"/>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纳入攀枝花市紧急医学救援中心</w:t>
      </w:r>
      <w:r>
        <w:rPr>
          <w:rFonts w:hint="eastAsia" w:ascii="Times New Roman" w:hAns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w:t>
      </w:r>
      <w:r>
        <w:rPr>
          <w:rFonts w:hint="eastAsia" w:ascii="Times New Roman" w:hAnsi="Times New Roman" w:cs="仿宋_GB2312"/>
          <w:color w:val="auto"/>
          <w:sz w:val="32"/>
          <w:szCs w:val="32"/>
          <w:highlight w:val="none"/>
          <w:lang w:eastAsia="zh-CN"/>
        </w:rPr>
        <w:t>无。</w:t>
      </w:r>
    </w:p>
    <w:p w14:paraId="7038B19F">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4FD1181F">
      <w:pPr>
        <w:pStyle w:val="3"/>
        <w:jc w:val="center"/>
        <w:rPr>
          <w:rFonts w:hint="eastAsia" w:ascii="Times New Roman" w:hAnsi="Times New Roman" w:eastAsia="方正小标宋简体" w:cs="方正小标宋简体"/>
          <w:b w:val="0"/>
          <w:color w:val="auto"/>
          <w:highlight w:val="none"/>
        </w:rPr>
      </w:pPr>
      <w:bookmarkStart w:id="18" w:name="_Toc15396602"/>
      <w:bookmarkStart w:id="19"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p>
    <w:p w14:paraId="76450FEE">
      <w:pPr>
        <w:rPr>
          <w:rFonts w:ascii="Times New Roman" w:hAnsi="Times New Roman"/>
          <w:color w:val="auto"/>
          <w:highlight w:val="none"/>
        </w:rPr>
      </w:pPr>
    </w:p>
    <w:p w14:paraId="33C5782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77205"/>
      <w:bookmarkStart w:id="21"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0"/>
      <w:bookmarkEnd w:id="21"/>
    </w:p>
    <w:p w14:paraId="357DA2C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2025年度收入</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Times New Roman" w:hAnsi="Times New Roman" w:eastAsia="仿宋_GB2312" w:cs="仿宋_GB2312"/>
          <w:sz w:val="32"/>
          <w:szCs w:val="32"/>
        </w:rPr>
        <w:t>294.49</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ascii="Times New Roman" w:hAnsi="Times New Roman" w:eastAsia="仿宋_GB2312" w:cs="仿宋_GB2312"/>
          <w:color w:val="auto"/>
          <w:sz w:val="32"/>
          <w:szCs w:val="32"/>
          <w:highlight w:val="none"/>
          <w:lang w:val="en-US" w:eastAsia="zh-CN"/>
        </w:rPr>
        <w:t>40.71</w:t>
      </w:r>
      <w:r>
        <w:rPr>
          <w:rFonts w:hint="eastAsia" w:ascii="Times New Roman" w:hAnsi="Times New Roman" w:eastAsia="仿宋_GB2312" w:cs="仿宋_GB2312"/>
          <w:color w:val="auto"/>
          <w:sz w:val="32"/>
          <w:szCs w:val="32"/>
          <w:highlight w:val="none"/>
        </w:rPr>
        <w:t>万元，增长</w:t>
      </w:r>
      <w:r>
        <w:rPr>
          <w:rFonts w:hint="eastAsia" w:ascii="Times New Roman" w:hAnsi="Times New Roman"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%。主要变动原因是</w:t>
      </w:r>
      <w:r>
        <w:rPr>
          <w:rFonts w:hint="eastAsia" w:ascii="Times New Roman" w:hAnsi="Times New Roman" w:eastAsia="仿宋_GB2312" w:cs="仿宋_GB2312"/>
          <w:color w:val="auto"/>
          <w:sz w:val="32"/>
          <w:szCs w:val="32"/>
          <w:highlight w:val="none"/>
          <w:lang w:val="en-US" w:eastAsia="zh-CN"/>
        </w:rPr>
        <w:t>根据中心发展规划和需要，增加了项目，所以增加了项目经费。</w:t>
      </w:r>
    </w:p>
    <w:p w14:paraId="7204255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3731A21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3286125" cy="2674620"/>
            <wp:effectExtent l="4445" t="4445" r="5080" b="698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08DEB0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96604"/>
      <w:bookmarkStart w:id="23" w:name="_Toc15377206"/>
      <w:r>
        <w:rPr>
          <w:rFonts w:hint="eastAsia" w:ascii="Times New Roman" w:hAnsi="Times New Roman" w:eastAsia="黑体"/>
          <w:color w:val="auto"/>
          <w:sz w:val="32"/>
          <w:szCs w:val="32"/>
          <w:highlight w:val="none"/>
          <w:lang w:eastAsia="zh-CN"/>
        </w:rPr>
        <w:t>二、收入决算情况说明</w:t>
      </w:r>
      <w:bookmarkEnd w:id="22"/>
      <w:bookmarkEnd w:id="23"/>
    </w:p>
    <w:p w14:paraId="62C77CE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2025年度本年收入合计</w:t>
      </w:r>
      <w:r>
        <w:rPr>
          <w:rFonts w:hint="eastAsia" w:ascii="Times New Roman" w:hAnsi="Times New Roman" w:eastAsia="仿宋_GB2312" w:cs="仿宋_GB2312"/>
          <w:sz w:val="32"/>
          <w:szCs w:val="32"/>
        </w:rPr>
        <w:t>294.49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Times New Roman" w:hAnsi="Times New Roman" w:eastAsia="仿宋_GB2312" w:cs="仿宋_GB2312"/>
          <w:sz w:val="32"/>
          <w:szCs w:val="32"/>
        </w:rPr>
        <w:t>294.49</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1CC223D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7445BD44">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3952240" cy="2731770"/>
            <wp:effectExtent l="4445" t="4445" r="5715" b="698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3B6A82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sz w:val="32"/>
          <w:highlight w:val="none"/>
        </w:rPr>
      </w:pPr>
      <w:bookmarkStart w:id="24" w:name="_Toc15396605"/>
      <w:bookmarkStart w:id="2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sz w:val="32"/>
          <w:highlight w:val="none"/>
        </w:rPr>
        <w:t>出决算情况说明</w:t>
      </w:r>
      <w:bookmarkEnd w:id="24"/>
      <w:bookmarkEnd w:id="25"/>
    </w:p>
    <w:p w14:paraId="728A0E6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2025年度本年支出合计</w:t>
      </w:r>
      <w:r>
        <w:rPr>
          <w:rFonts w:hint="eastAsia" w:ascii="Times New Roman" w:hAnsi="Times New Roman" w:eastAsia="仿宋_GB2312" w:cs="仿宋_GB2312"/>
          <w:sz w:val="32"/>
          <w:szCs w:val="32"/>
        </w:rPr>
        <w:t>294.49</w:t>
      </w:r>
      <w:r>
        <w:rPr>
          <w:rFonts w:hint="eastAsia" w:ascii="Times New Roman" w:hAnsi="Times New Roman" w:eastAsia="仿宋_GB2312" w:cs="仿宋_GB2312"/>
          <w:color w:val="auto"/>
          <w:sz w:val="32"/>
          <w:szCs w:val="32"/>
          <w:highlight w:val="none"/>
          <w:lang w:eastAsia="zh-CN"/>
        </w:rPr>
        <w:t>万元，其中：基本支出</w:t>
      </w:r>
      <w:r>
        <w:rPr>
          <w:rFonts w:hint="eastAsia" w:ascii="Times New Roman" w:hAnsi="Times New Roman" w:eastAsia="仿宋_GB2312" w:cs="仿宋_GB2312"/>
          <w:sz w:val="32"/>
          <w:szCs w:val="32"/>
        </w:rPr>
        <w:t>216.65</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sz w:val="32"/>
          <w:szCs w:val="32"/>
        </w:rPr>
        <w:t>73.</w:t>
      </w:r>
      <w:r>
        <w:rPr>
          <w:rFonts w:hint="eastAsia" w:eastAsia="仿宋_GB2312" w:cs="仿宋_GB2312"/>
          <w:sz w:val="32"/>
          <w:szCs w:val="32"/>
          <w:lang w:val="en-US" w:eastAsia="zh-CN"/>
        </w:rPr>
        <w:t>6</w:t>
      </w:r>
      <w:r>
        <w:rPr>
          <w:rFonts w:hint="eastAsia" w:ascii="Times New Roman" w:hAnsi="Times New Roman" w:eastAsia="仿宋_GB2312" w:cs="仿宋_GB2312"/>
          <w:color w:val="auto"/>
          <w:sz w:val="32"/>
          <w:szCs w:val="32"/>
          <w:highlight w:val="none"/>
          <w:lang w:eastAsia="zh-CN"/>
        </w:rPr>
        <w:t>%；项目支出</w:t>
      </w:r>
      <w:r>
        <w:rPr>
          <w:rFonts w:hint="eastAsia" w:ascii="Times New Roman" w:hAnsi="Times New Roman" w:eastAsia="仿宋_GB2312" w:cs="仿宋_GB2312"/>
          <w:sz w:val="32"/>
          <w:szCs w:val="32"/>
        </w:rPr>
        <w:t>77.84</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sz w:val="32"/>
          <w:szCs w:val="32"/>
        </w:rPr>
        <w:t>26.4</w:t>
      </w:r>
      <w:r>
        <w:rPr>
          <w:rFonts w:hint="eastAsia" w:ascii="Times New Roman" w:hAnsi="Times New Roman" w:eastAsia="仿宋_GB2312" w:cs="仿宋_GB2312"/>
          <w:color w:val="auto"/>
          <w:sz w:val="32"/>
          <w:szCs w:val="32"/>
          <w:highlight w:val="none"/>
          <w:lang w:eastAsia="zh-CN"/>
        </w:rPr>
        <w:t>%；上缴上级支出</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sz w:val="32"/>
          <w:szCs w:val="32"/>
          <w:highlight w:val="none"/>
          <w:lang w:eastAsia="zh-CN"/>
        </w:rPr>
        <w:t>%；经营支出</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2971A78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374CF608">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3942715" cy="2674620"/>
            <wp:effectExtent l="4445" t="5080" r="15240" b="635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A200952">
      <w:pPr>
        <w:spacing w:line="600" w:lineRule="exact"/>
        <w:ind w:firstLine="640" w:firstLineChars="200"/>
        <w:outlineLvl w:val="1"/>
        <w:rPr>
          <w:rStyle w:val="29"/>
          <w:rFonts w:ascii="Times New Roman" w:hAnsi="Times New Roman" w:eastAsia="黑体"/>
          <w:b w:val="0"/>
          <w:color w:val="auto"/>
          <w:highlight w:val="none"/>
        </w:rPr>
      </w:pPr>
      <w:bookmarkStart w:id="26" w:name="_Toc15377208"/>
      <w:bookmarkStart w:id="27"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6"/>
      <w:bookmarkEnd w:id="27"/>
    </w:p>
    <w:p w14:paraId="365090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2025年度财政拨款收入、支出总计均为</w:t>
      </w:r>
      <w:r>
        <w:rPr>
          <w:rFonts w:hint="eastAsia" w:ascii="Times New Roman" w:hAnsi="Times New Roman" w:eastAsia="仿宋_GB2312" w:cs="仿宋_GB2312"/>
          <w:sz w:val="32"/>
          <w:szCs w:val="32"/>
        </w:rPr>
        <w:t>294.49</w:t>
      </w:r>
      <w:r>
        <w:rPr>
          <w:rFonts w:hint="eastAsia" w:ascii="Times New Roman" w:hAnsi="Times New Roman" w:eastAsia="仿宋_GB2312" w:cs="仿宋_GB2312"/>
          <w:color w:val="auto"/>
          <w:kern w:val="2"/>
          <w:sz w:val="32"/>
          <w:szCs w:val="32"/>
          <w:highlight w:val="none"/>
          <w:lang w:val="en-US" w:eastAsia="zh-CN" w:bidi="ar-SA"/>
        </w:rPr>
        <w:t>万元。与上年度相比，财政拨款收入、支出总计各增加</w:t>
      </w:r>
      <w:r>
        <w:rPr>
          <w:rFonts w:hint="eastAsia" w:ascii="Times New Roman" w:hAnsi="Times New Roman" w:eastAsia="仿宋_GB2312"/>
          <w:color w:val="auto"/>
          <w:sz w:val="32"/>
          <w:szCs w:val="32"/>
          <w:lang w:val="en-US" w:eastAsia="zh-CN"/>
        </w:rPr>
        <w:t>40.71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Times New Roman" w:hAnsi="Times New Roman" w:eastAsia="仿宋_GB2312"/>
          <w:color w:val="auto"/>
          <w:sz w:val="32"/>
          <w:szCs w:val="32"/>
          <w:lang w:val="en-US" w:eastAsia="zh-CN"/>
        </w:rPr>
        <w:t>16%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olor w:val="auto"/>
          <w:sz w:val="32"/>
          <w:szCs w:val="32"/>
          <w:lang w:val="en-US" w:eastAsia="zh-CN"/>
        </w:rPr>
        <w:t>根据中心发展规划和需要，增加了项目，所以增加了项目经费</w:t>
      </w:r>
      <w:r>
        <w:rPr>
          <w:rFonts w:hint="eastAsia" w:ascii="Times New Roman" w:hAnsi="Times New Roman" w:eastAsia="仿宋_GB2312"/>
          <w:color w:val="auto"/>
          <w:sz w:val="32"/>
          <w:szCs w:val="32"/>
          <w:highlight w:val="none"/>
          <w:lang w:val="en-US" w:eastAsia="zh-CN"/>
        </w:rPr>
        <w:t>。</w:t>
      </w:r>
    </w:p>
    <w:p w14:paraId="23E13DA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17A8571D">
      <w:pPr>
        <w:spacing w:line="600" w:lineRule="exact"/>
        <w:ind w:firstLine="640"/>
        <w:rPr>
          <w:rStyle w:val="29"/>
          <w:rFonts w:ascii="Times New Roman" w:hAnsi="Times New Roman" w:eastAsia="黑体"/>
          <w:b w:val="0"/>
          <w:color w:val="auto"/>
          <w:highlight w:val="none"/>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630555</wp:posOffset>
            </wp:positionH>
            <wp:positionV relativeFrom="paragraph">
              <wp:posOffset>148590</wp:posOffset>
            </wp:positionV>
            <wp:extent cx="3312795" cy="1895475"/>
            <wp:effectExtent l="4445" t="4445" r="16510" b="508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bookmarkStart w:id="28" w:name="_Toc15396607"/>
      <w:bookmarkStart w:id="29"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8"/>
      <w:bookmarkEnd w:id="29"/>
    </w:p>
    <w:p w14:paraId="0CE23C4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14:paraId="2C625787">
      <w:pPr>
        <w:spacing w:line="600" w:lineRule="exact"/>
        <w:ind w:firstLine="640"/>
        <w:rPr>
          <w:rFonts w:hint="eastAsia" w:eastAsia="仿宋_GB2312"/>
          <w:color w:val="auto"/>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w:t>
      </w:r>
      <w:r>
        <w:rPr>
          <w:rFonts w:hint="eastAsia" w:ascii="Times New Roman" w:hAnsi="Times New Roman" w:eastAsia="仿宋_GB2312" w:cs="仿宋_GB2312"/>
          <w:sz w:val="32"/>
          <w:szCs w:val="32"/>
        </w:rPr>
        <w:t>294.49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Times New Roman" w:hAnsi="Times New Roman"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%。与上年度相比，一般公共预算财政拨款支出增加40.71万元，增长16%。主要变动原因是</w:t>
      </w:r>
      <w:r>
        <w:rPr>
          <w:rFonts w:hint="eastAsia" w:ascii="Times New Roman" w:hAnsi="Times New Roman" w:eastAsia="仿宋_GB2312"/>
          <w:color w:val="auto"/>
          <w:sz w:val="32"/>
          <w:szCs w:val="32"/>
          <w:lang w:val="en-US" w:eastAsia="zh-CN"/>
        </w:rPr>
        <w:t>根据中心发展规划和需要，增加了项目，所以增加了项目经费</w:t>
      </w:r>
      <w:r>
        <w:rPr>
          <w:rFonts w:hint="eastAsia" w:ascii="Times New Roman" w:hAnsi="Times New Roman" w:eastAsia="仿宋_GB2312"/>
          <w:color w:val="auto"/>
          <w:sz w:val="32"/>
          <w:szCs w:val="32"/>
          <w:highlight w:val="none"/>
          <w:lang w:val="en-US" w:eastAsia="zh-CN"/>
        </w:rPr>
        <w:t>。</w:t>
      </w:r>
      <w:r>
        <w:rPr>
          <w:rFonts w:hint="eastAsia" w:eastAsia="仿宋_GB2312"/>
          <w:color w:val="auto"/>
          <w:sz w:val="32"/>
          <w:szCs w:val="32"/>
          <w:highlight w:val="none"/>
          <w:lang w:val="en-US" w:eastAsia="zh-CN"/>
        </w:rPr>
        <w:t>　</w:t>
      </w:r>
    </w:p>
    <w:p w14:paraId="7F8CB6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678180</wp:posOffset>
            </wp:positionH>
            <wp:positionV relativeFrom="paragraph">
              <wp:posOffset>502920</wp:posOffset>
            </wp:positionV>
            <wp:extent cx="3362325" cy="2065020"/>
            <wp:effectExtent l="4445" t="4445" r="5080" b="698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3B153F6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14:paraId="5BBA31F8">
      <w:pPr>
        <w:snapToGrid w:val="0"/>
        <w:spacing w:line="52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w:t>
      </w:r>
      <w:r>
        <w:rPr>
          <w:rFonts w:hint="eastAsia" w:ascii="Times New Roman" w:hAnsi="Times New Roman" w:eastAsia="仿宋_GB2312" w:cs="仿宋_GB2312"/>
          <w:sz w:val="32"/>
          <w:szCs w:val="32"/>
        </w:rPr>
        <w:t>294.49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ascii="Times New Roman" w:hAnsi="Times New Roman" w:eastAsia="仿宋_GB2312"/>
          <w:color w:val="auto"/>
          <w:sz w:val="32"/>
          <w:szCs w:val="32"/>
          <w:lang w:val="en-US" w:eastAsia="zh-CN"/>
        </w:rPr>
        <w:t>社会保障和就业支出21.</w:t>
      </w:r>
      <w:r>
        <w:rPr>
          <w:rFonts w:hint="eastAsia" w:eastAsia="仿宋_GB2312"/>
          <w:color w:val="auto"/>
          <w:sz w:val="32"/>
          <w:szCs w:val="32"/>
          <w:lang w:val="en-US" w:eastAsia="zh-CN"/>
        </w:rPr>
        <w:t>6</w:t>
      </w:r>
      <w:r>
        <w:rPr>
          <w:rFonts w:hint="eastAsia" w:ascii="Times New Roman" w:hAnsi="Times New Roman" w:eastAsia="仿宋_GB2312"/>
          <w:color w:val="auto"/>
          <w:sz w:val="32"/>
          <w:szCs w:val="32"/>
          <w:lang w:val="en-US" w:eastAsia="zh-CN"/>
        </w:rPr>
        <w:t>万元，</w:t>
      </w:r>
      <w:r>
        <w:rPr>
          <w:rFonts w:hint="eastAsia" w:ascii="Times New Roman" w:hAnsi="Times New Roman" w:eastAsia="仿宋_GB2312"/>
          <w:color w:val="auto"/>
          <w:sz w:val="32"/>
          <w:szCs w:val="32"/>
        </w:rPr>
        <w:t>占本年支出的</w:t>
      </w:r>
      <w:r>
        <w:rPr>
          <w:rFonts w:hint="eastAsia" w:ascii="Times New Roman" w:hAnsi="Times New Roman" w:eastAsia="仿宋_GB2312"/>
          <w:color w:val="auto"/>
          <w:sz w:val="32"/>
          <w:szCs w:val="32"/>
          <w:lang w:val="en-US" w:eastAsia="zh-CN"/>
        </w:rPr>
        <w:t>7.3</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；卫生健康支出</w:t>
      </w:r>
      <w:r>
        <w:rPr>
          <w:rFonts w:hint="eastAsia" w:ascii="Times New Roman" w:hAnsi="Times New Roman" w:eastAsia="仿宋_GB2312"/>
          <w:color w:val="auto"/>
          <w:sz w:val="32"/>
          <w:szCs w:val="32"/>
          <w:lang w:val="en-US" w:eastAsia="zh-CN"/>
        </w:rPr>
        <w:t>259.17万元，</w:t>
      </w:r>
      <w:r>
        <w:rPr>
          <w:rFonts w:hint="eastAsia" w:ascii="Times New Roman" w:hAnsi="Times New Roman" w:eastAsia="仿宋_GB2312"/>
          <w:color w:val="auto"/>
          <w:sz w:val="32"/>
          <w:szCs w:val="32"/>
        </w:rPr>
        <w:t>占本年支出的</w:t>
      </w:r>
      <w:r>
        <w:rPr>
          <w:rFonts w:hint="eastAsia" w:ascii="Times New Roman" w:hAnsi="Times New Roman" w:eastAsia="仿宋_GB2312"/>
          <w:color w:val="auto"/>
          <w:sz w:val="32"/>
          <w:szCs w:val="32"/>
          <w:lang w:val="en-US" w:eastAsia="zh-CN"/>
        </w:rPr>
        <w:t>88</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；住房保障支出</w:t>
      </w:r>
      <w:r>
        <w:rPr>
          <w:rFonts w:hint="eastAsia" w:ascii="Times New Roman" w:hAnsi="Times New Roman" w:eastAsia="仿宋_GB2312"/>
          <w:color w:val="auto"/>
          <w:sz w:val="32"/>
          <w:szCs w:val="32"/>
          <w:lang w:val="en-US" w:eastAsia="zh-CN"/>
        </w:rPr>
        <w:t>13.73万元，</w:t>
      </w:r>
      <w:r>
        <w:rPr>
          <w:rFonts w:hint="eastAsia" w:ascii="Times New Roman" w:hAnsi="Times New Roman" w:eastAsia="仿宋_GB2312"/>
          <w:color w:val="auto"/>
          <w:sz w:val="32"/>
          <w:szCs w:val="32"/>
        </w:rPr>
        <w:t>占本年支出的</w:t>
      </w:r>
      <w:r>
        <w:rPr>
          <w:rFonts w:hint="eastAsia" w:ascii="Times New Roman" w:hAnsi="Times New Roman" w:eastAsia="仿宋_GB2312"/>
          <w:color w:val="auto"/>
          <w:sz w:val="32"/>
          <w:szCs w:val="32"/>
          <w:lang w:val="en-US" w:eastAsia="zh-CN"/>
        </w:rPr>
        <w:t>4.</w:t>
      </w:r>
      <w:r>
        <w:rPr>
          <w:rFonts w:hint="eastAsia" w:eastAsia="仿宋_GB2312"/>
          <w:color w:val="auto"/>
          <w:sz w:val="32"/>
          <w:szCs w:val="32"/>
          <w:lang w:val="en-US" w:eastAsia="zh-CN"/>
        </w:rPr>
        <w:t>7</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p>
    <w:p w14:paraId="5C94E2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69DA6394">
      <w:pPr>
        <w:spacing w:line="600" w:lineRule="exact"/>
        <w:ind w:firstLine="640"/>
        <w:rPr>
          <w:rFonts w:hint="eastAsia" w:ascii="Times New Roman" w:hAnsi="Times New Roman" w:eastAsia="楷体_GB2312" w:cs="楷体_GB2312"/>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posOffset>287655</wp:posOffset>
            </wp:positionH>
            <wp:positionV relativeFrom="paragraph">
              <wp:posOffset>23495</wp:posOffset>
            </wp:positionV>
            <wp:extent cx="3904615" cy="2273935"/>
            <wp:effectExtent l="4445" t="5080" r="15240" b="698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14:paraId="02D2FB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3" w:name="_Toc15377213"/>
      <w:bookmarkStart w:id="34" w:name="_Toc15378460"/>
      <w:bookmarkStart w:id="35" w:name="_Toc15377444"/>
      <w:r>
        <w:rPr>
          <w:rFonts w:hint="eastAsia" w:ascii="Times New Roman" w:hAnsi="Times New Roman" w:eastAsia="仿宋_GB2312" w:cs="仿宋_GB2312"/>
          <w:color w:val="auto"/>
          <w:kern w:val="2"/>
          <w:sz w:val="32"/>
          <w:szCs w:val="32"/>
          <w:highlight w:val="none"/>
          <w:lang w:val="en-US" w:eastAsia="zh-CN" w:bidi="ar-SA"/>
        </w:rPr>
        <w:t>2025年度一般公共预算支出决算数为</w:t>
      </w:r>
      <w:r>
        <w:rPr>
          <w:rFonts w:hint="eastAsia" w:ascii="Times New Roman" w:hAnsi="Times New Roman" w:eastAsia="仿宋_GB2312" w:cs="仿宋_GB2312"/>
          <w:sz w:val="32"/>
          <w:szCs w:val="32"/>
        </w:rPr>
        <w:t>294.49</w:t>
      </w:r>
      <w:r>
        <w:rPr>
          <w:rFonts w:hint="eastAsia" w:ascii="Times New Roman" w:hAnsi="Times New Roman" w:eastAsia="仿宋_GB2312" w:cs="仿宋_GB2312"/>
          <w:color w:val="auto"/>
          <w:kern w:val="2"/>
          <w:sz w:val="32"/>
          <w:szCs w:val="32"/>
          <w:highlight w:val="none"/>
          <w:lang w:val="en-US" w:eastAsia="zh-CN" w:bidi="ar-SA"/>
        </w:rPr>
        <w:t>，完成预算100%。其中：</w:t>
      </w:r>
      <w:bookmarkEnd w:id="33"/>
      <w:bookmarkEnd w:id="34"/>
      <w:bookmarkEnd w:id="35"/>
    </w:p>
    <w:p w14:paraId="3482DB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en-US" w:eastAsia="zh-CN" w:bidi="ar-SA"/>
        </w:rPr>
        <w:t>社会保障和就业（208）：行政事业单位养老支出（20805）</w:t>
      </w:r>
      <w:r>
        <w:rPr>
          <w:rFonts w:hint="eastAsia" w:ascii="Times New Roman" w:hAnsi="Times New Roman" w:eastAsia="仿宋_GB2312" w:cs="仿宋_GB2312"/>
          <w:color w:val="auto"/>
          <w:kern w:val="2"/>
          <w:sz w:val="32"/>
          <w:szCs w:val="32"/>
          <w:highlight w:val="none"/>
          <w:lang w:val="en-US" w:eastAsia="zh-CN" w:bidi="ar-SA"/>
        </w:rPr>
        <w:t>事业单位离退休（2080502）决算为2.88万元，</w:t>
      </w:r>
      <w:r>
        <w:rPr>
          <w:rFonts w:hint="default" w:ascii="Times New Roman" w:hAnsi="Times New Roman" w:eastAsia="仿宋_GB2312" w:cs="仿宋_GB2312"/>
          <w:color w:val="auto"/>
          <w:kern w:val="2"/>
          <w:sz w:val="32"/>
          <w:szCs w:val="32"/>
          <w:highlight w:val="none"/>
          <w:lang w:val="en-US" w:eastAsia="zh-CN" w:bidi="ar-SA"/>
        </w:rPr>
        <w:t>完成预算100%，决算数等于预算数</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机关事业单位基本养老保险缴费支出（2080505）决算为</w:t>
      </w:r>
      <w:r>
        <w:rPr>
          <w:rFonts w:hint="eastAsia" w:ascii="Times New Roman" w:hAnsi="Times New Roman" w:eastAsia="仿宋_GB2312" w:cs="仿宋_GB2312"/>
          <w:color w:val="auto"/>
          <w:kern w:val="2"/>
          <w:sz w:val="32"/>
          <w:szCs w:val="32"/>
          <w:highlight w:val="none"/>
          <w:lang w:val="en-US" w:eastAsia="zh-CN" w:bidi="ar-SA"/>
        </w:rPr>
        <w:t>18.72</w:t>
      </w:r>
      <w:r>
        <w:rPr>
          <w:rFonts w:hint="default"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ascii="Times New Roman" w:hAnsi="Times New Roman" w:eastAsia="仿宋_GB2312" w:cs="仿宋_GB2312"/>
          <w:color w:val="auto"/>
          <w:kern w:val="2"/>
          <w:sz w:val="32"/>
          <w:szCs w:val="32"/>
          <w:highlight w:val="none"/>
          <w:lang w:val="en-US" w:eastAsia="zh-CN" w:bidi="ar-SA"/>
        </w:rPr>
        <w:t>。</w:t>
      </w:r>
    </w:p>
    <w:p w14:paraId="4AEAC7F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en-US" w:eastAsia="zh-CN" w:bidi="ar-SA"/>
        </w:rPr>
        <w:t>卫生健康（210）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公立医院（21002）其他公</w:t>
      </w:r>
      <w:r>
        <w:rPr>
          <w:rFonts w:hint="eastAsia" w:ascii="Times New Roman" w:hAnsi="Times New Roman" w:eastAsia="仿宋_GB2312" w:cs="仿宋_GB2312"/>
          <w:color w:val="auto"/>
          <w:kern w:val="2"/>
          <w:sz w:val="32"/>
          <w:szCs w:val="32"/>
          <w:highlight w:val="none"/>
          <w:lang w:val="en-US" w:eastAsia="zh-CN" w:bidi="ar-SA"/>
        </w:rPr>
        <w:t>立医院</w:t>
      </w:r>
      <w:r>
        <w:rPr>
          <w:rFonts w:hint="default" w:ascii="Times New Roman" w:hAnsi="Times New Roman" w:eastAsia="仿宋_GB2312" w:cs="仿宋_GB2312"/>
          <w:color w:val="auto"/>
          <w:kern w:val="2"/>
          <w:sz w:val="32"/>
          <w:szCs w:val="32"/>
          <w:highlight w:val="none"/>
          <w:lang w:val="en-US" w:eastAsia="zh-CN" w:bidi="ar-SA"/>
        </w:rPr>
        <w:t>支出（2100299）决算为</w:t>
      </w:r>
      <w:r>
        <w:rPr>
          <w:rFonts w:hint="eastAsia" w:ascii="Times New Roman" w:hAnsi="Times New Roman" w:eastAsia="仿宋_GB2312" w:cs="仿宋_GB2312"/>
          <w:color w:val="auto"/>
          <w:kern w:val="2"/>
          <w:sz w:val="32"/>
          <w:szCs w:val="32"/>
          <w:highlight w:val="none"/>
          <w:lang w:val="en-US" w:eastAsia="zh-CN" w:bidi="ar-SA"/>
        </w:rPr>
        <w:t>10.9</w:t>
      </w:r>
      <w:r>
        <w:rPr>
          <w:rFonts w:hint="default" w:ascii="Times New Roman" w:hAnsi="Times New Roman" w:eastAsia="仿宋_GB2312" w:cs="仿宋_GB2312"/>
          <w:color w:val="auto"/>
          <w:kern w:val="2"/>
          <w:sz w:val="32"/>
          <w:szCs w:val="32"/>
          <w:highlight w:val="none"/>
          <w:lang w:val="en-US" w:eastAsia="zh-CN" w:bidi="ar-SA"/>
        </w:rPr>
        <w:t>万元，完成预算100%，决算数等于预算数。公共卫生（21004）应急救治机构（2100405）决算为</w:t>
      </w:r>
      <w:r>
        <w:rPr>
          <w:rFonts w:hint="eastAsia" w:ascii="Times New Roman" w:hAnsi="Times New Roman" w:eastAsia="仿宋_GB2312" w:cs="仿宋_GB2312"/>
          <w:color w:val="auto"/>
          <w:kern w:val="2"/>
          <w:sz w:val="32"/>
          <w:szCs w:val="32"/>
          <w:highlight w:val="none"/>
          <w:lang w:val="en-US" w:eastAsia="zh-CN" w:bidi="ar-SA"/>
        </w:rPr>
        <w:t>186.66</w:t>
      </w:r>
      <w:r>
        <w:rPr>
          <w:rFonts w:hint="default" w:ascii="Times New Roman" w:hAnsi="Times New Roman" w:eastAsia="仿宋_GB2312" w:cs="仿宋_GB2312"/>
          <w:color w:val="auto"/>
          <w:kern w:val="2"/>
          <w:sz w:val="32"/>
          <w:szCs w:val="32"/>
          <w:highlight w:val="none"/>
          <w:lang w:val="en-US" w:eastAsia="zh-CN" w:bidi="ar-SA"/>
        </w:rPr>
        <w:t>万元，完成预算100%，决算数等于预算数；基本公共卫生服务（2100408）决算为</w:t>
      </w:r>
      <w:r>
        <w:rPr>
          <w:rFonts w:hint="eastAsia"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ascii="Times New Roman" w:hAnsi="Times New Roman" w:eastAsia="仿宋_GB2312" w:cs="仿宋_GB2312"/>
          <w:color w:val="auto"/>
          <w:kern w:val="2"/>
          <w:sz w:val="32"/>
          <w:szCs w:val="32"/>
          <w:highlight w:val="none"/>
          <w:lang w:val="en-US" w:eastAsia="zh-CN" w:bidi="ar-SA"/>
        </w:rPr>
        <w:t>行政事业单位医疗（21011）事业单位医疗（2101102）决算数为9.11万元，</w:t>
      </w:r>
      <w:r>
        <w:rPr>
          <w:rFonts w:hint="default" w:ascii="Times New Roman" w:hAnsi="Times New Roman" w:eastAsia="仿宋_GB2312" w:cs="仿宋_GB2312"/>
          <w:color w:val="auto"/>
          <w:kern w:val="2"/>
          <w:sz w:val="32"/>
          <w:szCs w:val="32"/>
          <w:highlight w:val="none"/>
          <w:lang w:val="en-US" w:eastAsia="zh-CN" w:bidi="ar-SA"/>
        </w:rPr>
        <w:t>完成预算100%，决算数等于预算数；</w:t>
      </w:r>
      <w:r>
        <w:rPr>
          <w:rFonts w:hint="eastAsia" w:ascii="Times New Roman" w:hAnsi="Times New Roman" w:eastAsia="仿宋_GB2312" w:cs="仿宋_GB2312"/>
          <w:color w:val="auto"/>
          <w:kern w:val="2"/>
          <w:sz w:val="32"/>
          <w:szCs w:val="32"/>
          <w:highlight w:val="none"/>
          <w:lang w:val="en-US" w:eastAsia="zh-CN" w:bidi="ar-SA"/>
        </w:rPr>
        <w:t>公务员医疗补助（2101103）决算数为1.37万元，</w:t>
      </w:r>
      <w:r>
        <w:rPr>
          <w:rFonts w:hint="default" w:ascii="Times New Roman" w:hAnsi="Times New Roman" w:eastAsia="仿宋_GB2312" w:cs="仿宋_GB2312"/>
          <w:color w:val="auto"/>
          <w:kern w:val="2"/>
          <w:sz w:val="32"/>
          <w:szCs w:val="32"/>
          <w:highlight w:val="none"/>
          <w:lang w:val="en-US" w:eastAsia="zh-CN" w:bidi="ar-SA"/>
        </w:rPr>
        <w:t>完成预算100%，决算数等于预算数；</w:t>
      </w:r>
      <w:r>
        <w:rPr>
          <w:rFonts w:hint="eastAsia" w:ascii="Times New Roman" w:hAnsi="Times New Roman" w:eastAsia="仿宋_GB2312" w:cs="仿宋_GB2312"/>
          <w:color w:val="auto"/>
          <w:kern w:val="2"/>
          <w:sz w:val="32"/>
          <w:szCs w:val="32"/>
          <w:highlight w:val="none"/>
          <w:lang w:val="en-US" w:eastAsia="zh-CN" w:bidi="ar-SA"/>
        </w:rPr>
        <w:t>其他行政事业单位医疗支出（2101199）1.12万元，</w:t>
      </w:r>
      <w:r>
        <w:rPr>
          <w:rFonts w:hint="default" w:ascii="Times New Roman" w:hAnsi="Times New Roman" w:eastAsia="仿宋_GB2312" w:cs="仿宋_GB2312"/>
          <w:color w:val="auto"/>
          <w:kern w:val="2"/>
          <w:sz w:val="32"/>
          <w:szCs w:val="32"/>
          <w:highlight w:val="none"/>
          <w:lang w:val="en-US" w:eastAsia="zh-CN" w:bidi="ar-SA"/>
        </w:rPr>
        <w:t>完成预算100%，决算数等于预算数</w:t>
      </w:r>
      <w:r>
        <w:rPr>
          <w:rFonts w:hint="eastAsia" w:ascii="Times New Roman" w:hAnsi="Times New Roman" w:eastAsia="仿宋_GB2312" w:cs="仿宋_GB2312"/>
          <w:color w:val="auto"/>
          <w:kern w:val="2"/>
          <w:sz w:val="32"/>
          <w:szCs w:val="32"/>
          <w:highlight w:val="none"/>
          <w:lang w:val="en-US" w:eastAsia="zh-CN" w:bidi="ar-SA"/>
        </w:rPr>
        <w:t>；其他卫生健康支出（21099）其他卫生健康支出（2109999）决算数为40万元，</w:t>
      </w:r>
      <w:r>
        <w:rPr>
          <w:rFonts w:hint="default" w:ascii="Times New Roman" w:hAnsi="Times New Roman" w:eastAsia="仿宋_GB2312" w:cs="仿宋_GB2312"/>
          <w:color w:val="auto"/>
          <w:kern w:val="2"/>
          <w:sz w:val="32"/>
          <w:szCs w:val="32"/>
          <w:highlight w:val="none"/>
          <w:lang w:val="en-US" w:eastAsia="zh-CN" w:bidi="ar-SA"/>
        </w:rPr>
        <w:t>完成预算100%，决算数等于预算数</w:t>
      </w:r>
      <w:r>
        <w:rPr>
          <w:rFonts w:hint="eastAsia" w:ascii="Times New Roman" w:hAnsi="Times New Roman" w:eastAsia="仿宋_GB2312" w:cs="仿宋_GB2312"/>
          <w:color w:val="auto"/>
          <w:kern w:val="2"/>
          <w:sz w:val="32"/>
          <w:szCs w:val="32"/>
          <w:highlight w:val="none"/>
          <w:lang w:val="en-US" w:eastAsia="zh-CN" w:bidi="ar-SA"/>
        </w:rPr>
        <w:t>。</w:t>
      </w:r>
    </w:p>
    <w:p w14:paraId="64EC641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en-US" w:eastAsia="zh-CN" w:bidi="ar-SA"/>
        </w:rPr>
        <w:t>住房保障支出（221）：住房改革支出（22102）住房公积金（2210201）决算为</w:t>
      </w:r>
      <w:r>
        <w:rPr>
          <w:rFonts w:hint="eastAsia" w:ascii="Times New Roman" w:hAnsi="Times New Roman" w:eastAsia="仿宋_GB2312" w:cs="仿宋_GB2312"/>
          <w:color w:val="auto"/>
          <w:kern w:val="2"/>
          <w:sz w:val="32"/>
          <w:szCs w:val="32"/>
          <w:highlight w:val="none"/>
          <w:lang w:val="en-US" w:eastAsia="zh-CN" w:bidi="ar-SA"/>
        </w:rPr>
        <w:t>13.73</w:t>
      </w:r>
      <w:r>
        <w:rPr>
          <w:rFonts w:hint="default" w:ascii="Times New Roman" w:hAnsi="Times New Roman" w:eastAsia="仿宋_GB2312" w:cs="仿宋_GB2312"/>
          <w:color w:val="auto"/>
          <w:kern w:val="2"/>
          <w:sz w:val="32"/>
          <w:szCs w:val="32"/>
          <w:highlight w:val="none"/>
          <w:lang w:val="en-US" w:eastAsia="zh-CN" w:bidi="ar-SA"/>
        </w:rPr>
        <w:t>万元，完成预算100%，决算数等于预算数。</w:t>
      </w:r>
    </w:p>
    <w:p w14:paraId="20052E4F">
      <w:pPr>
        <w:tabs>
          <w:tab w:val="right" w:pos="8306"/>
        </w:tabs>
        <w:spacing w:line="600" w:lineRule="exact"/>
        <w:ind w:firstLine="640"/>
        <w:outlineLvl w:val="1"/>
        <w:rPr>
          <w:rStyle w:val="29"/>
          <w:rFonts w:ascii="Times New Roman" w:hAnsi="Times New Roman"/>
          <w:color w:val="auto"/>
          <w:highlight w:val="none"/>
        </w:rPr>
      </w:pPr>
      <w:bookmarkStart w:id="36" w:name="_Toc15377214"/>
      <w:bookmarkStart w:id="37"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6"/>
      <w:bookmarkEnd w:id="37"/>
      <w:r>
        <w:rPr>
          <w:rStyle w:val="29"/>
          <w:rFonts w:ascii="Times New Roman" w:hAnsi="Times New Roman" w:eastAsia="黑体"/>
          <w:b w:val="0"/>
          <w:color w:val="auto"/>
          <w:highlight w:val="none"/>
        </w:rPr>
        <w:tab/>
      </w:r>
    </w:p>
    <w:p w14:paraId="0E9ACF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2025年度一般公共预算财政拨款基本支出</w:t>
      </w:r>
      <w:r>
        <w:rPr>
          <w:rFonts w:hint="eastAsia" w:ascii="Times New Roman" w:hAnsi="Times New Roman" w:eastAsia="仿宋_GB2312" w:cs="仿宋_GB2312"/>
          <w:sz w:val="32"/>
          <w:szCs w:val="32"/>
        </w:rPr>
        <w:t>216.65</w:t>
      </w:r>
      <w:r>
        <w:rPr>
          <w:rFonts w:hint="eastAsia" w:ascii="Times New Roman" w:hAnsi="Times New Roman" w:eastAsia="仿宋_GB2312" w:cs="仿宋_GB2312"/>
          <w:color w:val="auto"/>
          <w:kern w:val="2"/>
          <w:sz w:val="32"/>
          <w:szCs w:val="32"/>
          <w:highlight w:val="none"/>
          <w:lang w:val="en-US" w:eastAsia="zh-CN" w:bidi="ar-SA"/>
        </w:rPr>
        <w:t>万元，其中：</w:t>
      </w:r>
    </w:p>
    <w:p w14:paraId="553F86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Times New Roman" w:hAnsi="Times New Roman" w:eastAsia="仿宋_GB2312" w:cs="仿宋_GB2312"/>
          <w:sz w:val="32"/>
          <w:szCs w:val="32"/>
        </w:rPr>
        <w:t>204.43</w:t>
      </w:r>
      <w:r>
        <w:rPr>
          <w:rFonts w:hint="eastAsia" w:ascii="Times New Roman" w:hAnsi="Times New Roman" w:eastAsia="仿宋_GB2312" w:cs="仿宋_GB2312"/>
          <w:color w:val="auto"/>
          <w:kern w:val="2"/>
          <w:sz w:val="32"/>
          <w:szCs w:val="32"/>
          <w:highlight w:val="none"/>
          <w:lang w:val="en-US" w:eastAsia="zh-CN" w:bidi="ar-SA"/>
        </w:rPr>
        <w:t>万元，主要包括：基本工资48万元、津贴补贴5.89万元、奖金0.3万元、绩效工资76.17万元、机关事业单位基本养老保险缴费18.72万元、职工基本医疗保险缴费9.11万元、公务员医疗补助缴费2.49万元、其他社会保障缴费0.95万元、其他工资福利支出26.24万元、住房公积金13.73万元、生活补助2.59万元、医疗费补助0.25万元。</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Times New Roman" w:hAnsi="Times New Roman" w:eastAsia="仿宋_GB2312" w:cs="仿宋_GB2312"/>
          <w:sz w:val="32"/>
          <w:szCs w:val="32"/>
        </w:rPr>
        <w:t>12.22</w:t>
      </w:r>
      <w:r>
        <w:rPr>
          <w:rFonts w:hint="eastAsia" w:ascii="Times New Roman" w:hAnsi="Times New Roman" w:eastAsia="仿宋_GB2312" w:cs="仿宋_GB2312"/>
          <w:color w:val="auto"/>
          <w:kern w:val="2"/>
          <w:sz w:val="32"/>
          <w:szCs w:val="32"/>
          <w:highlight w:val="none"/>
          <w:lang w:val="en-US" w:eastAsia="zh-CN" w:bidi="ar-SA"/>
        </w:rPr>
        <w:t>万元，主要包括：办公费2.44万元、水费0.1万元、邮电费1万元、差旅费2.68万元、维修（护）费0.03万元、培训费0.08万元、劳务费2.04万元、工会经费1.36万元、福利费1.1万元、其他交通费0.28万元、其他商品和服务支出1.11万元。</w:t>
      </w:r>
    </w:p>
    <w:p w14:paraId="3820BE0E">
      <w:pPr>
        <w:spacing w:line="600" w:lineRule="exact"/>
        <w:ind w:firstLine="640"/>
        <w:outlineLvl w:val="1"/>
        <w:rPr>
          <w:rStyle w:val="29"/>
          <w:rFonts w:ascii="Times New Roman" w:hAnsi="Times New Roman" w:eastAsia="黑体"/>
          <w:b w:val="0"/>
          <w:color w:val="auto"/>
          <w:highlight w:val="none"/>
        </w:rPr>
      </w:pPr>
      <w:bookmarkStart w:id="38" w:name="_Toc15396609"/>
      <w:bookmarkStart w:id="39"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8"/>
      <w:bookmarkEnd w:id="39"/>
    </w:p>
    <w:p w14:paraId="2F056BB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0"/>
    </w:p>
    <w:p w14:paraId="2BE3F69B">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2025年度财政拨款“三公”经费支出决算为0万元。决算数与预算数持平。</w:t>
      </w:r>
    </w:p>
    <w:p w14:paraId="40B3B34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1"/>
    </w:p>
    <w:p w14:paraId="515F87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2025年度财政拨款“三公”经费支出决算中，因公出国（境）费支出决算</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万元，占0%；公务用车购置及运行维护费支出决算</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万元，占0%。具体情况如下：</w:t>
      </w:r>
    </w:p>
    <w:p w14:paraId="22BEFB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335280</wp:posOffset>
            </wp:positionH>
            <wp:positionV relativeFrom="paragraph">
              <wp:posOffset>703580</wp:posOffset>
            </wp:positionV>
            <wp:extent cx="4219575" cy="2378710"/>
            <wp:effectExtent l="4445" t="4445" r="5080" b="17145"/>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14:paraId="4129177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3363D9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Times New Roman" w:hAnsi="Times New Roman"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万元，完成预算0%。</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人。因公出国（境）支出决算数与上年数持平。</w:t>
      </w:r>
    </w:p>
    <w:p w14:paraId="344F37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2.公务用车购置及运行维护费支出0万元，完成预算0%。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公务用车购置及运行维护费支出决算数与上年数持平。</w:t>
      </w:r>
    </w:p>
    <w:p w14:paraId="3AD596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万元。全年按规定更新购置公务用车0辆，其中：轿车0辆、金额0万元，越野车0辆、金额0万元，载客汽车0辆、金额0万元。截至2025年12月31日，单位共有公务用车0辆，其中：轿车0辆、越野车0辆、载客汽车0辆。</w:t>
      </w:r>
    </w:p>
    <w:p w14:paraId="388D23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383C45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3.公务接待费支出0万元，完成预算0%。</w:t>
      </w:r>
      <w:r>
        <w:rPr>
          <w:rFonts w:hint="eastAsia" w:ascii="Times New Roman" w:hAnsi="Times New Roman" w:eastAsia="仿宋_GB2312" w:cs="仿宋_GB2312"/>
          <w:color w:val="auto"/>
          <w:kern w:val="2"/>
          <w:sz w:val="32"/>
          <w:szCs w:val="32"/>
          <w:highlight w:val="none"/>
          <w:lang w:val="en-US" w:eastAsia="zh-CN" w:bidi="ar-SA"/>
        </w:rPr>
        <w:t>公务接待费支出决算与上年数持平。其中：国内公务接待支出</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人次（不包括陪同人员），共计支出0万元。</w:t>
      </w:r>
    </w:p>
    <w:p w14:paraId="73E035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人次（不包括陪同人员），共计支出0万元。</w:t>
      </w:r>
    </w:p>
    <w:p w14:paraId="7572FB10">
      <w:pPr>
        <w:spacing w:line="600" w:lineRule="exact"/>
        <w:ind w:firstLine="640"/>
        <w:outlineLvl w:val="1"/>
        <w:rPr>
          <w:rStyle w:val="29"/>
          <w:rFonts w:ascii="Times New Roman" w:hAnsi="Times New Roman" w:eastAsia="黑体"/>
          <w:color w:val="auto"/>
          <w:highlight w:val="none"/>
        </w:rPr>
      </w:pPr>
      <w:bookmarkStart w:id="42" w:name="_Toc15396610"/>
      <w:bookmarkStart w:id="43" w:name="_Toc15377218"/>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2"/>
      <w:bookmarkEnd w:id="43"/>
    </w:p>
    <w:p w14:paraId="75B6C94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2025年度政府性基金预算财政拨款支出</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%。与2024年度持平。</w:t>
      </w:r>
    </w:p>
    <w:p w14:paraId="1DFF80F0">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4" w:name="_Toc15396611"/>
      <w:bookmarkStart w:id="45"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4"/>
      <w:bookmarkEnd w:id="45"/>
    </w:p>
    <w:p w14:paraId="6445BC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2025年度国有资本经营预算财政拨款支出</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%。与2024年度持平。</w:t>
      </w:r>
    </w:p>
    <w:p w14:paraId="668A2653">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6" w:name="_Toc15396612"/>
      <w:bookmarkStart w:id="47"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6"/>
      <w:bookmarkEnd w:id="47"/>
    </w:p>
    <w:p w14:paraId="1CE7EA7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2"/>
      <w:r>
        <w:rPr>
          <w:rFonts w:hint="eastAsia" w:ascii="Times New Roman" w:hAnsi="Times New Roman" w:eastAsia="楷体_GB2312" w:cs="楷体_GB2312"/>
          <w:b/>
          <w:color w:val="auto"/>
          <w:sz w:val="32"/>
          <w:szCs w:val="32"/>
          <w:highlight w:val="none"/>
        </w:rPr>
        <w:t>（一）机关运行经费支出情况</w:t>
      </w:r>
      <w:bookmarkEnd w:id="48"/>
    </w:p>
    <w:p w14:paraId="2CCB4DF3">
      <w:pPr>
        <w:spacing w:line="600" w:lineRule="exact"/>
        <w:ind w:firstLine="640" w:firstLineChars="200"/>
        <w:rPr>
          <w:rFonts w:hint="eastAsia" w:ascii="Times New Roman" w:hAnsi="Times New Roman" w:eastAsia="仿宋"/>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sz w:val="32"/>
          <w:szCs w:val="32"/>
        </w:rPr>
        <w:t>攀枝花市紧急医学救援中心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default" w:ascii="Times New Roman" w:hAnsi="Times New Roman" w:eastAsia="仿宋_GB2312" w:cs="仿宋_GB2312"/>
          <w:sz w:val="32"/>
          <w:szCs w:val="32"/>
        </w:rPr>
        <w:t>与202</w:t>
      </w: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rPr>
        <w:t>年</w:t>
      </w:r>
      <w:r>
        <w:rPr>
          <w:rFonts w:hint="eastAsia" w:ascii="Times New Roman" w:hAnsi="Times New Roman" w:eastAsia="仿宋_GB2312" w:cs="仿宋_GB2312"/>
          <w:sz w:val="32"/>
          <w:szCs w:val="32"/>
          <w:lang w:eastAsia="zh-CN"/>
        </w:rPr>
        <w:t>度</w:t>
      </w:r>
      <w:r>
        <w:rPr>
          <w:rFonts w:hint="default" w:ascii="Times New Roman" w:hAnsi="Times New Roman" w:eastAsia="仿宋_GB2312" w:cs="仿宋_GB2312"/>
          <w:sz w:val="32"/>
          <w:szCs w:val="32"/>
        </w:rPr>
        <w:t>决算数持平。主要原因是市紧急医学救援中心</w:t>
      </w:r>
      <w:r>
        <w:rPr>
          <w:rFonts w:hint="default" w:ascii="Times New Roman" w:hAnsi="Times New Roman" w:eastAsia="仿宋_GB2312" w:cs="仿宋_GB2312"/>
          <w:sz w:val="32"/>
          <w:szCs w:val="32"/>
          <w:lang w:val="en-US" w:eastAsia="zh-CN"/>
        </w:rPr>
        <w:t>为事业单位，按规定未使用机关运行的相关科目。</w:t>
      </w:r>
    </w:p>
    <w:p w14:paraId="52C70E3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23"/>
      <w:r>
        <w:rPr>
          <w:rFonts w:hint="eastAsia" w:ascii="Times New Roman" w:hAnsi="Times New Roman" w:eastAsia="楷体_GB2312" w:cs="楷体_GB2312"/>
          <w:b/>
          <w:color w:val="auto"/>
          <w:sz w:val="32"/>
          <w:szCs w:val="32"/>
          <w:highlight w:val="none"/>
        </w:rPr>
        <w:t>（二）政府采购支出情况</w:t>
      </w:r>
      <w:bookmarkEnd w:id="49"/>
    </w:p>
    <w:p w14:paraId="23CAE8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sz w:val="32"/>
          <w:szCs w:val="32"/>
        </w:rPr>
        <w:t>攀枝花市紧急医学救援中心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42E5ED7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4"/>
      <w:r>
        <w:rPr>
          <w:rFonts w:hint="eastAsia" w:ascii="Times New Roman" w:hAnsi="Times New Roman" w:eastAsia="楷体_GB2312" w:cs="楷体_GB2312"/>
          <w:b/>
          <w:color w:val="auto"/>
          <w:sz w:val="32"/>
          <w:szCs w:val="32"/>
          <w:highlight w:val="none"/>
        </w:rPr>
        <w:t>（三）国有资产占有使用情况</w:t>
      </w:r>
      <w:bookmarkEnd w:id="50"/>
    </w:p>
    <w:p w14:paraId="75E00A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截至2025年12月31日，</w:t>
      </w:r>
      <w:r>
        <w:rPr>
          <w:rFonts w:hint="eastAsia" w:ascii="Times New Roman" w:hAnsi="Times New Roman" w:eastAsia="仿宋_GB2312" w:cs="仿宋_GB2312"/>
          <w:sz w:val="32"/>
          <w:szCs w:val="32"/>
        </w:rPr>
        <w:t>攀枝花市紧急医学救援中心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辆、主要负责人用车</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辆。单价100万元（含）以上设备（不含车辆）</w:t>
      </w:r>
      <w:r>
        <w:rPr>
          <w:rFonts w:hint="eastAsia" w:ascii="Times New Roman" w:hAnsi="Times New Roman"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35D6722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AF54C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根据预算绩效管理要求，攀枝花市紧急医学救援中心在2025年度，组织对120急救指挥调度平台运行保障项目等4个项目编制了绩效目标，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预算执行过程中，选取4个项目开展绩效监控。</w:t>
      </w:r>
    </w:p>
    <w:p w14:paraId="0C9207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组织对4个项目开展绩效自评，绩效自评表详见第四部分附件。</w:t>
      </w:r>
    </w:p>
    <w:p w14:paraId="766B06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BED883D">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1" w:name="_Toc15396613"/>
      <w:bookmarkStart w:id="52" w:name="_Toc15377225"/>
      <w:r>
        <w:rPr>
          <w:rFonts w:hint="eastAsia" w:ascii="Times New Roman" w:hAnsi="Times New Roman" w:eastAsia="黑体"/>
          <w:color w:val="auto"/>
          <w:sz w:val="44"/>
          <w:szCs w:val="44"/>
          <w:highlight w:val="none"/>
        </w:rPr>
        <w:t>第</w:t>
      </w:r>
      <w:r>
        <w:rPr>
          <w:rFonts w:hint="eastAsia" w:ascii="Times New Roman" w:hAnsi="Times New Roman"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14:paraId="159D6D49">
      <w:pPr>
        <w:spacing w:line="600" w:lineRule="exact"/>
        <w:jc w:val="left"/>
        <w:rPr>
          <w:rFonts w:ascii="Times New Roman" w:hAnsi="Times New Roman"/>
          <w:b/>
          <w:color w:val="auto"/>
          <w:sz w:val="44"/>
          <w:szCs w:val="44"/>
          <w:highlight w:val="none"/>
        </w:rPr>
      </w:pPr>
    </w:p>
    <w:p w14:paraId="4682C8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F34F9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63FACD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3.其他收入：指单位取得的除上述收入以外的各项收入。主要是利息收入等。 </w:t>
      </w:r>
    </w:p>
    <w:p w14:paraId="7876AC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4.年初结转和结余：指以前年度尚未完成、结转到本年按有关规定继续使用的资金。 </w:t>
      </w:r>
    </w:p>
    <w:p w14:paraId="635B0F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5.年末结转和结余：指单位按有关规定结转到下年或以后年度继续使用的资金。</w:t>
      </w:r>
    </w:p>
    <w:p w14:paraId="412595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6.机关事业单位基本养老保险缴费支出（2080505）：反映机关事业单位实施养老保险制度由单位缴纳的基本养老保险费支出。</w:t>
      </w:r>
    </w:p>
    <w:p w14:paraId="33EF8F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7.其他公立医院支出（2100299）：反映除上述项目以外的其他用于公立医院方面的支出。</w:t>
      </w:r>
    </w:p>
    <w:p w14:paraId="4EC369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8.应急救治机构（2100405）：反映卫生健康部门所属应急救治机构的支出。</w:t>
      </w:r>
    </w:p>
    <w:p w14:paraId="1D3A6F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9.基本公共卫生服务（2100408）：反映基本公共卫生服务支出。</w:t>
      </w:r>
    </w:p>
    <w:p w14:paraId="0D78B8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10.事业单位医疗（2101102）：反映财政部门安排的事业单位基本医疗保险缴费经费，未参加医疗保险的事业单位的公费医疗经费，按国家规定享受离休人员待遇的医疗经费。</w:t>
      </w:r>
    </w:p>
    <w:p w14:paraId="013B3A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11.公务员医疗补助（2101103）：反映财政部门安排的公务员医疗补助经费。</w:t>
      </w:r>
    </w:p>
    <w:p w14:paraId="437347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12.其他行政事业单位医疗支出（2101199）：反映除上述项目以外的其他用于行政事业单位医疗方面的支出。</w:t>
      </w:r>
    </w:p>
    <w:p w14:paraId="1B83730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13.其他卫生健康支出（2109999）：反映除上述项目以外其他用于卫生健康方面的支出。</w:t>
      </w:r>
    </w:p>
    <w:p w14:paraId="1F5656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 住房公积金（2210201）：反映行政事业单位按人力资源和社会保障部、财政部规定的基本工资和津贴补贴以及规定比例为职工缴纳的住房公积金。</w:t>
      </w:r>
    </w:p>
    <w:p w14:paraId="356ACF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15.基本支出：指为保障机构正常运转、完成日常工作任务而发生的人员支出和公用支出。</w:t>
      </w:r>
    </w:p>
    <w:p w14:paraId="5EA194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16.项目支出：指在基本支出之外为完成特定行政任务和事业发展目标所发生的支出。 </w:t>
      </w:r>
    </w:p>
    <w:p w14:paraId="63F514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FD27B5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9472015">
      <w:pPr>
        <w:spacing w:line="600" w:lineRule="exact"/>
        <w:jc w:val="center"/>
        <w:rPr>
          <w:rStyle w:val="28"/>
          <w:rFonts w:hint="eastAsia" w:ascii="Times New Roman" w:hAnsi="Times New Roman" w:eastAsia="黑体"/>
          <w:b w:val="0"/>
          <w:color w:val="auto"/>
          <w:highlight w:val="none"/>
          <w:lang w:eastAsia="zh-CN"/>
        </w:rPr>
      </w:pPr>
      <w:bookmarkStart w:id="5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4"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4"/>
    </w:p>
    <w:p w14:paraId="77AC9604">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622E6E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部门预算项目支出绩效自评表（2025年度）见附件3。</w:t>
      </w:r>
    </w:p>
    <w:p w14:paraId="5F54872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EF265B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5"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607C9EC3">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3"/>
      <w:bookmarkEnd w:id="55"/>
      <w:bookmarkStart w:id="56" w:name="_Toc15396619"/>
    </w:p>
    <w:p w14:paraId="071D2C2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715DE5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6"/>
    </w:p>
    <w:p w14:paraId="41001AC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0"/>
      <w:r>
        <w:rPr>
          <w:rFonts w:hint="eastAsia" w:ascii="Times New Roman" w:hAnsi="Times New Roman" w:eastAsia="仿宋_GB2312" w:cs="仿宋_GB2312"/>
          <w:color w:val="auto"/>
          <w:sz w:val="32"/>
          <w:szCs w:val="32"/>
          <w:highlight w:val="none"/>
        </w:rPr>
        <w:t>二、收入决算表</w:t>
      </w:r>
      <w:bookmarkEnd w:id="57"/>
    </w:p>
    <w:p w14:paraId="4F9278B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1"/>
      <w:r>
        <w:rPr>
          <w:rFonts w:hint="eastAsia" w:ascii="Times New Roman" w:hAnsi="Times New Roman" w:eastAsia="仿宋_GB2312" w:cs="仿宋_GB2312"/>
          <w:color w:val="auto"/>
          <w:sz w:val="32"/>
          <w:szCs w:val="32"/>
          <w:highlight w:val="none"/>
        </w:rPr>
        <w:t>三、支出决算表</w:t>
      </w:r>
      <w:bookmarkEnd w:id="58"/>
    </w:p>
    <w:p w14:paraId="4F5207B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2"/>
      <w:r>
        <w:rPr>
          <w:rFonts w:hint="eastAsia" w:ascii="Times New Roman" w:hAnsi="Times New Roman" w:eastAsia="仿宋_GB2312" w:cs="仿宋_GB2312"/>
          <w:color w:val="auto"/>
          <w:sz w:val="32"/>
          <w:szCs w:val="32"/>
          <w:highlight w:val="none"/>
        </w:rPr>
        <w:t>四、财政拨款收入支出决算总表</w:t>
      </w:r>
      <w:bookmarkEnd w:id="59"/>
    </w:p>
    <w:p w14:paraId="4C3586C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3"/>
      <w:r>
        <w:rPr>
          <w:rFonts w:hint="eastAsia" w:ascii="Times New Roman" w:hAnsi="Times New Roman" w:eastAsia="仿宋_GB2312" w:cs="仿宋_GB2312"/>
          <w:color w:val="auto"/>
          <w:sz w:val="32"/>
          <w:szCs w:val="32"/>
          <w:highlight w:val="none"/>
        </w:rPr>
        <w:t>五、财政拨款支出决算明细表</w:t>
      </w:r>
      <w:bookmarkEnd w:id="60"/>
      <w:bookmarkStart w:id="61" w:name="_Toc15396624"/>
    </w:p>
    <w:p w14:paraId="266A799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1"/>
    </w:p>
    <w:p w14:paraId="4AF515A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5"/>
      <w:r>
        <w:rPr>
          <w:rFonts w:hint="eastAsia" w:ascii="Times New Roman" w:hAnsi="Times New Roman" w:eastAsia="仿宋_GB2312" w:cs="仿宋_GB2312"/>
          <w:color w:val="auto"/>
          <w:sz w:val="32"/>
          <w:szCs w:val="32"/>
          <w:highlight w:val="none"/>
        </w:rPr>
        <w:t>七、一般公共预算财政拨款支出决算明细表</w:t>
      </w:r>
      <w:bookmarkEnd w:id="62"/>
    </w:p>
    <w:p w14:paraId="35A79CD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6"/>
      <w:r>
        <w:rPr>
          <w:rFonts w:hint="eastAsia" w:ascii="Times New Roman" w:hAnsi="Times New Roman" w:eastAsia="仿宋_GB2312" w:cs="仿宋_GB2312"/>
          <w:color w:val="auto"/>
          <w:sz w:val="32"/>
          <w:szCs w:val="32"/>
          <w:highlight w:val="none"/>
        </w:rPr>
        <w:t>八、一般公共预算财政拨款基本支出决算表</w:t>
      </w:r>
      <w:bookmarkEnd w:id="63"/>
    </w:p>
    <w:p w14:paraId="176C86C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7"/>
      <w:r>
        <w:rPr>
          <w:rFonts w:hint="eastAsia" w:ascii="Times New Roman" w:hAnsi="Times New Roman" w:eastAsia="仿宋_GB2312" w:cs="仿宋_GB2312"/>
          <w:color w:val="auto"/>
          <w:sz w:val="32"/>
          <w:szCs w:val="32"/>
          <w:highlight w:val="none"/>
        </w:rPr>
        <w:t>九、一般公共预算财政拨款项目支出决算表</w:t>
      </w:r>
      <w:bookmarkEnd w:id="64"/>
    </w:p>
    <w:p w14:paraId="6BBB0C2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8"/>
      <w:r>
        <w:rPr>
          <w:rFonts w:hint="eastAsia" w:ascii="Times New Roman" w:hAnsi="Times New Roman" w:eastAsia="仿宋_GB2312" w:cs="仿宋_GB2312"/>
          <w:color w:val="auto"/>
          <w:sz w:val="32"/>
          <w:szCs w:val="32"/>
          <w:highlight w:val="none"/>
        </w:rPr>
        <w:t>十、</w:t>
      </w:r>
      <w:bookmarkEnd w:id="65"/>
      <w:r>
        <w:rPr>
          <w:rFonts w:hint="eastAsia" w:ascii="Times New Roman" w:hAnsi="Times New Roman" w:eastAsia="仿宋_GB2312" w:cs="仿宋_GB2312"/>
          <w:color w:val="auto"/>
          <w:sz w:val="32"/>
          <w:szCs w:val="32"/>
          <w:highlight w:val="none"/>
        </w:rPr>
        <w:t>政府性基金预算财政拨款收入支出决算表</w:t>
      </w:r>
      <w:r>
        <w:rPr>
          <w:rFonts w:hint="eastAsia" w:ascii="Times New Roman" w:hAnsi="Times New Roman" w:eastAsia="仿宋_GB2312" w:cs="仿宋_GB2312"/>
          <w:color w:val="auto"/>
          <w:sz w:val="32"/>
          <w:szCs w:val="32"/>
          <w:highlight w:val="none"/>
          <w:lang w:val="en-US" w:eastAsia="zh-CN"/>
        </w:rPr>
        <w:t>（此表无数据）</w:t>
      </w:r>
    </w:p>
    <w:p w14:paraId="6440EEC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9"/>
      <w:r>
        <w:rPr>
          <w:rFonts w:hint="eastAsia" w:ascii="Times New Roman" w:hAnsi="Times New Roman" w:eastAsia="仿宋_GB2312" w:cs="仿宋_GB2312"/>
          <w:color w:val="auto"/>
          <w:sz w:val="32"/>
          <w:szCs w:val="32"/>
          <w:highlight w:val="none"/>
        </w:rPr>
        <w:t>十一、</w:t>
      </w:r>
      <w:bookmarkEnd w:id="6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ascii="Times New Roman" w:hAnsi="Times New Roman" w:eastAsia="仿宋_GB2312" w:cs="仿宋_GB2312"/>
          <w:color w:val="auto"/>
          <w:sz w:val="32"/>
          <w:szCs w:val="32"/>
          <w:highlight w:val="none"/>
          <w:lang w:val="en-US" w:eastAsia="zh-CN"/>
        </w:rPr>
        <w:t>（此表无数据）</w:t>
      </w:r>
    </w:p>
    <w:p w14:paraId="60873ED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30"/>
      <w:r>
        <w:rPr>
          <w:rFonts w:hint="eastAsia" w:ascii="Times New Roman" w:hAnsi="Times New Roman" w:eastAsia="仿宋_GB2312" w:cs="仿宋_GB2312"/>
          <w:color w:val="auto"/>
          <w:sz w:val="32"/>
          <w:szCs w:val="32"/>
          <w:highlight w:val="none"/>
        </w:rPr>
        <w:t>十二、</w:t>
      </w:r>
      <w:bookmarkEnd w:id="67"/>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ascii="Times New Roman" w:hAnsi="Times New Roman" w:eastAsia="仿宋_GB2312" w:cs="仿宋_GB2312"/>
          <w:color w:val="auto"/>
          <w:sz w:val="32"/>
          <w:szCs w:val="32"/>
          <w:highlight w:val="none"/>
          <w:lang w:val="en-US" w:eastAsia="zh-CN"/>
        </w:rPr>
        <w:t>（此表无数据）</w:t>
      </w:r>
    </w:p>
    <w:p w14:paraId="2806FF7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31"/>
      <w:r>
        <w:rPr>
          <w:rFonts w:hint="eastAsia" w:ascii="Times New Roman" w:hAnsi="Times New Roman" w:eastAsia="仿宋_GB2312" w:cs="仿宋_GB2312"/>
          <w:color w:val="auto"/>
          <w:sz w:val="32"/>
          <w:szCs w:val="32"/>
          <w:highlight w:val="none"/>
        </w:rPr>
        <w:t>十三、</w:t>
      </w:r>
      <w:bookmarkEnd w:id="68"/>
      <w:r>
        <w:rPr>
          <w:rFonts w:hint="eastAsia" w:ascii="Times New Roman" w:hAnsi="Times New Roman" w:eastAsia="仿宋_GB2312" w:cs="仿宋_GB2312"/>
          <w:color w:val="auto"/>
          <w:sz w:val="32"/>
          <w:szCs w:val="32"/>
          <w:highlight w:val="none"/>
          <w:lang w:eastAsia="zh-CN"/>
        </w:rPr>
        <w:t>财政拨款“三公”经费支出决算表</w:t>
      </w:r>
      <w:r>
        <w:rPr>
          <w:rFonts w:hint="eastAsia" w:ascii="Times New Roman" w:hAnsi="Times New Roman" w:eastAsia="仿宋_GB2312" w:cs="仿宋_GB2312"/>
          <w:color w:val="auto"/>
          <w:sz w:val="32"/>
          <w:szCs w:val="32"/>
          <w:highlight w:val="none"/>
          <w:lang w:val="en-US" w:eastAsia="zh-CN"/>
        </w:rPr>
        <w:t>（此表无数据）</w:t>
      </w:r>
    </w:p>
    <w:p w14:paraId="5F58155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p>
    <w:p w14:paraId="7A62B880">
      <w:pPr>
        <w:rPr>
          <w:rFonts w:hint="eastAsia" w:ascii="Times New Roman" w:hAnsi="Times New Roman"/>
          <w:lang w:eastAsia="zh-CN"/>
        </w:rPr>
      </w:pPr>
    </w:p>
    <w:sectPr>
      <w:footerReference r:id="rId9" w:type="first"/>
      <w:headerReference r:id="rId7" w:type="default"/>
      <w:footerReference r:id="rId8"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61218">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1CD5BC">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71CD5BC">
                    <w:pPr>
                      <w:pStyle w:val="11"/>
                    </w:pPr>
                    <w:r>
                      <w:fldChar w:fldCharType="begin"/>
                    </w:r>
                    <w:r>
                      <w:instrText xml:space="preserve"> PAGE  \* MERGEFORMAT </w:instrText>
                    </w:r>
                    <w:r>
                      <w:fldChar w:fldCharType="separate"/>
                    </w:r>
                    <w:r>
                      <w:t>- 1 -</w:t>
                    </w:r>
                    <w:r>
                      <w:fldChar w:fldCharType="end"/>
                    </w:r>
                  </w:p>
                </w:txbxContent>
              </v:textbox>
            </v:shape>
          </w:pict>
        </mc:Fallback>
      </mc:AlternateContent>
    </w:r>
  </w:p>
  <w:p w14:paraId="5E9EC060">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A6AE6">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03BAB">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BB03BAB">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9E63F">
    <w:pPr>
      <w:pStyle w:val="1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CA4EE2">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6CA4EE2">
                    <w:pPr>
                      <w:pStyle w:val="11"/>
                    </w:pPr>
                    <w:r>
                      <w:fldChar w:fldCharType="begin"/>
                    </w:r>
                    <w:r>
                      <w:instrText xml:space="preserve"> PAGE  \* MERGEFORMAT </w:instrText>
                    </w:r>
                    <w:r>
                      <w:fldChar w:fldCharType="separate"/>
                    </w:r>
                    <w:r>
                      <w:t>- 1 -</w:t>
                    </w:r>
                    <w:r>
                      <w:fldChar w:fldCharType="end"/>
                    </w:r>
                  </w:p>
                </w:txbxContent>
              </v:textbox>
            </v:shape>
          </w:pict>
        </mc:Fallback>
      </mc:AlternateContent>
    </w:r>
  </w:p>
  <w:p w14:paraId="4609E1B2">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EE33F">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38EB1A">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638EB1A">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927A8">
    <w:pPr>
      <w:pStyle w:val="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C66FB">
    <w:pPr>
      <w:pStyle w:val="2"/>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C4097">
    <w:pPr>
      <w:pStyle w:val="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0FCA92E3"/>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CFD692A"/>
    <w:rsid w:val="2D2E01CF"/>
    <w:rsid w:val="2DF04E50"/>
    <w:rsid w:val="2E9545B0"/>
    <w:rsid w:val="2F040D46"/>
    <w:rsid w:val="2FAE5751"/>
    <w:rsid w:val="2FB1A395"/>
    <w:rsid w:val="2FD9A7D8"/>
    <w:rsid w:val="2FFE7A0F"/>
    <w:rsid w:val="319F7F4E"/>
    <w:rsid w:val="321B2544"/>
    <w:rsid w:val="3304709D"/>
    <w:rsid w:val="337AFDF5"/>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EFC01B1"/>
    <w:rsid w:val="3FE574B5"/>
    <w:rsid w:val="3FF4CAE0"/>
    <w:rsid w:val="3FF648E3"/>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D4736B"/>
    <w:rsid w:val="4FE9BD67"/>
    <w:rsid w:val="4FFB052F"/>
    <w:rsid w:val="53083A92"/>
    <w:rsid w:val="537E6D0A"/>
    <w:rsid w:val="53AF27A2"/>
    <w:rsid w:val="53F74C96"/>
    <w:rsid w:val="56E47B74"/>
    <w:rsid w:val="57BD3DD4"/>
    <w:rsid w:val="57FE85E0"/>
    <w:rsid w:val="5AF92295"/>
    <w:rsid w:val="5BDD79E6"/>
    <w:rsid w:val="5BF561CA"/>
    <w:rsid w:val="5BFF5DFC"/>
    <w:rsid w:val="5CD71FC4"/>
    <w:rsid w:val="5D1F11B5"/>
    <w:rsid w:val="5D7FA2D0"/>
    <w:rsid w:val="5DAE1B18"/>
    <w:rsid w:val="5DE7D9E5"/>
    <w:rsid w:val="5ECEC941"/>
    <w:rsid w:val="5F493CB7"/>
    <w:rsid w:val="5FBF9FF3"/>
    <w:rsid w:val="5FCD4E2C"/>
    <w:rsid w:val="5FD15F49"/>
    <w:rsid w:val="5FEF394A"/>
    <w:rsid w:val="5FEFAAC7"/>
    <w:rsid w:val="5FF67715"/>
    <w:rsid w:val="5FFE4E44"/>
    <w:rsid w:val="62BF3928"/>
    <w:rsid w:val="647F5392"/>
    <w:rsid w:val="6577C069"/>
    <w:rsid w:val="664B1D71"/>
    <w:rsid w:val="677F63EF"/>
    <w:rsid w:val="67AA3209"/>
    <w:rsid w:val="681C4F0D"/>
    <w:rsid w:val="68FE6C19"/>
    <w:rsid w:val="69046D0F"/>
    <w:rsid w:val="698D0931"/>
    <w:rsid w:val="6A993CED"/>
    <w:rsid w:val="6B053271"/>
    <w:rsid w:val="6B8D9928"/>
    <w:rsid w:val="6BCE6674"/>
    <w:rsid w:val="6C4A05C8"/>
    <w:rsid w:val="6C8742B8"/>
    <w:rsid w:val="6C8A170F"/>
    <w:rsid w:val="6CB54609"/>
    <w:rsid w:val="6CFEDCDE"/>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6E17B2"/>
    <w:rsid w:val="73AB61DA"/>
    <w:rsid w:val="73AD73D5"/>
    <w:rsid w:val="73B6EB34"/>
    <w:rsid w:val="73FA497D"/>
    <w:rsid w:val="744731E5"/>
    <w:rsid w:val="74527205"/>
    <w:rsid w:val="74BBD01D"/>
    <w:rsid w:val="74ED5379"/>
    <w:rsid w:val="74FC2395"/>
    <w:rsid w:val="75DEEEC2"/>
    <w:rsid w:val="76E3355F"/>
    <w:rsid w:val="76FF5125"/>
    <w:rsid w:val="776F6FFA"/>
    <w:rsid w:val="777FFB03"/>
    <w:rsid w:val="778769C8"/>
    <w:rsid w:val="77DC22F5"/>
    <w:rsid w:val="77ED75E7"/>
    <w:rsid w:val="77F3624D"/>
    <w:rsid w:val="79086DAD"/>
    <w:rsid w:val="79974F09"/>
    <w:rsid w:val="79D7FD79"/>
    <w:rsid w:val="79EE5BA4"/>
    <w:rsid w:val="7A894339"/>
    <w:rsid w:val="7AFF7572"/>
    <w:rsid w:val="7B6C7DFB"/>
    <w:rsid w:val="7BBFBED0"/>
    <w:rsid w:val="7BC3E394"/>
    <w:rsid w:val="7BC7E561"/>
    <w:rsid w:val="7BEE7ECE"/>
    <w:rsid w:val="7BF57BD1"/>
    <w:rsid w:val="7C1F3737"/>
    <w:rsid w:val="7CBFC87B"/>
    <w:rsid w:val="7CFE0F48"/>
    <w:rsid w:val="7D7EC23E"/>
    <w:rsid w:val="7D916348"/>
    <w:rsid w:val="7E7D6F9A"/>
    <w:rsid w:val="7E8ADEBF"/>
    <w:rsid w:val="7EB7E4DD"/>
    <w:rsid w:val="7EBB7ABC"/>
    <w:rsid w:val="7EEF11D3"/>
    <w:rsid w:val="7F0971A6"/>
    <w:rsid w:val="7F3F679B"/>
    <w:rsid w:val="7F4FC4EF"/>
    <w:rsid w:val="7F5E4D54"/>
    <w:rsid w:val="7F6E0135"/>
    <w:rsid w:val="7FA30C79"/>
    <w:rsid w:val="7FAF00EE"/>
    <w:rsid w:val="7FAF8ABF"/>
    <w:rsid w:val="7FB7269E"/>
    <w:rsid w:val="7FBD5C1E"/>
    <w:rsid w:val="7FBFFDDE"/>
    <w:rsid w:val="7FC96657"/>
    <w:rsid w:val="7FDA9588"/>
    <w:rsid w:val="7FDF220F"/>
    <w:rsid w:val="7FEDC5F7"/>
    <w:rsid w:val="7FEDD9DE"/>
    <w:rsid w:val="7FF5890D"/>
    <w:rsid w:val="7FF93490"/>
    <w:rsid w:val="93FF1ED1"/>
    <w:rsid w:val="99FF2014"/>
    <w:rsid w:val="9DCEE67B"/>
    <w:rsid w:val="A6DD0D7F"/>
    <w:rsid w:val="ADC6F725"/>
    <w:rsid w:val="AFEE0F6A"/>
    <w:rsid w:val="AFFFF4F9"/>
    <w:rsid w:val="B7CF06AB"/>
    <w:rsid w:val="B7CFA926"/>
    <w:rsid w:val="B7F8786B"/>
    <w:rsid w:val="B9FF0D4B"/>
    <w:rsid w:val="BABB6AA1"/>
    <w:rsid w:val="BB2F4199"/>
    <w:rsid w:val="BD079C78"/>
    <w:rsid w:val="BD733540"/>
    <w:rsid w:val="BF3735D5"/>
    <w:rsid w:val="BF7D563A"/>
    <w:rsid w:val="BF7F09AC"/>
    <w:rsid w:val="BF9F83F5"/>
    <w:rsid w:val="BFD475C3"/>
    <w:rsid w:val="BFDE5EA6"/>
    <w:rsid w:val="BFEF3FDF"/>
    <w:rsid w:val="CF6FC6F3"/>
    <w:rsid w:val="CFD3D3D7"/>
    <w:rsid w:val="CFDF1009"/>
    <w:rsid w:val="D7D7B16A"/>
    <w:rsid w:val="D8D6DB89"/>
    <w:rsid w:val="D9F96F46"/>
    <w:rsid w:val="DB6F4CAB"/>
    <w:rsid w:val="DB732C70"/>
    <w:rsid w:val="DB777682"/>
    <w:rsid w:val="DD1FB521"/>
    <w:rsid w:val="DEFBFEAE"/>
    <w:rsid w:val="DF1F3B80"/>
    <w:rsid w:val="DF6F9789"/>
    <w:rsid w:val="DFE18E57"/>
    <w:rsid w:val="DFE7EDD8"/>
    <w:rsid w:val="DFFFA9E8"/>
    <w:rsid w:val="E5F4E9DC"/>
    <w:rsid w:val="E70FE695"/>
    <w:rsid w:val="EBFB5041"/>
    <w:rsid w:val="ECEFCDAF"/>
    <w:rsid w:val="ECFED1BC"/>
    <w:rsid w:val="ED1D69BB"/>
    <w:rsid w:val="ED7FD312"/>
    <w:rsid w:val="ED9F4AD4"/>
    <w:rsid w:val="EE73B902"/>
    <w:rsid w:val="EEF3A37F"/>
    <w:rsid w:val="EF53993F"/>
    <w:rsid w:val="EF6FD633"/>
    <w:rsid w:val="EFA71D08"/>
    <w:rsid w:val="EFBFB2F4"/>
    <w:rsid w:val="EFBFFA21"/>
    <w:rsid w:val="EFEF2736"/>
    <w:rsid w:val="EFF66D06"/>
    <w:rsid w:val="F2BEBCB8"/>
    <w:rsid w:val="F36FB518"/>
    <w:rsid w:val="F3DE1A04"/>
    <w:rsid w:val="F3F722E5"/>
    <w:rsid w:val="F5E6A9DF"/>
    <w:rsid w:val="F7BF61F2"/>
    <w:rsid w:val="FA5F1E70"/>
    <w:rsid w:val="FA5FDB97"/>
    <w:rsid w:val="FB7F486A"/>
    <w:rsid w:val="FBDB44B3"/>
    <w:rsid w:val="FBFF5B2E"/>
    <w:rsid w:val="FD7FFE2B"/>
    <w:rsid w:val="FDEE196B"/>
    <w:rsid w:val="FDFE6575"/>
    <w:rsid w:val="FEDFDDC2"/>
    <w:rsid w:val="FEED32F6"/>
    <w:rsid w:val="FEF781DD"/>
    <w:rsid w:val="FF01E14F"/>
    <w:rsid w:val="FF3F7E3F"/>
    <w:rsid w:val="FFBA12D7"/>
    <w:rsid w:val="FFDFFAEE"/>
    <w:rsid w:val="FFF9B57B"/>
    <w:rsid w:val="FFFD61D9"/>
    <w:rsid w:val="FFFD8F59"/>
    <w:rsid w:val="FFFF01C5"/>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8"/>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收支总计（万元）</a:t>
            </a:r>
          </a:p>
        </c:rich>
      </c:tx>
      <c:layout/>
      <c:overlay val="0"/>
      <c:spPr>
        <a:noFill/>
        <a:ln>
          <a:noFill/>
        </a:ln>
        <a:effectLst/>
      </c:spPr>
    </c:title>
    <c:autoTitleDeleted val="0"/>
    <c:plotArea>
      <c:layout>
        <c:manualLayout>
          <c:layoutTarget val="inner"/>
          <c:xMode val="edge"/>
          <c:yMode val="edge"/>
          <c:x val="0.0357091084803093"/>
          <c:y val="0.161920951976201"/>
          <c:w val="0.930466296206813"/>
          <c:h val="0.639481512962176"/>
        </c:manualLayout>
      </c:layout>
      <c:barChart>
        <c:barDir val="col"/>
        <c:grouping val="clustered"/>
        <c:varyColors val="0"/>
        <c:ser>
          <c:idx val="0"/>
          <c:order val="0"/>
          <c:tx>
            <c:strRef>
              <c:f>Sheet1!$B$1</c:f>
              <c:strCache>
                <c:ptCount val="1"/>
                <c:pt idx="0">
                  <c:v>2024</c:v>
                </c:pt>
              </c:strCache>
            </c:strRef>
          </c:tx>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invertIfNegative val="0"/>
          <c:dLbls>
            <c:delete val="1"/>
          </c:dLbls>
          <c:cat>
            <c:strRef>
              <c:f>Sheet1!$A$2</c:f>
              <c:strCache>
                <c:ptCount val="1"/>
                <c:pt idx="0">
                  <c:v>收支总计</c:v>
                </c:pt>
              </c:strCache>
            </c:strRef>
          </c:cat>
          <c:val>
            <c:numRef>
              <c:f>Sheet1!$B$2</c:f>
              <c:numCache>
                <c:formatCode>General</c:formatCode>
                <c:ptCount val="1"/>
                <c:pt idx="0">
                  <c:v>253.78</c:v>
                </c:pt>
              </c:numCache>
            </c:numRef>
          </c:val>
        </c:ser>
        <c:ser>
          <c:idx val="1"/>
          <c:order val="1"/>
          <c:tx>
            <c:strRef>
              <c:f>Sheet1!$C$1</c:f>
              <c:strCache>
                <c:ptCount val="1"/>
                <c:pt idx="0">
                  <c:v>2025</c:v>
                </c:pt>
              </c:strCache>
            </c:strRef>
          </c:tx>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invertIfNegative val="0"/>
          <c:dLbls>
            <c:delete val="1"/>
          </c:dLbls>
          <c:cat>
            <c:strRef>
              <c:f>Sheet1!$A$2</c:f>
              <c:strCache>
                <c:ptCount val="1"/>
                <c:pt idx="0">
                  <c:v>收支总计</c:v>
                </c:pt>
              </c:strCache>
            </c:strRef>
          </c:cat>
          <c:val>
            <c:numRef>
              <c:f>Sheet1!$C$2</c:f>
              <c:numCache>
                <c:formatCode>General</c:formatCode>
                <c:ptCount val="1"/>
                <c:pt idx="0">
                  <c:v>294.49</c:v>
                </c:pt>
              </c:numCache>
            </c:numRef>
          </c:val>
        </c:ser>
        <c:dLbls>
          <c:showLegendKey val="0"/>
          <c:showVal val="0"/>
          <c:showCatName val="0"/>
          <c:showSerName val="0"/>
          <c:showPercent val="0"/>
          <c:showBubbleSize val="0"/>
        </c:dLbls>
        <c:gapWidth val="500"/>
        <c:overlap val="-50"/>
        <c:axId val="218052434"/>
        <c:axId val="623604864"/>
      </c:barChart>
      <c:catAx>
        <c:axId val="218052434"/>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623604864"/>
        <c:crosses val="autoZero"/>
        <c:auto val="1"/>
        <c:lblAlgn val="ctr"/>
        <c:lblOffset val="100"/>
        <c:noMultiLvlLbl val="0"/>
      </c:catAx>
      <c:valAx>
        <c:axId val="623604864"/>
        <c:scaling>
          <c:orientation val="minMax"/>
          <c:min val="200"/>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218052434"/>
        <c:crosses val="autoZero"/>
        <c:crossBetween val="between"/>
        <c:majorUnit val="20"/>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0309048-3ada-4c6d-af5f-33bd25ea1ff0}"/>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收入结构</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Pt>
            <c:idx val="4"/>
            <c:bubble3D val="0"/>
            <c:spPr>
              <a:solidFill>
                <a:schemeClr val="accent5"/>
              </a:solidFill>
              <a:ln>
                <a:solidFill>
                  <a:schemeClr val="bg1"/>
                </a:solidFill>
              </a:ln>
              <a:effectLst/>
              <a:scene3d>
                <a:camera prst="orthographicFront"/>
                <a:lightRig rig="threePt" dir="t"/>
              </a:scene3d>
              <a:sp3d contourW="9525"/>
            </c:spPr>
          </c:dPt>
          <c:dPt>
            <c:idx val="5"/>
            <c:bubble3D val="0"/>
            <c:spPr>
              <a:solidFill>
                <a:schemeClr val="accent6"/>
              </a:solidFill>
              <a:ln>
                <a:solidFill>
                  <a:schemeClr val="bg1"/>
                </a:solidFill>
              </a:ln>
              <a:effectLst/>
              <a:scene3d>
                <a:camera prst="orthographicFront"/>
                <a:lightRig rig="threePt" dir="t"/>
              </a:scene3d>
              <a:sp3d contourW="9525"/>
            </c:spPr>
          </c:dPt>
          <c:dPt>
            <c:idx val="6"/>
            <c:bubble3D val="0"/>
            <c:spPr>
              <a:solidFill>
                <a:schemeClr val="accent1">
                  <a:lumMod val="60000"/>
                </a:schemeClr>
              </a:solidFill>
              <a:ln>
                <a:solidFill>
                  <a:schemeClr val="bg1"/>
                </a:solidFill>
              </a:ln>
              <a:effectLst/>
              <a:scene3d>
                <a:camera prst="orthographicFront"/>
                <a:lightRig rig="threePt" dir="t"/>
              </a:scene3d>
              <a:sp3d contourW="9525"/>
            </c:spPr>
          </c:dPt>
          <c:dPt>
            <c:idx val="7"/>
            <c:bubble3D val="0"/>
            <c:spPr>
              <a:solidFill>
                <a:schemeClr val="accent2">
                  <a:lumMod val="60000"/>
                </a:schemeClr>
              </a:solidFill>
              <a:ln>
                <a:solidFill>
                  <a:schemeClr val="bg1"/>
                </a:solidFill>
              </a:ln>
              <a:effectLst/>
              <a:scene3d>
                <a:camera prst="orthographicFront"/>
                <a:lightRig rig="threePt" dir="t"/>
              </a:scene3d>
              <a:sp3d contourW="9525"/>
            </c:spPr>
          </c:dPt>
          <c:dLbls>
            <c:delete val="1"/>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294.49</c:v>
                </c:pt>
                <c:pt idx="1">
                  <c:v>0</c:v>
                </c:pt>
                <c:pt idx="2">
                  <c:v>0</c:v>
                </c:pt>
                <c:pt idx="3">
                  <c:v>0</c:v>
                </c:pt>
                <c:pt idx="4">
                  <c:v>0</c:v>
                </c:pt>
                <c:pt idx="5">
                  <c:v>0</c:v>
                </c:pt>
                <c:pt idx="6">
                  <c:v>0</c:v>
                </c:pt>
                <c:pt idx="7">
                  <c:v>0</c:v>
                </c:pt>
              </c:numCache>
            </c:numRef>
          </c:val>
        </c:ser>
        <c:dLbls>
          <c:showLegendKey val="0"/>
          <c:showVal val="0"/>
          <c:showCatName val="0"/>
          <c:showSerName val="0"/>
          <c:showPercent val="0"/>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452c02f-4e27-4fe6-9686-0a04f520934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支出结构</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Pt>
            <c:idx val="4"/>
            <c:bubble3D val="0"/>
            <c:spPr>
              <a:solidFill>
                <a:schemeClr val="accent5"/>
              </a:solidFill>
              <a:ln>
                <a:solidFill>
                  <a:schemeClr val="bg1"/>
                </a:solidFill>
              </a:ln>
              <a:effectLst/>
              <a:scene3d>
                <a:camera prst="orthographicFront"/>
                <a:lightRig rig="threePt" dir="t"/>
              </a:scene3d>
              <a:sp3d contourW="9525"/>
            </c:spPr>
          </c:dPt>
          <c:dLbls>
            <c:delete val="1"/>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216.65</c:v>
                </c:pt>
                <c:pt idx="1">
                  <c:v>77.84</c:v>
                </c:pt>
                <c:pt idx="2">
                  <c:v>0</c:v>
                </c:pt>
                <c:pt idx="3">
                  <c:v>0</c:v>
                </c:pt>
                <c:pt idx="4">
                  <c:v>0</c:v>
                </c:pt>
              </c:numCache>
            </c:numRef>
          </c:val>
        </c:ser>
        <c:dLbls>
          <c:showLegendKey val="0"/>
          <c:showVal val="0"/>
          <c:showCatName val="0"/>
          <c:showSerName val="0"/>
          <c:showPercent val="0"/>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2cfbc41-cf8b-4f0c-87fa-d82085a4301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财政拨款收支总计（万元）</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c:v>
                </c:pt>
              </c:strCache>
            </c:strRef>
          </c:tx>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invertIfNegative val="0"/>
          <c:dLbls>
            <c:delete val="1"/>
          </c:dLbls>
          <c:cat>
            <c:strRef>
              <c:f>Sheet1!$A$2</c:f>
              <c:strCache>
                <c:ptCount val="1"/>
                <c:pt idx="0">
                  <c:v>财政拨款收支总计</c:v>
                </c:pt>
              </c:strCache>
            </c:strRef>
          </c:cat>
          <c:val>
            <c:numRef>
              <c:f>Sheet1!$B$2</c:f>
              <c:numCache>
                <c:formatCode>General</c:formatCode>
                <c:ptCount val="1"/>
                <c:pt idx="0">
                  <c:v>253.78</c:v>
                </c:pt>
              </c:numCache>
            </c:numRef>
          </c:val>
        </c:ser>
        <c:ser>
          <c:idx val="1"/>
          <c:order val="1"/>
          <c:tx>
            <c:strRef>
              <c:f>Sheet1!$C$1</c:f>
              <c:strCache>
                <c:ptCount val="1"/>
                <c:pt idx="0">
                  <c:v>2025</c:v>
                </c:pt>
              </c:strCache>
            </c:strRef>
          </c:tx>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invertIfNegative val="0"/>
          <c:dLbls>
            <c:delete val="1"/>
          </c:dLbls>
          <c:cat>
            <c:strRef>
              <c:f>Sheet1!$A$2</c:f>
              <c:strCache>
                <c:ptCount val="1"/>
                <c:pt idx="0">
                  <c:v>财政拨款收支总计</c:v>
                </c:pt>
              </c:strCache>
            </c:strRef>
          </c:cat>
          <c:val>
            <c:numRef>
              <c:f>Sheet1!$C$2</c:f>
              <c:numCache>
                <c:formatCode>General</c:formatCode>
                <c:ptCount val="1"/>
                <c:pt idx="0">
                  <c:v>294.49</c:v>
                </c:pt>
              </c:numCache>
            </c:numRef>
          </c:val>
        </c:ser>
        <c:dLbls>
          <c:showLegendKey val="0"/>
          <c:showVal val="0"/>
          <c:showCatName val="0"/>
          <c:showSerName val="0"/>
          <c:showPercent val="0"/>
          <c:showBubbleSize val="0"/>
        </c:dLbls>
        <c:gapWidth val="500"/>
        <c:overlap val="-50"/>
        <c:axId val="880546357"/>
        <c:axId val="345410202"/>
      </c:barChart>
      <c:catAx>
        <c:axId val="880546357"/>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345410202"/>
        <c:crosses val="autoZero"/>
        <c:auto val="1"/>
        <c:lblAlgn val="ctr"/>
        <c:lblOffset val="100"/>
        <c:noMultiLvlLbl val="0"/>
      </c:catAx>
      <c:valAx>
        <c:axId val="345410202"/>
        <c:scaling>
          <c:orientation val="minMax"/>
          <c:min val="200"/>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880546357"/>
        <c:crosses val="autoZero"/>
        <c:crossBetween val="between"/>
        <c:majorUnit val="20"/>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6dd9630-4dfb-4a01-95cc-3e97e9d8f3c7}"/>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rPr sz="1200"/>
              <a:t>一般公共预算财政拨款支出（万元）</a:t>
            </a:r>
            <a:endParaRPr sz="1200"/>
          </a:p>
        </c:rich>
      </c:tx>
      <c:layout>
        <c:manualLayout>
          <c:xMode val="edge"/>
          <c:yMode val="edge"/>
          <c:x val="0.0899621212121212"/>
          <c:y val="0.00834028356964137"/>
        </c:manualLayout>
      </c:layout>
      <c:overlay val="0"/>
      <c:spPr>
        <a:noFill/>
        <a:ln>
          <a:noFill/>
        </a:ln>
        <a:effectLst>
          <a:outerShdw blurRad="50800" dist="50800" dir="5400000" sx="1000" sy="1000" algn="ctr" rotWithShape="0">
            <a:srgbClr val="000000">
              <a:alpha val="43000"/>
            </a:srgbClr>
          </a:outerShdw>
        </a:effectLst>
      </c:spPr>
    </c:title>
    <c:autoTitleDeleted val="0"/>
    <c:plotArea>
      <c:layout/>
      <c:barChart>
        <c:barDir val="col"/>
        <c:grouping val="clustered"/>
        <c:varyColors val="0"/>
        <c:ser>
          <c:idx val="0"/>
          <c:order val="0"/>
          <c:tx>
            <c:strRef>
              <c:f>Sheet1!$B$1</c:f>
              <c:strCache>
                <c:ptCount val="1"/>
                <c:pt idx="0">
                  <c:v>2024</c:v>
                </c:pt>
              </c:strCache>
            </c:strRef>
          </c:tx>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invertIfNegative val="0"/>
          <c:dLbls>
            <c:delete val="1"/>
          </c:dLbls>
          <c:cat>
            <c:strRef>
              <c:f>Sheet1!$A$2</c:f>
              <c:strCache>
                <c:ptCount val="1"/>
                <c:pt idx="0">
                  <c:v>一般公共预算财政拨款支出</c:v>
                </c:pt>
              </c:strCache>
            </c:strRef>
          </c:cat>
          <c:val>
            <c:numRef>
              <c:f>Sheet1!$B$2</c:f>
              <c:numCache>
                <c:formatCode>General</c:formatCode>
                <c:ptCount val="1"/>
                <c:pt idx="0">
                  <c:v>253.78</c:v>
                </c:pt>
              </c:numCache>
            </c:numRef>
          </c:val>
        </c:ser>
        <c:ser>
          <c:idx val="1"/>
          <c:order val="1"/>
          <c:tx>
            <c:strRef>
              <c:f>Sheet1!$C$1</c:f>
              <c:strCache>
                <c:ptCount val="1"/>
                <c:pt idx="0">
                  <c:v>2025</c:v>
                </c:pt>
              </c:strCache>
            </c:strRef>
          </c:tx>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invertIfNegative val="0"/>
          <c:dLbls>
            <c:delete val="1"/>
          </c:dLbls>
          <c:cat>
            <c:strRef>
              <c:f>Sheet1!$A$2</c:f>
              <c:strCache>
                <c:ptCount val="1"/>
                <c:pt idx="0">
                  <c:v>一般公共预算财政拨款支出</c:v>
                </c:pt>
              </c:strCache>
            </c:strRef>
          </c:cat>
          <c:val>
            <c:numRef>
              <c:f>Sheet1!$C$2</c:f>
              <c:numCache>
                <c:formatCode>General</c:formatCode>
                <c:ptCount val="1"/>
                <c:pt idx="0">
                  <c:v>294.49</c:v>
                </c:pt>
              </c:numCache>
            </c:numRef>
          </c:val>
        </c:ser>
        <c:dLbls>
          <c:showLegendKey val="0"/>
          <c:showVal val="0"/>
          <c:showCatName val="0"/>
          <c:showSerName val="0"/>
          <c:showPercent val="0"/>
          <c:showBubbleSize val="0"/>
        </c:dLbls>
        <c:gapWidth val="500"/>
        <c:overlap val="-50"/>
        <c:axId val="747504604"/>
        <c:axId val="181622972"/>
      </c:barChart>
      <c:catAx>
        <c:axId val="747504604"/>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181622972"/>
        <c:crosses val="autoZero"/>
        <c:auto val="1"/>
        <c:lblAlgn val="ctr"/>
        <c:lblOffset val="100"/>
        <c:noMultiLvlLbl val="0"/>
      </c:catAx>
      <c:valAx>
        <c:axId val="181622972"/>
        <c:scaling>
          <c:orientation val="minMax"/>
          <c:min val="200"/>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747504604"/>
        <c:crosses val="autoZero"/>
        <c:crossBetween val="between"/>
        <c:majorUnit val="20"/>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274e9cf-a08e-4755-ae9b-ec9997608dbe}"/>
      </c:ext>
    </c:extLst>
  </c:chart>
  <c:spPr>
    <a:solidFill>
      <a:schemeClr val="lt1">
        <a:lumMod val="96000"/>
      </a:schemeClr>
    </a:solidFill>
    <a:ln w="9525" cap="flat" cmpd="sng" algn="ctr">
      <a:solidFill>
        <a:schemeClr val="tx1">
          <a:lumMod val="15000"/>
          <a:lumOff val="85000"/>
        </a:schemeClr>
      </a:solidFill>
      <a:round/>
    </a:ln>
    <a:effectLst>
      <a:outerShdw blurRad="50800" dist="50800" dir="5400000" sx="63000" sy="63000" algn="ctr" rotWithShape="0">
        <a:srgbClr val="000000">
          <a:alpha val="43000"/>
        </a:srgbClr>
      </a:outerShdw>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一般公共预算财政拨款支出结构</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Lbls>
            <c:delete val="1"/>
          </c:dLbls>
          <c:cat>
            <c:strRef>
              <c:f>Sheet1!$A$2:$A$4</c:f>
              <c:strCache>
                <c:ptCount val="3"/>
                <c:pt idx="0">
                  <c:v>社会保障和就业支出</c:v>
                </c:pt>
                <c:pt idx="1">
                  <c:v>卫生健康支出</c:v>
                </c:pt>
                <c:pt idx="2">
                  <c:v>住房保障支出</c:v>
                </c:pt>
              </c:strCache>
            </c:strRef>
          </c:cat>
          <c:val>
            <c:numRef>
              <c:f>Sheet1!$B$2:$B$4</c:f>
              <c:numCache>
                <c:formatCode>General</c:formatCode>
                <c:ptCount val="3"/>
                <c:pt idx="0">
                  <c:v>21.59</c:v>
                </c:pt>
                <c:pt idx="1">
                  <c:v>259.17</c:v>
                </c:pt>
                <c:pt idx="2">
                  <c:v>13.73</c:v>
                </c:pt>
              </c:numCache>
            </c:numRef>
          </c:val>
        </c:ser>
        <c:dLbls>
          <c:showLegendKey val="0"/>
          <c:showVal val="0"/>
          <c:showCatName val="0"/>
          <c:showSerName val="0"/>
          <c:showPercent val="0"/>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269279c-17c4-4195-a10a-c11f5e117b9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财政拨款“三公”经费支出</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Lbls>
            <c:delete val="1"/>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0</c:v>
                </c:pt>
                <c:pt idx="2">
                  <c:v>0</c:v>
                </c:pt>
              </c:numCache>
            </c:numRef>
          </c:val>
        </c:ser>
        <c:dLbls>
          <c:showLegendKey val="0"/>
          <c:showVal val="0"/>
          <c:showCatName val="0"/>
          <c:showSerName val="0"/>
          <c:showPercent val="0"/>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f7106f9-bff3-4efb-a279-339732e0e14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7">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7">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7">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1299</Words>
  <Characters>7410</Characters>
  <Lines>61</Lines>
  <Paragraphs>17</Paragraphs>
  <TotalTime>51</TotalTime>
  <ScaleCrop>false</ScaleCrop>
  <LinksUpToDate>false</LinksUpToDate>
  <CharactersWithSpaces>8692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2020-08-12T09:49:00Z</dcterms:created>
  <dc:creator>曹颖</dc:creator>
  <cp:lastModifiedBy>user</cp:lastModifiedBy>
  <cp:lastPrinted>2026-08-07T01:27:00Z</cp:lastPrinted>
  <dcterms:modified xsi:type="dcterms:W3CDTF">2026-09-14T11:12:57Z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400D301575C74348A5277D00A7902E06</vt:lpwstr>
  </property>
</Properties>
</file>