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185A1E">
      <w:pPr>
        <w:widowControl/>
        <w:jc w:val="center"/>
        <w:rPr>
          <w:rFonts w:ascii="Times New Roman" w:hAnsi="Times New Roman" w:eastAsia="方正小标宋简体"/>
          <w:color w:val="auto"/>
          <w:sz w:val="36"/>
          <w:szCs w:val="36"/>
          <w:highlight w:val="none"/>
        </w:rPr>
      </w:pPr>
    </w:p>
    <w:p w14:paraId="2F19D3B1">
      <w:pPr>
        <w:widowControl/>
        <w:jc w:val="center"/>
        <w:rPr>
          <w:rFonts w:ascii="Times New Roman" w:hAnsi="Times New Roman" w:eastAsia="方正小标宋简体"/>
          <w:color w:val="auto"/>
          <w:sz w:val="36"/>
          <w:szCs w:val="36"/>
          <w:highlight w:val="none"/>
        </w:rPr>
      </w:pPr>
    </w:p>
    <w:p w14:paraId="04D0A64C">
      <w:pPr>
        <w:widowControl/>
        <w:jc w:val="center"/>
        <w:rPr>
          <w:rFonts w:ascii="Times New Roman" w:hAnsi="Times New Roman" w:eastAsia="方正小标宋简体"/>
          <w:color w:val="auto"/>
          <w:sz w:val="36"/>
          <w:szCs w:val="36"/>
          <w:highlight w:val="none"/>
        </w:rPr>
      </w:pPr>
    </w:p>
    <w:p w14:paraId="21214608">
      <w:pPr>
        <w:widowControl/>
        <w:jc w:val="center"/>
        <w:rPr>
          <w:rFonts w:ascii="Times New Roman" w:hAnsi="Times New Roman" w:eastAsia="方正小标宋简体"/>
          <w:color w:val="auto"/>
          <w:sz w:val="36"/>
          <w:szCs w:val="36"/>
          <w:highlight w:val="none"/>
        </w:rPr>
      </w:pPr>
    </w:p>
    <w:p w14:paraId="4FD96AAB">
      <w:pPr>
        <w:widowControl/>
        <w:jc w:val="center"/>
        <w:rPr>
          <w:rFonts w:ascii="Times New Roman" w:hAnsi="Times New Roman" w:eastAsia="方正小标宋简体"/>
          <w:color w:val="auto"/>
          <w:sz w:val="36"/>
          <w:szCs w:val="36"/>
          <w:highlight w:val="none"/>
        </w:rPr>
      </w:pPr>
    </w:p>
    <w:p w14:paraId="3E1E2B79">
      <w:pPr>
        <w:widowControl/>
        <w:jc w:val="center"/>
        <w:rPr>
          <w:rFonts w:ascii="Times New Roman" w:hAnsi="Times New Roman" w:eastAsia="方正小标宋简体"/>
          <w:color w:val="auto"/>
          <w:sz w:val="36"/>
          <w:szCs w:val="36"/>
          <w:highlight w:val="none"/>
        </w:rPr>
      </w:pPr>
    </w:p>
    <w:p w14:paraId="317A211C">
      <w:pPr>
        <w:widowControl/>
        <w:jc w:val="center"/>
        <w:rPr>
          <w:rFonts w:ascii="Times New Roman" w:hAnsi="Times New Roman" w:eastAsia="方正小标宋简体"/>
          <w:color w:val="auto"/>
          <w:sz w:val="36"/>
          <w:szCs w:val="36"/>
          <w:highlight w:val="none"/>
        </w:rPr>
      </w:pPr>
    </w:p>
    <w:p w14:paraId="3547A4DC">
      <w:pPr>
        <w:widowControl/>
        <w:jc w:val="center"/>
        <w:rPr>
          <w:rFonts w:ascii="Times New Roman" w:hAnsi="Times New Roman" w:eastAsia="方正小标宋简体"/>
          <w:color w:val="auto"/>
          <w:sz w:val="36"/>
          <w:szCs w:val="36"/>
          <w:highlight w:val="none"/>
        </w:rPr>
      </w:pPr>
    </w:p>
    <w:p w14:paraId="70C741D1">
      <w:pPr>
        <w:pStyle w:val="7"/>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96476"/>
      <w:bookmarkStart w:id="1" w:name="_Toc15396598"/>
      <w:bookmarkStart w:id="2" w:name="_Toc15378442"/>
      <w:bookmarkStart w:id="3" w:name="_Toc15377426"/>
      <w:bookmarkStart w:id="4" w:name="_Toc15377194"/>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p>
    <w:p w14:paraId="63C07E03">
      <w:pPr>
        <w:pStyle w:val="7"/>
        <w:ind w:firstLine="880" w:firstLineChars="200"/>
        <w:jc w:val="both"/>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w:t>
      </w:r>
      <w:bookmarkStart w:id="5" w:name="_Toc15306268"/>
      <w:r>
        <w:rPr>
          <w:rFonts w:hint="eastAsia" w:ascii="Times New Roman" w:eastAsia="方正小标宋简体" w:cs="Times New Roman"/>
          <w:color w:val="auto"/>
          <w:kern w:val="2"/>
          <w:sz w:val="44"/>
          <w:szCs w:val="44"/>
          <w:highlight w:val="none"/>
          <w:lang w:val="en-US" w:eastAsia="zh-CN" w:bidi="ar-SA"/>
        </w:rPr>
        <w:t>攀枝花市妇幼保健院单位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0"/>
      <w:bookmarkEnd w:id="1"/>
      <w:bookmarkEnd w:id="2"/>
      <w:bookmarkEnd w:id="3"/>
      <w:bookmarkEnd w:id="4"/>
      <w:bookmarkEnd w:id="5"/>
    </w:p>
    <w:p w14:paraId="582B28FA">
      <w:pPr>
        <w:widowControl/>
        <w:jc w:val="center"/>
        <w:rPr>
          <w:rFonts w:hint="eastAsia" w:ascii="Times New Roman" w:hAnsi="Times New Roman" w:eastAsia="黑体"/>
          <w:color w:val="auto"/>
          <w:sz w:val="48"/>
          <w:szCs w:val="48"/>
          <w:highlight w:val="none"/>
        </w:rPr>
        <w:sectPr>
          <w:footerReference r:id="rId3" w:type="default"/>
          <w:pgSz w:w="11906" w:h="16838"/>
          <w:pgMar w:top="1440" w:right="1800" w:bottom="1440" w:left="1800" w:header="851" w:footer="992" w:gutter="0"/>
          <w:pgNumType w:fmt="decimal" w:start="1"/>
          <w:cols w:space="425" w:num="1"/>
          <w:titlePg/>
          <w:docGrid w:type="lines" w:linePitch="312" w:charSpace="0"/>
        </w:sectPr>
      </w:pPr>
    </w:p>
    <w:p w14:paraId="05ECC84B">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84CA516">
      <w:pPr>
        <w:widowControl/>
        <w:jc w:val="center"/>
        <w:rPr>
          <w:rFonts w:ascii="Times New Roman" w:hAnsi="Times New Roman" w:eastAsia="黑体" w:cstheme="minorBidi"/>
          <w:color w:val="auto"/>
          <w:sz w:val="28"/>
          <w:szCs w:val="28"/>
          <w:highlight w:val="none"/>
        </w:rPr>
      </w:pPr>
    </w:p>
    <w:p w14:paraId="79672A55">
      <w:pPr>
        <w:pStyle w:val="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default" w:ascii="Times New Roman" w:hAnsi="Times New Roman" w:eastAsia="仿宋_GB2312" w:cs="仿宋_GB2312"/>
          <w:color w:val="auto"/>
          <w:sz w:val="32"/>
          <w:szCs w:val="32"/>
          <w:highlight w:val="none"/>
          <w:lang w:val="en-US" w:eastAsia="zh-CN"/>
        </w:rPr>
        <w:t>14</w:t>
      </w:r>
      <w:bookmarkStart w:id="61" w:name="_GoBack"/>
      <w:bookmarkEnd w:id="61"/>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p w14:paraId="10501879">
      <w:pPr>
        <w:rPr>
          <w:rFonts w:ascii="Times New Roman" w:hAnsi="Times New Roman"/>
          <w:color w:val="auto"/>
          <w:highlight w:val="none"/>
        </w:rPr>
      </w:pPr>
    </w:p>
    <w:p w14:paraId="7A94134E">
      <w:pPr>
        <w:pStyle w:val="10"/>
        <w:adjustRightInd w:val="0"/>
        <w:snapToGrid w:val="0"/>
        <w:spacing w:before="0" w:line="440" w:lineRule="exact"/>
        <w:jc w:val="left"/>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...................................................................1</w:t>
      </w:r>
    </w:p>
    <w:p w14:paraId="4773EF56">
      <w:pPr>
        <w:pStyle w:val="10"/>
        <w:adjustRightInd w:val="0"/>
        <w:snapToGrid w:val="0"/>
        <w:spacing w:before="0" w:line="440" w:lineRule="exact"/>
        <w:ind w:firstLine="640" w:firstLineChars="200"/>
        <w:jc w:val="left"/>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仿宋_GB2312" w:cs="仿宋_GB2312"/>
          <w:color w:val="auto"/>
          <w:sz w:val="32"/>
          <w:szCs w:val="32"/>
          <w:highlight w:val="none"/>
          <w:lang w:val="en-US" w:eastAsia="zh-CN"/>
        </w:rPr>
        <w:t>.....................................................................1</w:t>
      </w:r>
    </w:p>
    <w:p w14:paraId="08CB5EA0">
      <w:pPr>
        <w:pStyle w:val="10"/>
        <w:adjustRightInd w:val="0"/>
        <w:snapToGrid w:val="0"/>
        <w:spacing w:before="0" w:line="440" w:lineRule="exact"/>
        <w:ind w:firstLine="640" w:firstLineChars="200"/>
        <w:jc w:val="left"/>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lang w:val="en-US" w:eastAsia="zh-CN"/>
        </w:rPr>
        <w:t>.....................................................................2</w:t>
      </w:r>
    </w:p>
    <w:p w14:paraId="0F89F602">
      <w:pPr>
        <w:pStyle w:val="10"/>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..................................2</w:t>
      </w:r>
    </w:p>
    <w:p w14:paraId="713188D9">
      <w:pPr>
        <w:pStyle w:val="10"/>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rFonts w:hint="eastAsia" w:ascii="Times New Roman" w:hAnsi="Times New Roman" w:eastAsia="黑体" w:cs="黑体"/>
          <w:color w:val="auto"/>
          <w:sz w:val="32"/>
          <w:szCs w:val="32"/>
          <w:highlight w:val="none"/>
          <w:lang w:val="en-US" w:eastAsia="zh-CN"/>
        </w:rPr>
        <w:t>.....................................2</w:t>
      </w:r>
    </w:p>
    <w:p w14:paraId="13892D49">
      <w:pPr>
        <w:pStyle w:val="10"/>
        <w:adjustRightInd w:val="0"/>
        <w:snapToGrid w:val="0"/>
        <w:spacing w:before="0" w:line="440" w:lineRule="exact"/>
        <w:ind w:firstLine="640" w:firstLineChars="200"/>
        <w:jc w:val="left"/>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ascii="Times New Roman" w:hAnsi="Times New Roman" w:eastAsia="仿宋_GB2312" w:cs="仿宋_GB2312"/>
          <w:color w:val="auto"/>
          <w:sz w:val="32"/>
          <w:szCs w:val="32"/>
          <w:highlight w:val="none"/>
          <w:lang w:val="en-US" w:eastAsia="zh-CN"/>
        </w:rPr>
        <w:t>.....................................................3</w:t>
      </w:r>
    </w:p>
    <w:p w14:paraId="2DDA50B5">
      <w:pPr>
        <w:pStyle w:val="10"/>
        <w:adjustRightInd w:val="0"/>
        <w:snapToGrid w:val="0"/>
        <w:spacing w:before="0" w:line="440" w:lineRule="exact"/>
        <w:ind w:firstLine="640" w:firstLineChars="200"/>
        <w:jc w:val="left"/>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rFonts w:hint="eastAsia" w:ascii="Times New Roman" w:hAnsi="Times New Roman" w:eastAsia="仿宋_GB2312" w:cs="仿宋_GB2312"/>
          <w:color w:val="auto"/>
          <w:sz w:val="32"/>
          <w:szCs w:val="32"/>
          <w:highlight w:val="none"/>
          <w:lang w:val="en-US" w:eastAsia="zh-CN"/>
        </w:rPr>
        <w:t>.....................................................3</w:t>
      </w:r>
    </w:p>
    <w:p w14:paraId="71BCCCEA">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.....................4</w:t>
      </w:r>
    </w:p>
    <w:p w14:paraId="7CAEF65E">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.............5</w:t>
      </w:r>
    </w:p>
    <w:p w14:paraId="544D5870">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.....7</w:t>
      </w:r>
    </w:p>
    <w:p w14:paraId="027B3F53">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.............8</w:t>
      </w:r>
    </w:p>
    <w:p w14:paraId="4B2A6EAA">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.........................9</w:t>
      </w:r>
    </w:p>
    <w:p w14:paraId="69747F5C">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.....................9</w:t>
      </w:r>
    </w:p>
    <w:p w14:paraId="2A677D9B">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.........................................9</w:t>
      </w:r>
    </w:p>
    <w:p w14:paraId="37E03421">
      <w:pPr>
        <w:pStyle w:val="10"/>
        <w:adjustRightInd w:val="0"/>
        <w:snapToGrid w:val="0"/>
        <w:spacing w:before="0" w:line="440" w:lineRule="exact"/>
        <w:jc w:val="left"/>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w:t>
      </w:r>
      <w:r>
        <w:rPr>
          <w:rFonts w:hint="eastAsia" w:ascii="Times New Roman" w:hAnsi="Times New Roman" w:eastAsia="黑体" w:cs="黑体"/>
          <w:color w:val="auto"/>
          <w:sz w:val="32"/>
          <w:szCs w:val="32"/>
          <w:highlight w:val="none"/>
          <w:lang w:val="en-US" w:eastAsia="zh-CN"/>
        </w:rPr>
        <w:t>解释.................................................................11</w:t>
      </w:r>
    </w:p>
    <w:p w14:paraId="391F40E3">
      <w:pPr>
        <w:pStyle w:val="10"/>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.........................................................................13</w:t>
      </w:r>
    </w:p>
    <w:p w14:paraId="14F8C0CC">
      <w:pPr>
        <w:pStyle w:val="10"/>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.........................................................................13</w:t>
      </w:r>
    </w:p>
    <w:p w14:paraId="6F99ACD6">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7FA25E4">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3B942EB">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8DC55A2">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5" w:type="first"/>
          <w:footerReference r:id="rId4" w:type="default"/>
          <w:pgSz w:w="11906" w:h="16838"/>
          <w:pgMar w:top="1440" w:right="1800" w:bottom="1440" w:left="1800" w:header="851" w:footer="992" w:gutter="0"/>
          <w:pgNumType w:fmt="decimal" w:start="1"/>
          <w:cols w:space="425" w:num="1"/>
          <w:docGrid w:type="lines" w:linePitch="312" w:charSpace="0"/>
        </w:sectPr>
      </w:pPr>
    </w:p>
    <w:p w14:paraId="2A5D0F13">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703B7A40">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6A525BD7">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A73A054">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3F19AA05">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8570043">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56B41DF0">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EB9DD14">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6F8750ED">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50BE2DA1">
      <w:pPr>
        <w:pStyle w:val="11"/>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000EB7A6">
      <w:pPr>
        <w:pStyle w:val="5"/>
        <w:jc w:val="center"/>
        <w:rPr>
          <w:rFonts w:hint="eastAsia" w:ascii="Times New Roman" w:hAnsi="Times New Roman" w:eastAsia="方正小标宋简体" w:cs="方正小标宋简体"/>
          <w:b w:val="0"/>
          <w:color w:val="auto"/>
          <w:highlight w:val="none"/>
        </w:rPr>
        <w:sectPr>
          <w:footerReference r:id="rId6" w:type="default"/>
          <w:pgSz w:w="11906" w:h="16838"/>
          <w:pgMar w:top="1440" w:right="1800" w:bottom="1440" w:left="1800" w:header="851" w:footer="992" w:gutter="0"/>
          <w:pgNumType w:fmt="decimal" w:start="1"/>
          <w:cols w:space="425" w:num="1"/>
          <w:docGrid w:type="lines" w:linePitch="312" w:charSpace="0"/>
        </w:sectPr>
      </w:pPr>
      <w:bookmarkStart w:id="6" w:name="_Toc15396599"/>
      <w:bookmarkStart w:id="7" w:name="_Toc15377196"/>
    </w:p>
    <w:p w14:paraId="20955444">
      <w:pPr>
        <w:pStyle w:val="5"/>
        <w:jc w:val="center"/>
        <w:rPr>
          <w:rStyle w:val="14"/>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14"/>
          <w:rFonts w:hint="eastAsia" w:ascii="Times New Roman" w:hAnsi="Times New Roman" w:eastAsia="方正小标宋简体" w:cs="方正小标宋简体"/>
          <w:b w:val="0"/>
          <w:bCs w:val="0"/>
          <w:color w:val="auto"/>
          <w:highlight w:val="none"/>
        </w:rPr>
        <w:t>部门概况</w:t>
      </w:r>
      <w:bookmarkEnd w:id="6"/>
      <w:bookmarkEnd w:id="7"/>
    </w:p>
    <w:p w14:paraId="4DFC0D17">
      <w:pPr>
        <w:pStyle w:val="4"/>
        <w:spacing w:after="0" w:line="600" w:lineRule="exact"/>
        <w:ind w:left="0" w:leftChars="0"/>
        <w:rPr>
          <w:rFonts w:hint="eastAsia" w:ascii="仿宋" w:hAnsi="仿宋" w:eastAsia="仿宋"/>
          <w:bCs/>
          <w:color w:val="000000"/>
          <w:sz w:val="32"/>
          <w:szCs w:val="32"/>
        </w:rPr>
      </w:pPr>
    </w:p>
    <w:p w14:paraId="7A9ED78C">
      <w:pPr>
        <w:pStyle w:val="6"/>
        <w:numPr>
          <w:ilvl w:val="0"/>
          <w:numId w:val="0"/>
        </w:numPr>
        <w:ind w:firstLine="643" w:firstLineChars="200"/>
        <w:rPr>
          <w:rFonts w:ascii="仿宋" w:hAnsi="仿宋" w:eastAsia="仿宋"/>
          <w:bCs/>
          <w:color w:val="000000"/>
          <w:sz w:val="32"/>
          <w:szCs w:val="32"/>
        </w:rPr>
      </w:pPr>
      <w:r>
        <w:rPr>
          <w:rFonts w:hint="eastAsia" w:ascii="仿宋" w:hAnsi="仿宋" w:eastAsia="仿宋" w:cstheme="majorBidi"/>
          <w:b/>
          <w:bCs/>
          <w:color w:val="000000"/>
          <w:kern w:val="2"/>
          <w:sz w:val="32"/>
          <w:szCs w:val="32"/>
          <w:lang w:val="en-US" w:eastAsia="zh-CN" w:bidi="ar-SA"/>
        </w:rPr>
        <w:t>一、</w:t>
      </w:r>
      <w:r>
        <w:rPr>
          <w:rFonts w:hint="eastAsia" w:ascii="Times New Roman" w:hAnsi="Times New Roman" w:eastAsia="黑体"/>
          <w:b w:val="0"/>
          <w:color w:val="auto"/>
          <w:highlight w:val="none"/>
          <w:lang w:eastAsia="zh-CN"/>
        </w:rPr>
        <w:t>部门职责</w:t>
      </w:r>
    </w:p>
    <w:p w14:paraId="7EE6012F">
      <w:pPr>
        <w:pStyle w:val="4"/>
        <w:spacing w:after="0" w:line="600" w:lineRule="exact"/>
        <w:ind w:left="0" w:leftChars="0" w:firstLine="640" w:firstLineChars="200"/>
        <w:rPr>
          <w:rFonts w:hint="eastAsia" w:ascii="仿宋" w:hAnsi="仿宋" w:eastAsia="仿宋"/>
          <w:bCs/>
          <w:color w:val="000000"/>
          <w:sz w:val="32"/>
          <w:szCs w:val="32"/>
        </w:rPr>
      </w:pPr>
      <w:r>
        <w:rPr>
          <w:rFonts w:hint="eastAsia" w:ascii="仿宋" w:hAnsi="仿宋" w:eastAsia="仿宋"/>
          <w:bCs/>
          <w:color w:val="000000"/>
          <w:sz w:val="32"/>
          <w:szCs w:val="32"/>
        </w:rPr>
        <w:t>我院作为攀枝花市的唯一市级保健机构，肩负的主要职能</w:t>
      </w:r>
      <w:r>
        <w:rPr>
          <w:rFonts w:hint="eastAsia" w:ascii="仿宋" w:hAnsi="仿宋" w:eastAsia="仿宋"/>
          <w:bCs/>
          <w:color w:val="000000"/>
          <w:sz w:val="32"/>
          <w:szCs w:val="32"/>
          <w:lang w:val="en-US" w:eastAsia="zh-CN"/>
        </w:rPr>
        <w:t>为</w:t>
      </w:r>
      <w:r>
        <w:rPr>
          <w:rFonts w:hint="eastAsia" w:ascii="仿宋" w:hAnsi="仿宋" w:eastAsia="仿宋"/>
          <w:bCs/>
          <w:color w:val="000000"/>
          <w:sz w:val="32"/>
          <w:szCs w:val="32"/>
        </w:rPr>
        <w:t>：</w:t>
      </w:r>
    </w:p>
    <w:p w14:paraId="32D6CC0B">
      <w:pPr>
        <w:pStyle w:val="4"/>
        <w:spacing w:after="0" w:line="600" w:lineRule="exact"/>
        <w:ind w:left="0" w:leftChars="0"/>
        <w:rPr>
          <w:rFonts w:hint="eastAsia" w:ascii="仿宋" w:hAnsi="仿宋" w:eastAsia="仿宋"/>
          <w:bCs/>
          <w:color w:val="000000"/>
          <w:sz w:val="32"/>
          <w:szCs w:val="32"/>
        </w:rPr>
      </w:pPr>
      <w:r>
        <w:rPr>
          <w:rFonts w:hint="eastAsia" w:ascii="仿宋" w:hAnsi="仿宋" w:eastAsia="仿宋"/>
          <w:bCs/>
          <w:color w:val="000000"/>
          <w:sz w:val="32"/>
          <w:szCs w:val="32"/>
        </w:rPr>
        <w:t xml:space="preserve">    1.切实履行公共卫生职责，开展与妇女儿童健康密切相关的基本医疗服务。</w:t>
      </w:r>
    </w:p>
    <w:p w14:paraId="5C8E3F69">
      <w:pPr>
        <w:pStyle w:val="4"/>
        <w:spacing w:after="0" w:line="600" w:lineRule="exact"/>
        <w:ind w:left="0" w:leftChars="0"/>
        <w:rPr>
          <w:rFonts w:ascii="仿宋" w:hAnsi="仿宋" w:eastAsia="仿宋"/>
          <w:bCs/>
          <w:color w:val="000000"/>
          <w:sz w:val="32"/>
          <w:szCs w:val="32"/>
        </w:rPr>
      </w:pPr>
      <w:r>
        <w:rPr>
          <w:rFonts w:hint="eastAsia" w:ascii="仿宋" w:hAnsi="仿宋" w:eastAsia="仿宋"/>
          <w:bCs/>
          <w:color w:val="000000"/>
          <w:sz w:val="32"/>
          <w:szCs w:val="32"/>
        </w:rPr>
        <w:t xml:space="preserve">    2.完成各级政府和卫生行政部门下达的指令性任务。</w:t>
      </w:r>
    </w:p>
    <w:p w14:paraId="352B3E3B">
      <w:pPr>
        <w:pStyle w:val="4"/>
        <w:spacing w:after="0" w:line="600" w:lineRule="exact"/>
        <w:ind w:left="0" w:leftChars="0"/>
        <w:rPr>
          <w:rFonts w:ascii="仿宋" w:hAnsi="仿宋" w:eastAsia="仿宋"/>
          <w:bCs/>
          <w:color w:val="000000"/>
          <w:sz w:val="32"/>
          <w:szCs w:val="32"/>
        </w:rPr>
      </w:pPr>
      <w:r>
        <w:rPr>
          <w:rFonts w:hint="eastAsia" w:ascii="仿宋" w:hAnsi="仿宋" w:eastAsia="仿宋"/>
          <w:bCs/>
          <w:color w:val="000000"/>
          <w:sz w:val="32"/>
          <w:szCs w:val="32"/>
        </w:rPr>
        <w:t xml:space="preserve">    3.负责指导和开展本辖区的妇幼保健健康教育与健康促进工作；组织实施本辖区母婴保健技术培训，对基层妇幼保健机构开展业务指导，并提供技术支持。</w:t>
      </w:r>
    </w:p>
    <w:p w14:paraId="37145613">
      <w:pPr>
        <w:pStyle w:val="4"/>
        <w:spacing w:after="0" w:line="600" w:lineRule="exact"/>
        <w:ind w:left="0" w:leftChars="0"/>
        <w:rPr>
          <w:rFonts w:ascii="仿宋" w:hAnsi="仿宋" w:eastAsia="仿宋"/>
          <w:bCs/>
          <w:color w:val="000000"/>
          <w:sz w:val="32"/>
          <w:szCs w:val="32"/>
        </w:rPr>
      </w:pPr>
      <w:r>
        <w:rPr>
          <w:rFonts w:hint="eastAsia" w:ascii="仿宋" w:hAnsi="仿宋" w:eastAsia="仿宋"/>
          <w:bCs/>
          <w:color w:val="000000"/>
          <w:sz w:val="32"/>
          <w:szCs w:val="32"/>
        </w:rPr>
        <w:t xml:space="preserve">    4.负责本辖区孕产妇死亡、婴儿及5岁以下儿童的死亡、出生缺陷监测、妇幼卫生服务及技术管理等信息的收集、统计、分析、质量控制和汇总上报。</w:t>
      </w:r>
    </w:p>
    <w:p w14:paraId="3DA60F16">
      <w:pPr>
        <w:pStyle w:val="4"/>
        <w:spacing w:after="0" w:line="600" w:lineRule="exact"/>
        <w:ind w:left="0" w:leftChars="0"/>
        <w:rPr>
          <w:rFonts w:ascii="仿宋" w:hAnsi="仿宋" w:eastAsia="仿宋"/>
          <w:bCs/>
          <w:color w:val="000000"/>
          <w:sz w:val="32"/>
          <w:szCs w:val="32"/>
        </w:rPr>
      </w:pPr>
      <w:r>
        <w:rPr>
          <w:rFonts w:hint="eastAsia" w:ascii="仿宋" w:hAnsi="仿宋" w:eastAsia="仿宋"/>
          <w:bCs/>
          <w:color w:val="000000"/>
          <w:sz w:val="32"/>
          <w:szCs w:val="32"/>
        </w:rPr>
        <w:t xml:space="preserve">    5.开展妇女儿童保健服务项目，并开展对妇幼卫生、生殖健康的应用性科学研究，组织推广适宜技术。</w:t>
      </w:r>
    </w:p>
    <w:p w14:paraId="351F42F5">
      <w:pPr>
        <w:pStyle w:val="4"/>
        <w:spacing w:after="0" w:line="600" w:lineRule="exact"/>
        <w:ind w:left="0" w:leftChars="0" w:firstLine="640"/>
        <w:rPr>
          <w:rFonts w:hint="eastAsia" w:ascii="仿宋" w:hAnsi="仿宋" w:eastAsia="仿宋"/>
          <w:bCs/>
          <w:color w:val="000000"/>
          <w:sz w:val="32"/>
          <w:szCs w:val="32"/>
        </w:rPr>
      </w:pPr>
      <w:r>
        <w:rPr>
          <w:rFonts w:hint="eastAsia" w:ascii="仿宋" w:hAnsi="仿宋" w:eastAsia="仿宋"/>
          <w:bCs/>
          <w:color w:val="000000"/>
          <w:sz w:val="32"/>
          <w:szCs w:val="32"/>
        </w:rPr>
        <w:t>6.提供以下基本医疗服务，包括妇女儿童常见疾病诊治、计划生育技术服务、产前筛查、新生儿疾病筛查、助产技术服务、产前诊断、产科并发症处理、新生儿危重症抢救和治疗等。</w:t>
      </w:r>
    </w:p>
    <w:p w14:paraId="68C7808B">
      <w:pPr>
        <w:pStyle w:val="4"/>
        <w:spacing w:after="0" w:line="600" w:lineRule="exact"/>
        <w:ind w:left="0" w:leftChars="0" w:firstLine="640"/>
        <w:rPr>
          <w:rFonts w:hint="default" w:ascii="仿宋" w:hAnsi="仿宋" w:eastAsia="仿宋"/>
          <w:bCs/>
          <w:color w:val="000000"/>
          <w:sz w:val="32"/>
          <w:szCs w:val="32"/>
          <w:lang w:val="en-US" w:eastAsia="zh-CN"/>
        </w:rPr>
      </w:pPr>
      <w:r>
        <w:rPr>
          <w:rFonts w:hint="eastAsia" w:ascii="仿宋" w:hAnsi="仿宋" w:eastAsia="仿宋"/>
          <w:bCs/>
          <w:color w:val="000000"/>
          <w:sz w:val="32"/>
          <w:szCs w:val="32"/>
          <w:lang w:val="en-US" w:eastAsia="zh-CN"/>
        </w:rPr>
        <w:t>7.开展辅助生殖技术，增加新生儿出生率。</w:t>
      </w:r>
    </w:p>
    <w:p w14:paraId="7D9C82DD">
      <w:pPr>
        <w:numPr>
          <w:ilvl w:val="0"/>
          <w:numId w:val="0"/>
        </w:numPr>
        <w:rPr>
          <w:rFonts w:hint="eastAsia"/>
          <w:lang w:eastAsia="zh-CN"/>
        </w:rPr>
      </w:pPr>
    </w:p>
    <w:p w14:paraId="462D4419">
      <w:pPr>
        <w:pStyle w:val="6"/>
        <w:ind w:firstLine="640" w:firstLineChars="200"/>
        <w:rPr>
          <w:rStyle w:val="15"/>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15"/>
          <w:rFonts w:hint="eastAsia" w:ascii="Times New Roman" w:hAnsi="Times New Roman" w:eastAsia="黑体"/>
          <w:b w:val="0"/>
          <w:bCs w:val="0"/>
          <w:color w:val="auto"/>
          <w:highlight w:val="none"/>
        </w:rPr>
        <w:t>构设置</w:t>
      </w:r>
      <w:bookmarkEnd w:id="8"/>
      <w:bookmarkEnd w:id="9"/>
    </w:p>
    <w:p w14:paraId="375F77B2">
      <w:pPr>
        <w:ind w:firstLine="640" w:firstLineChars="20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四川省攀枝花市妇幼保健院</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2A1BC5A3">
      <w:pPr>
        <w:pStyle w:val="5"/>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0"/>
      <w:bookmarkEnd w:id="11"/>
    </w:p>
    <w:p w14:paraId="2225F63A">
      <w:pPr>
        <w:rPr>
          <w:rFonts w:ascii="Times New Roman" w:hAnsi="Times New Roman"/>
          <w:color w:val="auto"/>
          <w:highlight w:val="none"/>
        </w:rPr>
      </w:pPr>
    </w:p>
    <w:p w14:paraId="0A62A6AE">
      <w:pPr>
        <w:pStyle w:val="1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5"/>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15"/>
          <w:rFonts w:hint="eastAsia" w:ascii="Times New Roman" w:hAnsi="Times New Roman" w:eastAsia="黑体"/>
          <w:b w:val="0"/>
          <w:color w:val="auto"/>
          <w:highlight w:val="none"/>
        </w:rPr>
        <w:t>入支出决算总体情况说明</w:t>
      </w:r>
      <w:bookmarkEnd w:id="12"/>
      <w:bookmarkEnd w:id="13"/>
    </w:p>
    <w:p w14:paraId="23EAECAF">
      <w:pPr>
        <w:spacing w:line="600" w:lineRule="exact"/>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支出总计均为17434.78万元，</w:t>
      </w:r>
      <w:r>
        <w:rPr>
          <w:rFonts w:hint="eastAsia" w:ascii="Times New Roman" w:hAnsi="Times New Roman" w:eastAsia="仿宋_GB2312" w:cs="仿宋_GB2312"/>
          <w:color w:val="auto"/>
          <w:sz w:val="32"/>
          <w:szCs w:val="32"/>
          <w:highlight w:val="none"/>
        </w:rPr>
        <w:t>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 xml:space="preserve">支出总计各增加849.92万元，增长5.12%。 </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2025年财政拨款收入较上年增加329.75万元，2025年收到捐赠收入639.40万元。</w:t>
      </w:r>
    </w:p>
    <w:p w14:paraId="027F3CD8">
      <w:pPr>
        <w:keepNext w:val="0"/>
        <w:keepLines w:val="0"/>
        <w:pageBreakBefore w:val="0"/>
        <w:widowControl w:val="0"/>
        <w:kinsoku/>
        <w:wordWrap/>
        <w:overflowPunct/>
        <w:topLinePunct w:val="0"/>
        <w:autoSpaceDE/>
        <w:autoSpaceDN/>
        <w:bidi w:val="0"/>
        <w:adjustRightInd/>
        <w:snapToGrid/>
        <w:ind w:firstLine="1280" w:firstLineChars="4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4E73E72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706620" cy="2956560"/>
            <wp:effectExtent l="4445" t="4445" r="13335" b="1079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468F1A6">
      <w:pPr>
        <w:pStyle w:val="1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143E5F9F">
      <w:pPr>
        <w:pStyle w:val="1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7434.78</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707.27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4.06</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5853.88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val="en-US" w:eastAsia="zh-CN"/>
        </w:rPr>
        <w:t>0.93</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lang w:val="en-US" w:eastAsia="zh-CN"/>
        </w:rPr>
        <w:t>873.62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5.01</w:t>
      </w:r>
      <w:r>
        <w:rPr>
          <w:rFonts w:hint="eastAsia" w:ascii="仿宋_GB2312" w:hAnsi="仿宋_GB2312" w:eastAsia="仿宋_GB2312" w:cs="仿宋_GB2312"/>
          <w:color w:val="auto"/>
          <w:sz w:val="32"/>
          <w:szCs w:val="32"/>
          <w:highlight w:val="none"/>
          <w:lang w:eastAsia="zh-CN"/>
        </w:rPr>
        <w:t>%。</w:t>
      </w:r>
    </w:p>
    <w:p w14:paraId="1E11EF14">
      <w:pPr>
        <w:ind w:firstLine="2400" w:firstLineChars="7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32AE9DE5">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600575" cy="2904490"/>
            <wp:effectExtent l="4445" t="5080" r="5080" b="508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308DE5C">
      <w:pPr>
        <w:pStyle w:val="1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5"/>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15"/>
          <w:rFonts w:hint="eastAsia" w:ascii="Times New Roman" w:hAnsi="Times New Roman" w:eastAsia="黑体"/>
          <w:b w:val="0"/>
          <w:color w:val="auto"/>
          <w:highlight w:val="none"/>
        </w:rPr>
        <w:t>出决算情况说明</w:t>
      </w:r>
      <w:bookmarkEnd w:id="16"/>
      <w:bookmarkEnd w:id="17"/>
    </w:p>
    <w:p w14:paraId="148E940D">
      <w:pPr>
        <w:pStyle w:val="1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7351.63</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16</w:t>
      </w:r>
      <w:r>
        <w:rPr>
          <w:rFonts w:hint="eastAsia" w:ascii="仿宋_GB2312" w:hAnsi="仿宋_GB2312" w:eastAsia="仿宋_GB2312" w:cs="仿宋_GB2312"/>
          <w:sz w:val="32"/>
          <w:szCs w:val="32"/>
          <w:lang w:val="en-US" w:eastAsia="zh-CN"/>
        </w:rPr>
        <w:t>616.97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95.77</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734.66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4.23</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189D4CA4">
      <w:pPr>
        <w:ind w:firstLine="2080" w:firstLineChars="650"/>
        <w:rPr>
          <w:rFonts w:hint="eastAsia" w:ascii="Times New Roman" w:hAnsi="Times New Roman" w:eastAsia="仿宋_GB2312" w:cs="仿宋_GB2312"/>
          <w:color w:val="auto"/>
          <w:sz w:val="32"/>
          <w:szCs w:val="32"/>
          <w:highlight w:val="none"/>
          <w:lang w:eastAsia="zh-CN"/>
        </w:rPr>
      </w:pPr>
    </w:p>
    <w:p w14:paraId="1A70692F">
      <w:pPr>
        <w:ind w:firstLine="2560" w:firstLineChars="8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75B7B664">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526915" cy="2861945"/>
            <wp:effectExtent l="4445" t="4445" r="21590" b="1016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2DA6CF3">
      <w:pPr>
        <w:spacing w:line="600" w:lineRule="exact"/>
        <w:ind w:firstLine="640" w:firstLineChars="200"/>
        <w:outlineLvl w:val="1"/>
        <w:rPr>
          <w:rStyle w:val="15"/>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15"/>
          <w:rFonts w:hint="eastAsia" w:ascii="Times New Roman" w:hAnsi="Times New Roman" w:eastAsia="黑体"/>
          <w:b w:val="0"/>
          <w:color w:val="auto"/>
          <w:highlight w:val="none"/>
        </w:rPr>
        <w:t>政拨款收入支出决算总体情况说明</w:t>
      </w:r>
      <w:bookmarkEnd w:id="18"/>
      <w:bookmarkEnd w:id="19"/>
    </w:p>
    <w:p w14:paraId="24A4A845">
      <w:pPr>
        <w:spacing w:line="600" w:lineRule="exact"/>
        <w:ind w:firstLine="640"/>
        <w:jc w:val="both"/>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707.27</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增加329.75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增长87.35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2025年新增医疗服务与保障能力提升（医疗卫生机构能力建设）项目和取消药品加成项目补助，减少新冠患者救治费用和死亡丧葬抚恤金等。</w:t>
      </w:r>
    </w:p>
    <w:p w14:paraId="0C89C48B">
      <w:pPr>
        <w:spacing w:line="600" w:lineRule="exact"/>
        <w:ind w:firstLine="960" w:firstLineChars="3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3902D057">
      <w:pPr>
        <w:pStyle w:val="7"/>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479675"/>
            <wp:effectExtent l="4445" t="4445" r="15875" b="1143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BE3D9FA">
      <w:pPr>
        <w:spacing w:line="600" w:lineRule="exact"/>
        <w:ind w:firstLine="640" w:firstLineChars="200"/>
        <w:outlineLvl w:val="1"/>
        <w:rPr>
          <w:rStyle w:val="15"/>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15"/>
          <w:rFonts w:hint="eastAsia" w:ascii="Times New Roman" w:hAnsi="Times New Roman" w:eastAsia="黑体"/>
          <w:b w:val="0"/>
          <w:color w:val="auto"/>
          <w:highlight w:val="none"/>
        </w:rPr>
        <w:t>般公共预算财政拨款支出决算情况说明</w:t>
      </w:r>
      <w:bookmarkEnd w:id="20"/>
      <w:bookmarkEnd w:id="21"/>
    </w:p>
    <w:p w14:paraId="21EAA5D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229F9E1B">
      <w:pPr>
        <w:spacing w:line="600" w:lineRule="exact"/>
        <w:ind w:firstLine="640"/>
        <w:jc w:val="both"/>
        <w:rPr>
          <w:rFonts w:hint="default" w:ascii="Times New Roman" w:hAnsi="Times New Roman" w:eastAsia="仿宋_GB2312" w:cs="仿宋_GB2312"/>
          <w:color w:val="auto"/>
          <w:kern w:val="2"/>
          <w:sz w:val="32"/>
          <w:szCs w:val="32"/>
          <w:highlight w:val="yellow"/>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707.27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4.08</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%。与2024年度相比，一般公共预算财政拨款支出增加329.75万元，增长87.35%。主要变动原因是</w:t>
      </w:r>
      <w:r>
        <w:rPr>
          <w:rFonts w:hint="eastAsia" w:eastAsia="仿宋_GB2312" w:cs="仿宋_GB2312"/>
          <w:color w:val="auto"/>
          <w:kern w:val="2"/>
          <w:sz w:val="32"/>
          <w:szCs w:val="32"/>
          <w:highlight w:val="none"/>
          <w:lang w:val="en-US" w:eastAsia="zh-CN" w:bidi="ar-SA"/>
        </w:rPr>
        <w:t>2025年新增医疗服务与保障能力提升（医疗卫生机构能力建设）项目资金300万元用于危重症新生儿救治能力提升。</w:t>
      </w:r>
    </w:p>
    <w:p w14:paraId="5135A4F1">
      <w:pPr>
        <w:spacing w:line="600" w:lineRule="exact"/>
        <w:ind w:firstLine="320" w:firstLineChars="1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bookmarkStart w:id="23" w:name="_Toc15377211"/>
    </w:p>
    <w:p w14:paraId="5FC4F990">
      <w:pPr>
        <w:pStyle w:val="7"/>
        <w:rPr>
          <w:rFonts w:hint="eastAsia" w:ascii="Times New Roman" w:hAnsi="Times New Roman" w:eastAsia="仿宋_GB2312" w:cs="仿宋_GB2312"/>
          <w:color w:val="auto"/>
          <w:kern w:val="2"/>
          <w:sz w:val="32"/>
          <w:szCs w:val="32"/>
          <w:highlight w:val="green"/>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850515"/>
            <wp:effectExtent l="4445" t="4445" r="15875" b="2159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031764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46A9149C">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707.27</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2.06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0.29</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127.78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18.07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577.44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81.64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F2746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39C73894">
      <w:pPr>
        <w:pStyle w:val="7"/>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927600" cy="2654300"/>
            <wp:effectExtent l="4445" t="4445" r="20955" b="825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D31793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06A718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444"/>
      <w:bookmarkStart w:id="27"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707.27万元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44138398">
      <w:pPr>
        <w:numPr>
          <w:ilvl w:val="0"/>
          <w:numId w:val="0"/>
        </w:numPr>
        <w:spacing w:line="600" w:lineRule="exact"/>
        <w:ind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组织事务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其他组织事务支出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F50CB45">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事业单位离退休</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127.78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C558B7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公立医院</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其他公立医院支出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31.17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DA3565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公共卫生</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妇幼保健机构</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22.13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A50287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公共卫生</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基本公共卫生服务</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20.00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88B7C1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公共卫生</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重大公共卫生服务</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61.48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A8B94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其他卫生健康支出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其他卫生健康支出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442.66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EDF40EA">
      <w:pPr>
        <w:tabs>
          <w:tab w:val="right" w:pos="8306"/>
        </w:tabs>
        <w:spacing w:line="600" w:lineRule="exact"/>
        <w:ind w:firstLine="640"/>
        <w:outlineLvl w:val="1"/>
        <w:rPr>
          <w:rStyle w:val="15"/>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15"/>
          <w:rFonts w:hint="eastAsia" w:ascii="Times New Roman" w:hAnsi="Times New Roman" w:eastAsia="黑体"/>
          <w:b w:val="0"/>
          <w:color w:val="auto"/>
          <w:highlight w:val="none"/>
        </w:rPr>
        <w:t>般公共预算财政拨款基本支出决算情况说明</w:t>
      </w:r>
      <w:bookmarkEnd w:id="28"/>
      <w:bookmarkEnd w:id="29"/>
      <w:r>
        <w:rPr>
          <w:rStyle w:val="15"/>
          <w:rFonts w:ascii="Times New Roman" w:hAnsi="Times New Roman" w:eastAsia="黑体"/>
          <w:b w:val="0"/>
          <w:color w:val="auto"/>
          <w:highlight w:val="none"/>
        </w:rPr>
        <w:tab/>
      </w:r>
    </w:p>
    <w:p w14:paraId="654964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149.90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7294F1AA">
      <w:pPr>
        <w:spacing w:line="600" w:lineRule="exact"/>
        <w:ind w:firstLine="645"/>
        <w:rPr>
          <w:rFonts w:hint="eastAsia" w:ascii="Times New Roman" w:hAnsi="Times New Roman" w:eastAsia="仿宋_GB2312" w:cs="仿宋_GB2312"/>
          <w:color w:val="auto"/>
          <w:kern w:val="2"/>
          <w:sz w:val="32"/>
          <w:szCs w:val="32"/>
          <w:highlight w:val="green"/>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145.42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、伙食补助费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、绩效工资</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、其他工资福利支出</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、离休费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、退休费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sz w:val="32"/>
          <w:szCs w:val="32"/>
          <w:highlight w:val="none"/>
        </w:rPr>
        <w:t>抚恤金</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万元、生活补助</w:t>
      </w:r>
      <w:r>
        <w:rPr>
          <w:rFonts w:hint="eastAsia" w:ascii="仿宋" w:hAnsi="仿宋" w:eastAsia="仿宋"/>
          <w:sz w:val="32"/>
          <w:szCs w:val="32"/>
          <w:highlight w:val="none"/>
          <w:lang w:val="en-US" w:eastAsia="zh-CN"/>
        </w:rPr>
        <w:t>123.97</w:t>
      </w:r>
      <w:r>
        <w:rPr>
          <w:rFonts w:hint="eastAsia" w:ascii="仿宋" w:hAnsi="仿宋" w:eastAsia="仿宋"/>
          <w:sz w:val="32"/>
          <w:szCs w:val="32"/>
          <w:highlight w:val="none"/>
        </w:rPr>
        <w:t>万元、医疗费补助</w:t>
      </w:r>
      <w:r>
        <w:rPr>
          <w:rFonts w:hint="eastAsia" w:ascii="仿宋" w:hAnsi="仿宋" w:eastAsia="仿宋"/>
          <w:sz w:val="32"/>
          <w:szCs w:val="32"/>
          <w:highlight w:val="none"/>
          <w:lang w:val="en-US" w:eastAsia="zh-CN"/>
        </w:rPr>
        <w:t>21.45</w:t>
      </w:r>
      <w:r>
        <w:rPr>
          <w:rFonts w:hint="eastAsia" w:ascii="仿宋" w:hAnsi="仿宋" w:eastAsia="仿宋"/>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、奖励金</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、其他对个人和家庭的补助支出</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4.48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ascii="仿宋" w:hAnsi="仿宋" w:eastAsia="仿宋"/>
          <w:sz w:val="32"/>
          <w:szCs w:val="32"/>
          <w:highlight w:val="none"/>
        </w:rPr>
        <w:t>主要包括：</w:t>
      </w:r>
      <w:r>
        <w:rPr>
          <w:rFonts w:hint="eastAsia" w:ascii="Times New Roman" w:hAnsi="Times New Roman" w:eastAsia="仿宋_GB2312" w:cs="仿宋_GB2312"/>
          <w:color w:val="auto"/>
          <w:kern w:val="2"/>
          <w:sz w:val="32"/>
          <w:szCs w:val="32"/>
          <w:highlight w:val="none"/>
          <w:lang w:val="en-US" w:eastAsia="zh-CN" w:bidi="ar-SA"/>
        </w:rPr>
        <w:t>办公费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、印刷费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、咨询费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、手续费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、水费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、电费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、邮电费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、取暖费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、物业管理费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、因公出国（境）费用</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、维修（护）费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、租赁费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、会议费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、培训费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、公务接待费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、劳务费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、委托业务费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、工会经费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、福利费</w:t>
      </w:r>
      <w:r>
        <w:rPr>
          <w:rFonts w:hint="eastAsia" w:ascii="仿宋" w:hAnsi="仿宋" w:eastAsia="仿宋"/>
          <w:sz w:val="32"/>
          <w:szCs w:val="32"/>
          <w:highlight w:val="none"/>
          <w:lang w:val="en-US" w:eastAsia="zh-CN"/>
        </w:rPr>
        <w:t>3.47万元</w:t>
      </w:r>
      <w:r>
        <w:rPr>
          <w:rFonts w:hint="eastAsia" w:ascii="Times New Roman" w:hAnsi="Times New Roman" w:eastAsia="仿宋_GB2312" w:cs="仿宋_GB2312"/>
          <w:color w:val="auto"/>
          <w:kern w:val="2"/>
          <w:sz w:val="32"/>
          <w:szCs w:val="32"/>
          <w:highlight w:val="none"/>
          <w:lang w:val="en-US" w:eastAsia="zh-CN" w:bidi="ar-SA"/>
        </w:rPr>
        <w:t>、公务用车运行维护费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、其他交通费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、税金及附加费用</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sz w:val="32"/>
          <w:szCs w:val="32"/>
          <w:highlight w:val="none"/>
        </w:rPr>
        <w:t>其他商品和服务支出</w:t>
      </w:r>
      <w:r>
        <w:rPr>
          <w:rFonts w:hint="eastAsia" w:ascii="仿宋" w:hAnsi="仿宋" w:eastAsia="仿宋"/>
          <w:sz w:val="32"/>
          <w:szCs w:val="32"/>
          <w:highlight w:val="none"/>
          <w:lang w:val="en-US" w:eastAsia="zh-CN"/>
        </w:rPr>
        <w:t>1.01</w:t>
      </w:r>
      <w:r>
        <w:rPr>
          <w:rFonts w:hint="eastAsia" w:ascii="仿宋" w:hAnsi="仿宋" w:eastAsia="仿宋"/>
          <w:sz w:val="32"/>
          <w:szCs w:val="32"/>
          <w:highlight w:val="none"/>
        </w:rPr>
        <w:t>万元、办公设备购置</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、专用设备购置</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、信息网络及软件购置更新</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、其他资本性支出</w:t>
      </w:r>
      <w:r>
        <w:rPr>
          <w:rFonts w:hint="eastAsia" w:eastAsia="仿宋_GB2312" w:cs="仿宋_GB2312"/>
          <w:color w:val="auto"/>
          <w:kern w:val="2"/>
          <w:sz w:val="32"/>
          <w:szCs w:val="32"/>
          <w:highlight w:val="none"/>
          <w:lang w:val="en-US" w:eastAsia="zh-CN" w:bidi="ar-SA"/>
        </w:rPr>
        <w:t xml:space="preserve">0万元。 </w:t>
      </w:r>
    </w:p>
    <w:p w14:paraId="150B19A0">
      <w:pPr>
        <w:spacing w:line="600" w:lineRule="exact"/>
        <w:ind w:firstLine="640"/>
        <w:outlineLvl w:val="1"/>
        <w:rPr>
          <w:rStyle w:val="15"/>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15"/>
          <w:rFonts w:hint="eastAsia" w:ascii="Times New Roman" w:hAnsi="Times New Roman" w:eastAsia="黑体"/>
          <w:b w:val="0"/>
          <w:color w:val="auto"/>
          <w:highlight w:val="none"/>
        </w:rPr>
        <w:t>财政拨款</w:t>
      </w:r>
      <w:r>
        <w:rPr>
          <w:rStyle w:val="15"/>
          <w:rFonts w:hint="eastAsia" w:ascii="Times New Roman" w:hAnsi="Times New Roman" w:eastAsia="黑体"/>
          <w:color w:val="auto"/>
          <w:highlight w:val="none"/>
        </w:rPr>
        <w:t>“</w:t>
      </w:r>
      <w:r>
        <w:rPr>
          <w:rStyle w:val="15"/>
          <w:rFonts w:hint="eastAsia" w:ascii="Times New Roman" w:hAnsi="Times New Roman" w:eastAsia="黑体"/>
          <w:b w:val="0"/>
          <w:color w:val="auto"/>
          <w:highlight w:val="none"/>
        </w:rPr>
        <w:t>三公”经费支出决算情况说明</w:t>
      </w:r>
      <w:bookmarkEnd w:id="30"/>
      <w:bookmarkEnd w:id="31"/>
    </w:p>
    <w:p w14:paraId="4BAE5F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7BF6C886">
      <w:pPr>
        <w:spacing w:line="600" w:lineRule="exact"/>
        <w:ind w:firstLine="640"/>
        <w:rPr>
          <w:rFonts w:hint="eastAsi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年度财政拨款“三公”经费支出决算为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 w:hAnsi="仿宋" w:eastAsia="仿宋"/>
          <w:sz w:val="32"/>
          <w:szCs w:val="32"/>
        </w:rPr>
        <w:t>与上年度持平，均未安排“三公”经费财政拨款支出预算。</w:t>
      </w:r>
    </w:p>
    <w:p w14:paraId="73222B5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09485A1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55D022DD">
      <w:pPr>
        <w:spacing w:line="600" w:lineRule="exact"/>
        <w:ind w:firstLine="640"/>
        <w:rPr>
          <w:rFonts w:ascii="仿宋_GB2312" w:eastAsia="仿宋_GB2312"/>
          <w:sz w:val="32"/>
          <w:szCs w:val="32"/>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因公出国（境）支出决算与202</w:t>
      </w:r>
      <w:r>
        <w:rPr>
          <w:rFonts w:hint="eastAsia" w:ascii="仿宋_GB2312" w:eastAsia="仿宋_GB2312"/>
          <w:sz w:val="32"/>
          <w:szCs w:val="32"/>
          <w:lang w:val="en-US" w:eastAsia="zh-CN"/>
        </w:rPr>
        <w:t>4</w:t>
      </w:r>
      <w:r>
        <w:rPr>
          <w:rFonts w:hint="eastAsia" w:ascii="仿宋_GB2312" w:eastAsia="仿宋_GB2312"/>
          <w:sz w:val="32"/>
          <w:szCs w:val="32"/>
        </w:rPr>
        <w:t>年度持平，均未安排财政拨款支出预算。</w:t>
      </w:r>
    </w:p>
    <w:p w14:paraId="143FCF77">
      <w:pPr>
        <w:spacing w:line="600" w:lineRule="exact"/>
        <w:ind w:firstLine="640"/>
        <w:rPr>
          <w:rFonts w:ascii="仿宋_GB2312" w:eastAsia="仿宋_GB2312"/>
          <w:b/>
          <w:sz w:val="32"/>
          <w:szCs w:val="32"/>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sz w:val="32"/>
          <w:szCs w:val="32"/>
        </w:rPr>
        <w:t>公务用车购置及运行维护费支出决算与202</w:t>
      </w:r>
      <w:r>
        <w:rPr>
          <w:rFonts w:hint="eastAsia" w:ascii="仿宋_GB2312" w:eastAsia="仿宋_GB2312"/>
          <w:sz w:val="32"/>
          <w:szCs w:val="32"/>
          <w:lang w:val="en-US" w:eastAsia="zh-CN"/>
        </w:rPr>
        <w:t>4</w:t>
      </w:r>
      <w:r>
        <w:rPr>
          <w:rFonts w:hint="eastAsia" w:ascii="仿宋_GB2312" w:eastAsia="仿宋_GB2312"/>
          <w:sz w:val="32"/>
          <w:szCs w:val="32"/>
        </w:rPr>
        <w:t>年度持平，均未安排财政拨款支出预算。</w:t>
      </w:r>
    </w:p>
    <w:p w14:paraId="15FA65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000000"/>
          <w:sz w:val="32"/>
          <w:szCs w:val="32"/>
          <w:highlight w:val="none"/>
        </w:rPr>
        <w:t>日常业务及公务出行</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ascii="仿宋_GB2312" w:eastAsia="仿宋_GB2312"/>
          <w:sz w:val="32"/>
          <w:szCs w:val="32"/>
          <w:highlight w:val="none"/>
        </w:rPr>
        <w:t>越野车1辆</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highlight w:val="none"/>
        </w:rPr>
        <w:t>救护车3辆</w:t>
      </w:r>
      <w:r>
        <w:rPr>
          <w:rFonts w:hint="eastAsia" w:ascii="Times New Roman" w:hAnsi="Times New Roman" w:eastAsia="仿宋_GB2312" w:cs="仿宋_GB2312"/>
          <w:color w:val="auto"/>
          <w:kern w:val="2"/>
          <w:sz w:val="32"/>
          <w:szCs w:val="32"/>
          <w:highlight w:val="none"/>
          <w:lang w:val="en-US" w:eastAsia="zh-CN" w:bidi="ar-SA"/>
        </w:rPr>
        <w:t>。</w:t>
      </w:r>
    </w:p>
    <w:p w14:paraId="089A6C4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4377E155">
      <w:pPr>
        <w:spacing w:line="600" w:lineRule="exact"/>
        <w:ind w:firstLine="640"/>
        <w:rPr>
          <w:rFonts w:ascii="仿宋_GB2312" w:eastAsia="仿宋_GB2312"/>
          <w:sz w:val="32"/>
          <w:szCs w:val="32"/>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w:t>
      </w:r>
      <w:r>
        <w:rPr>
          <w:rFonts w:hint="eastAsia" w:ascii="仿宋_GB2312" w:eastAsia="仿宋_GB2312"/>
          <w:sz w:val="32"/>
          <w:szCs w:val="32"/>
        </w:rPr>
        <w:t>务接待费支出决算与202</w:t>
      </w:r>
      <w:r>
        <w:rPr>
          <w:rFonts w:hint="eastAsia" w:ascii="仿宋_GB2312" w:eastAsia="仿宋_GB2312"/>
          <w:sz w:val="32"/>
          <w:szCs w:val="32"/>
          <w:lang w:val="en-US" w:eastAsia="zh-CN"/>
        </w:rPr>
        <w:t>4</w:t>
      </w:r>
      <w:r>
        <w:rPr>
          <w:rFonts w:hint="eastAsia" w:ascii="仿宋_GB2312" w:eastAsia="仿宋_GB2312"/>
          <w:sz w:val="32"/>
          <w:szCs w:val="32"/>
        </w:rPr>
        <w:t>年度持平，均未安排财政拨款支出预算。</w:t>
      </w:r>
    </w:p>
    <w:p w14:paraId="209CB91D">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w:t>
      </w:r>
    </w:p>
    <w:p w14:paraId="3236D6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2A89C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34" w:name="_Toc15396610"/>
      <w:bookmarkStart w:id="35" w:name="_Toc15377218"/>
    </w:p>
    <w:p w14:paraId="112245ED">
      <w:pPr>
        <w:spacing w:line="600" w:lineRule="exact"/>
        <w:ind w:firstLine="640"/>
        <w:outlineLvl w:val="1"/>
        <w:rPr>
          <w:rStyle w:val="15"/>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15"/>
          <w:rFonts w:hint="eastAsia" w:ascii="Times New Roman" w:hAnsi="Times New Roman" w:eastAsia="黑体"/>
          <w:b w:val="0"/>
          <w:color w:val="auto"/>
          <w:highlight w:val="none"/>
        </w:rPr>
        <w:t>政府性基金预算支出决算情况说明</w:t>
      </w:r>
      <w:bookmarkEnd w:id="34"/>
      <w:bookmarkEnd w:id="35"/>
    </w:p>
    <w:p w14:paraId="0CC2FB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527A16B9">
      <w:pPr>
        <w:numPr>
          <w:ilvl w:val="0"/>
          <w:numId w:val="0"/>
        </w:numPr>
        <w:spacing w:line="600" w:lineRule="exact"/>
        <w:ind w:left="630" w:leftChars="0"/>
        <w:outlineLvl w:val="1"/>
        <w:rPr>
          <w:rStyle w:val="15"/>
          <w:rFonts w:ascii="Times New Roman" w:hAnsi="Times New Roman" w:eastAsia="黑体"/>
          <w:b w:val="0"/>
          <w:color w:val="auto"/>
          <w:highlight w:val="none"/>
        </w:rPr>
      </w:pPr>
      <w:bookmarkStart w:id="36" w:name="_Toc15396611"/>
      <w:bookmarkStart w:id="37" w:name="_Toc15377219"/>
      <w:r>
        <w:rPr>
          <w:rStyle w:val="15"/>
          <w:rFonts w:hint="eastAsia" w:ascii="Times New Roman" w:hAnsi="Times New Roman" w:eastAsia="黑体"/>
          <w:b w:val="0"/>
          <w:color w:val="auto"/>
          <w:highlight w:val="none"/>
          <w:lang w:eastAsia="zh-CN"/>
        </w:rPr>
        <w:t>九、</w:t>
      </w:r>
      <w:r>
        <w:rPr>
          <w:rStyle w:val="15"/>
          <w:rFonts w:hint="eastAsia" w:ascii="Times New Roman" w:hAnsi="Times New Roman" w:eastAsia="黑体"/>
          <w:b w:val="0"/>
          <w:color w:val="auto"/>
          <w:highlight w:val="none"/>
        </w:rPr>
        <w:t>国有资本经营预算支出决算情况说明</w:t>
      </w:r>
      <w:bookmarkEnd w:id="36"/>
      <w:bookmarkEnd w:id="37"/>
    </w:p>
    <w:p w14:paraId="697730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2D5F7647">
      <w:pPr>
        <w:numPr>
          <w:ilvl w:val="0"/>
          <w:numId w:val="0"/>
        </w:numPr>
        <w:spacing w:line="600" w:lineRule="exact"/>
        <w:ind w:left="630" w:leftChars="0"/>
        <w:outlineLvl w:val="1"/>
        <w:rPr>
          <w:rStyle w:val="15"/>
          <w:rFonts w:hint="eastAsia" w:ascii="Times New Roman" w:hAnsi="Times New Roman" w:eastAsia="黑体"/>
          <w:b w:val="0"/>
          <w:color w:val="auto"/>
          <w:highlight w:val="none"/>
        </w:rPr>
      </w:pPr>
      <w:bookmarkStart w:id="38" w:name="_Toc15377221"/>
      <w:bookmarkStart w:id="39" w:name="_Toc15396612"/>
      <w:r>
        <w:rPr>
          <w:rStyle w:val="15"/>
          <w:rFonts w:hint="eastAsia" w:ascii="Times New Roman" w:hAnsi="Times New Roman" w:eastAsia="黑体"/>
          <w:b w:val="0"/>
          <w:color w:val="auto"/>
          <w:highlight w:val="none"/>
          <w:lang w:eastAsia="zh-CN"/>
        </w:rPr>
        <w:t>十、</w:t>
      </w:r>
      <w:r>
        <w:rPr>
          <w:rStyle w:val="15"/>
          <w:rFonts w:hint="eastAsia" w:ascii="Times New Roman" w:hAnsi="Times New Roman" w:eastAsia="黑体"/>
          <w:b w:val="0"/>
          <w:color w:val="auto"/>
          <w:highlight w:val="none"/>
        </w:rPr>
        <w:t>其他重要事项的情况说明</w:t>
      </w:r>
      <w:bookmarkEnd w:id="38"/>
      <w:bookmarkEnd w:id="39"/>
    </w:p>
    <w:p w14:paraId="109635E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65CFBD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四川省攀枝花市妇幼保健院</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ascii="仿宋_GB2312" w:eastAsia="仿宋_GB2312"/>
          <w:sz w:val="32"/>
          <w:szCs w:val="32"/>
        </w:rPr>
        <w:t>，与</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年度决算数持平，均未安排财政拨款支出预算。</w:t>
      </w:r>
    </w:p>
    <w:p w14:paraId="65E9CDE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4ECCF4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四川省攀枝花市妇幼保健院</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426.95</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lang w:val="en-US" w:eastAsia="zh-CN"/>
        </w:rPr>
        <w:t>115.11</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311.84</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_GB2312" w:eastAsia="仿宋_GB2312"/>
          <w:sz w:val="32"/>
          <w:szCs w:val="32"/>
        </w:rPr>
        <w:t>主要用于</w:t>
      </w:r>
      <w:r>
        <w:rPr>
          <w:rFonts w:hint="eastAsia" w:ascii="仿宋_GB2312" w:eastAsia="仿宋_GB2312"/>
          <w:color w:val="000000"/>
          <w:sz w:val="32"/>
          <w:szCs w:val="32"/>
        </w:rPr>
        <w:t>医疗专用设备、办公设备、保洁等物业服务</w:t>
      </w:r>
      <w:r>
        <w:rPr>
          <w:rFonts w:hint="eastAsia" w:ascii="仿宋_GB2312" w:eastAsia="仿宋_GB2312"/>
          <w:sz w:val="32"/>
          <w:szCs w:val="32"/>
        </w:rPr>
        <w:t>。</w:t>
      </w:r>
      <w:r>
        <w:rPr>
          <w:rFonts w:hint="eastAsia" w:ascii="仿宋_GB2312" w:hAnsi="仿宋_GB2312"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lang w:val="en-US" w:eastAsia="zh-CN"/>
        </w:rPr>
        <w:t>389.95</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91.33</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lang w:val="en-US" w:eastAsia="zh-CN"/>
        </w:rPr>
        <w:t>389.95</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91.33</w:t>
      </w:r>
      <w:r>
        <w:rPr>
          <w:rFonts w:hint="eastAsia" w:ascii="仿宋_GB2312" w:hAnsi="仿宋_GB2312" w:eastAsia="仿宋_GB2312" w:cs="仿宋_GB2312"/>
          <w:color w:val="auto"/>
          <w:kern w:val="2"/>
          <w:sz w:val="32"/>
          <w:szCs w:val="32"/>
          <w:highlight w:val="none"/>
          <w:lang w:val="en-US" w:eastAsia="zh-CN" w:bidi="ar-SA"/>
        </w:rPr>
        <w:t>%。</w:t>
      </w:r>
    </w:p>
    <w:p w14:paraId="56743A9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0801A3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四川省攀枝花市妇幼保健院</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6</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auto"/>
          <w:kern w:val="2"/>
          <w:sz w:val="32"/>
          <w:szCs w:val="32"/>
          <w:highlight w:val="none"/>
          <w:lang w:val="en-US" w:eastAsia="zh-CN" w:bidi="ar-SA"/>
        </w:rPr>
        <w:t>辆、</w:t>
      </w:r>
      <w:r>
        <w:rPr>
          <w:rFonts w:hint="eastAsia" w:ascii="仿宋_GB2312" w:eastAsia="仿宋_GB2312"/>
          <w:color w:val="000000"/>
          <w:sz w:val="32"/>
          <w:szCs w:val="32"/>
          <w:highlight w:val="none"/>
        </w:rPr>
        <w:t>特种专业技术用车3辆、</w:t>
      </w:r>
      <w:r>
        <w:rPr>
          <w:rFonts w:hint="eastAsia" w:ascii="仿宋_GB2312" w:hAnsi="仿宋_GB2312" w:eastAsia="仿宋_GB2312" w:cs="仿宋_GB2312"/>
          <w:color w:val="auto"/>
          <w:kern w:val="2"/>
          <w:sz w:val="32"/>
          <w:szCs w:val="32"/>
          <w:highlight w:val="none"/>
          <w:lang w:val="en-US" w:eastAsia="zh-CN" w:bidi="ar-SA"/>
        </w:rPr>
        <w:t>应急保障用车</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color w:val="auto"/>
          <w:kern w:val="2"/>
          <w:sz w:val="32"/>
          <w:szCs w:val="32"/>
          <w:highlight w:val="none"/>
          <w:lang w:val="en-US" w:eastAsia="zh-CN" w:bidi="ar-SA"/>
        </w:rPr>
        <w:t>辆，其他用车主要是</w:t>
      </w:r>
      <w:r>
        <w:rPr>
          <w:rFonts w:hint="eastAsia" w:ascii="仿宋_GB2312" w:eastAsia="仿宋_GB2312"/>
          <w:sz w:val="32"/>
          <w:szCs w:val="32"/>
          <w:highlight w:val="none"/>
        </w:rPr>
        <w:t>用于</w:t>
      </w:r>
      <w:r>
        <w:rPr>
          <w:rFonts w:hint="eastAsia" w:ascii="仿宋_GB2312" w:eastAsia="仿宋_GB2312"/>
          <w:color w:val="000000"/>
          <w:sz w:val="32"/>
          <w:szCs w:val="32"/>
          <w:highlight w:val="none"/>
        </w:rPr>
        <w:t>日常业务及公务出行</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5F94AC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0FA21F1">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rPr>
        <w:t>四川省攀枝花市妇幼保健院</w:t>
      </w:r>
      <w:r>
        <w:rPr>
          <w:rFonts w:hint="eastAsia" w:ascii="Times New Roman" w:hAnsi="Times New Roman" w:eastAsia="仿宋_GB2312" w:cs="仿宋_GB2312"/>
          <w:color w:val="auto"/>
          <w:kern w:val="2"/>
          <w:sz w:val="32"/>
          <w:szCs w:val="32"/>
          <w:highlight w:val="none"/>
          <w:lang w:val="en-US" w:eastAsia="zh-CN" w:bidi="ar-SA"/>
        </w:rPr>
        <w:t>在20</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年度，组织对</w:t>
      </w:r>
      <w:r>
        <w:rPr>
          <w:rFonts w:hint="eastAsia" w:eastAsia="仿宋_GB2312" w:cs="仿宋_GB2312"/>
          <w:color w:val="auto"/>
          <w:kern w:val="2"/>
          <w:sz w:val="32"/>
          <w:szCs w:val="32"/>
          <w:highlight w:val="none"/>
          <w:lang w:val="en-US" w:eastAsia="zh-CN" w:bidi="ar-SA"/>
        </w:rPr>
        <w:t>医疗服务与保障能力提升（公立医院综合改革）、退休中人一次性退休补贴、医疗服务与保障能力提升（医疗卫生机构能力建设）、市级挂职干部补助2、万名医师支援农村工程、新并入基本公共卫生服务-按人口因素分配、艾滋病防治（专项）、重大传染病及健康危害因素监测（专项）、重大传染病及健康危害因素监测（卫生健康部分）、对口支援、人才专项经费111、医疗卫生辅助岗、2025年取消药品加成</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个项目</w:t>
      </w:r>
      <w:r>
        <w:rPr>
          <w:rFonts w:hint="eastAsia" w:eastAsia="仿宋_GB2312" w:cs="仿宋_GB2312"/>
          <w:sz w:val="32"/>
          <w:szCs w:val="32"/>
          <w:highlight w:val="none"/>
        </w:rPr>
        <w:t>涉及金额</w:t>
      </w:r>
      <w:r>
        <w:rPr>
          <w:rFonts w:hint="eastAsia" w:eastAsia="仿宋_GB2312" w:cs="仿宋_GB2312"/>
          <w:sz w:val="32"/>
          <w:szCs w:val="32"/>
          <w:highlight w:val="none"/>
          <w:lang w:val="en-US" w:eastAsia="zh-CN"/>
        </w:rPr>
        <w:t>535.24</w:t>
      </w:r>
      <w:r>
        <w:rPr>
          <w:rFonts w:hint="eastAsia" w:eastAsia="仿宋_GB2312" w:cs="仿宋_GB2312"/>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开展了预算事前绩效评估，对</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FDED90F">
      <w:pPr>
        <w:pStyle w:val="7"/>
        <w:rPr>
          <w:rFonts w:hint="eastAsia" w:ascii="Times New Roman" w:hAnsi="Times New Roman" w:eastAsia="仿宋_GB2312" w:cs="仿宋_GB2312"/>
          <w:color w:val="auto"/>
          <w:kern w:val="2"/>
          <w:sz w:val="32"/>
          <w:szCs w:val="32"/>
          <w:highlight w:val="yellow"/>
          <w:lang w:val="en-US" w:eastAsia="zh-CN" w:bidi="ar-SA"/>
        </w:rPr>
      </w:pPr>
    </w:p>
    <w:p w14:paraId="2F8A863B">
      <w:pPr>
        <w:pStyle w:val="7"/>
        <w:rPr>
          <w:rFonts w:hint="eastAsia"/>
          <w:lang w:val="en-US" w:eastAsia="zh-CN"/>
        </w:rPr>
      </w:pPr>
    </w:p>
    <w:p w14:paraId="1C66E9D5">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21D1DD7D">
      <w:pPr>
        <w:spacing w:line="600" w:lineRule="exact"/>
        <w:jc w:val="left"/>
        <w:rPr>
          <w:rFonts w:ascii="Times New Roman" w:hAnsi="Times New Roman"/>
          <w:b/>
          <w:color w:val="auto"/>
          <w:sz w:val="44"/>
          <w:szCs w:val="44"/>
          <w:highlight w:val="none"/>
        </w:rPr>
      </w:pPr>
    </w:p>
    <w:p w14:paraId="5CF6DE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6CE9A0C">
      <w:pPr>
        <w:pStyle w:val="18"/>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r>
        <w:rPr>
          <w:rFonts w:hint="eastAsia" w:ascii="仿宋_GB2312" w:eastAsia="仿宋_GB2312"/>
          <w:color w:val="auto"/>
          <w:sz w:val="32"/>
          <w:szCs w:val="32"/>
        </w:rPr>
        <w:t>如医疗收入、科教收入</w:t>
      </w:r>
      <w:r>
        <w:rPr>
          <w:rFonts w:hint="eastAsia" w:ascii="Times New Roman" w:hAnsi="Times New Roman" w:eastAsia="仿宋_GB2312" w:cs="仿宋_GB2312"/>
          <w:color w:val="auto"/>
          <w:kern w:val="2"/>
          <w:sz w:val="32"/>
          <w:szCs w:val="32"/>
          <w:highlight w:val="none"/>
          <w:lang w:val="en-US" w:eastAsia="zh-CN" w:bidi="ar-SA"/>
        </w:rPr>
        <w:t>等。</w:t>
      </w:r>
    </w:p>
    <w:p w14:paraId="049E9E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05739E5A">
      <w:pPr>
        <w:pStyle w:val="18"/>
        <w:spacing w:line="560" w:lineRule="exact"/>
        <w:ind w:firstLine="640" w:firstLineChars="200"/>
        <w:rPr>
          <w:rFonts w:ascii="仿宋_GB2312" w:eastAsia="仿宋_GB2312"/>
          <w:sz w:val="32"/>
          <w:szCs w:val="32"/>
          <w:highlight w:val="green"/>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r>
        <w:rPr>
          <w:rFonts w:hint="eastAsia" w:ascii="仿宋_GB2312" w:eastAsia="仿宋_GB2312"/>
          <w:sz w:val="32"/>
          <w:szCs w:val="32"/>
          <w:highlight w:val="none"/>
        </w:rPr>
        <w:t>主要是</w:t>
      </w:r>
      <w:r>
        <w:rPr>
          <w:rFonts w:hint="eastAsia" w:ascii="仿宋_GB2312" w:eastAsia="仿宋_GB2312"/>
          <w:sz w:val="32"/>
          <w:szCs w:val="32"/>
          <w:highlight w:val="none"/>
          <w:lang w:val="en-US" w:eastAsia="zh-CN"/>
        </w:rPr>
        <w:t>捐赠收入、租金收入、利息收入、停车场收入、</w:t>
      </w:r>
      <w:r>
        <w:rPr>
          <w:rFonts w:hint="eastAsia" w:ascii="仿宋_GB2312" w:eastAsia="仿宋_GB2312"/>
          <w:sz w:val="32"/>
          <w:szCs w:val="32"/>
          <w:highlight w:val="none"/>
        </w:rPr>
        <w:t>孕卡本</w:t>
      </w:r>
      <w:r>
        <w:rPr>
          <w:rFonts w:hint="eastAsia" w:ascii="仿宋_GB2312" w:eastAsia="仿宋_GB2312"/>
          <w:sz w:val="32"/>
          <w:szCs w:val="32"/>
          <w:highlight w:val="none"/>
          <w:lang w:val="en-US" w:eastAsia="zh-CN"/>
        </w:rPr>
        <w:t>及</w:t>
      </w:r>
      <w:r>
        <w:rPr>
          <w:rFonts w:hint="eastAsia" w:ascii="仿宋_GB2312" w:eastAsia="仿宋_GB2312"/>
          <w:sz w:val="32"/>
          <w:szCs w:val="32"/>
          <w:highlight w:val="none"/>
        </w:rPr>
        <w:t>儿保本</w:t>
      </w:r>
      <w:r>
        <w:rPr>
          <w:rFonts w:hint="eastAsia" w:ascii="仿宋_GB2312" w:eastAsia="仿宋_GB2312"/>
          <w:sz w:val="32"/>
          <w:szCs w:val="32"/>
          <w:highlight w:val="none"/>
          <w:lang w:val="en-US" w:eastAsia="zh-CN"/>
        </w:rPr>
        <w:t>收入</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各项工作经费补助</w:t>
      </w:r>
      <w:r>
        <w:rPr>
          <w:rFonts w:hint="eastAsia" w:ascii="仿宋_GB2312" w:eastAsia="仿宋_GB2312"/>
          <w:sz w:val="32"/>
          <w:szCs w:val="32"/>
          <w:highlight w:val="none"/>
        </w:rPr>
        <w:t>收入等。</w:t>
      </w:r>
    </w:p>
    <w:p w14:paraId="452F3C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3D28AE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139A2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D66A3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56BA2CB5">
      <w:pPr>
        <w:ind w:firstLine="640" w:firstLineChars="200"/>
        <w:rPr>
          <w:rFonts w:ascii="仿宋_GB2312" w:hAnsi="Calibri" w:eastAsia="仿宋_GB2312" w:cs="仿宋"/>
          <w:kern w:val="0"/>
          <w:sz w:val="32"/>
          <w:szCs w:val="32"/>
        </w:rPr>
      </w:pPr>
      <w:r>
        <w:rPr>
          <w:rFonts w:ascii="仿宋_GB2312" w:eastAsia="仿宋_GB2312"/>
          <w:sz w:val="32"/>
          <w:szCs w:val="32"/>
        </w:rPr>
        <w:t>9.</w:t>
      </w:r>
      <w:r>
        <w:rPr>
          <w:rFonts w:hint="eastAsia" w:ascii="仿宋_GB2312" w:hAnsi="Calibri" w:eastAsia="仿宋_GB2312" w:cs="仿宋"/>
          <w:kern w:val="0"/>
          <w:sz w:val="32"/>
          <w:szCs w:val="32"/>
        </w:rPr>
        <w:t>一般公共服务（类）组织事务（款）其他组织事务支出（项）：指其他用于中国共产党组织部门的事务支出。</w:t>
      </w:r>
    </w:p>
    <w:p w14:paraId="3F00CEF4">
      <w:pPr>
        <w:ind w:firstLine="640" w:firstLineChars="200"/>
        <w:rPr>
          <w:rFonts w:hint="eastAsia" w:ascii="仿宋_GB2312" w:hAnsi="Calibri" w:eastAsia="仿宋_GB2312" w:cs="仿宋"/>
          <w:kern w:val="0"/>
          <w:sz w:val="32"/>
          <w:szCs w:val="32"/>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仿宋_GB2312" w:hAnsi="Calibri" w:eastAsia="仿宋_GB2312" w:cs="仿宋"/>
          <w:kern w:val="0"/>
          <w:sz w:val="32"/>
          <w:szCs w:val="32"/>
        </w:rPr>
        <w:t>社会保障和就业（类）行政</w:t>
      </w:r>
      <w:r>
        <w:rPr>
          <w:rFonts w:ascii="仿宋_GB2312" w:hAnsi="Calibri" w:eastAsia="仿宋_GB2312" w:cs="仿宋"/>
          <w:kern w:val="0"/>
          <w:sz w:val="32"/>
          <w:szCs w:val="32"/>
        </w:rPr>
        <w:t>事业单位养老支出</w:t>
      </w:r>
      <w:r>
        <w:rPr>
          <w:rFonts w:hint="eastAsia" w:ascii="仿宋_GB2312" w:hAnsi="Calibri" w:eastAsia="仿宋_GB2312" w:cs="仿宋"/>
          <w:kern w:val="0"/>
          <w:sz w:val="32"/>
          <w:szCs w:val="32"/>
        </w:rPr>
        <w:t>（款）事业</w:t>
      </w:r>
      <w:r>
        <w:rPr>
          <w:rFonts w:ascii="仿宋_GB2312" w:hAnsi="Calibri" w:eastAsia="仿宋_GB2312" w:cs="仿宋"/>
          <w:kern w:val="0"/>
          <w:sz w:val="32"/>
          <w:szCs w:val="32"/>
        </w:rPr>
        <w:t>单位离退休费</w:t>
      </w:r>
      <w:r>
        <w:rPr>
          <w:rFonts w:hint="eastAsia" w:ascii="仿宋_GB2312" w:hAnsi="Calibri" w:eastAsia="仿宋_GB2312" w:cs="仿宋"/>
          <w:kern w:val="0"/>
          <w:sz w:val="32"/>
          <w:szCs w:val="32"/>
        </w:rPr>
        <w:t>（项）</w:t>
      </w:r>
      <w:r>
        <w:rPr>
          <w:rFonts w:ascii="仿宋_GB2312" w:hAnsi="Calibri" w:eastAsia="仿宋_GB2312" w:cs="仿宋"/>
          <w:kern w:val="0"/>
          <w:sz w:val="32"/>
          <w:szCs w:val="32"/>
        </w:rPr>
        <w:t>:</w:t>
      </w:r>
      <w:r>
        <w:rPr>
          <w:rFonts w:hint="eastAsia" w:ascii="仿宋_GB2312" w:hAnsi="Calibri" w:eastAsia="仿宋_GB2312" w:cs="仿宋"/>
          <w:kern w:val="0"/>
          <w:sz w:val="32"/>
          <w:szCs w:val="32"/>
        </w:rPr>
        <w:t>指事业单位开支的离退休费。</w:t>
      </w:r>
    </w:p>
    <w:p w14:paraId="0AC1B7AD">
      <w:pPr>
        <w:pStyle w:val="7"/>
        <w:spacing w:before="93"/>
        <w:ind w:firstLine="640" w:firstLineChars="200"/>
        <w:rPr>
          <w:color w:val="000000"/>
          <w:sz w:val="32"/>
          <w:szCs w:val="32"/>
        </w:rPr>
      </w:pPr>
      <w:r>
        <w:rPr>
          <w:rFonts w:hint="eastAsia" w:eastAsia="仿宋_GB2312" w:cs="仿宋_GB2312"/>
          <w:color w:val="auto"/>
          <w:kern w:val="2"/>
          <w:sz w:val="32"/>
          <w:szCs w:val="32"/>
          <w:highlight w:val="none"/>
          <w:lang w:val="en-US" w:eastAsia="zh-CN" w:bidi="ar-SA"/>
        </w:rPr>
        <w:t>1</w:t>
      </w:r>
      <w:r>
        <w:rPr>
          <w:rFonts w:hint="eastAsia"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color w:val="000000"/>
          <w:sz w:val="32"/>
          <w:szCs w:val="32"/>
        </w:rPr>
        <w:t>卫生健康</w:t>
      </w:r>
      <w:r>
        <w:rPr>
          <w:rFonts w:hint="eastAsia"/>
        </w:rPr>
        <w:t>（类）公共卫生（款）妇幼保健机构（项）</w:t>
      </w:r>
      <w:r>
        <w:t>:</w:t>
      </w:r>
      <w:r>
        <w:rPr>
          <w:rFonts w:hint="eastAsia"/>
          <w:color w:val="000000"/>
          <w:sz w:val="32"/>
          <w:szCs w:val="32"/>
        </w:rPr>
        <w:t xml:space="preserve"> 指反映卫生健康部门所属妇幼保健机构的支出。</w:t>
      </w:r>
    </w:p>
    <w:p w14:paraId="36DB9D67">
      <w:pPr>
        <w:pStyle w:val="7"/>
        <w:spacing w:before="93"/>
        <w:ind w:firstLine="640" w:firstLineChars="200"/>
        <w:rPr>
          <w:color w:val="000000"/>
          <w:sz w:val="32"/>
          <w:szCs w:val="32"/>
        </w:rPr>
      </w:pPr>
      <w:r>
        <w:rPr>
          <w:rFonts w:hint="eastAsia" w:eastAsia="仿宋_GB2312" w:cs="仿宋_GB2312"/>
          <w:color w:val="auto"/>
          <w:kern w:val="2"/>
          <w:sz w:val="32"/>
          <w:szCs w:val="32"/>
          <w:highlight w:val="none"/>
          <w:lang w:val="en-US" w:eastAsia="zh-CN" w:bidi="ar-SA"/>
        </w:rPr>
        <w:t>1</w:t>
      </w:r>
      <w:r>
        <w:rPr>
          <w:rFonts w:hint="eastAsia"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w:t>
      </w:r>
      <w:r>
        <w:rPr>
          <w:rFonts w:hint="eastAsia"/>
          <w:color w:val="000000"/>
          <w:sz w:val="32"/>
          <w:szCs w:val="32"/>
        </w:rPr>
        <w:t>卫生健康</w:t>
      </w:r>
      <w:r>
        <w:rPr>
          <w:rFonts w:hint="eastAsia"/>
        </w:rPr>
        <w:t>（类）公共卫生（款）基本公共卫生服务（项）</w:t>
      </w:r>
      <w:r>
        <w:t>:</w:t>
      </w:r>
      <w:r>
        <w:rPr>
          <w:rFonts w:hint="eastAsia"/>
          <w:color w:val="000000"/>
          <w:sz w:val="32"/>
          <w:szCs w:val="32"/>
        </w:rPr>
        <w:t>指反映基本公共卫生服务支出。</w:t>
      </w:r>
    </w:p>
    <w:p w14:paraId="78365656">
      <w:pPr>
        <w:pStyle w:val="7"/>
        <w:spacing w:before="93"/>
        <w:ind w:firstLine="640" w:firstLineChars="200"/>
        <w:rPr>
          <w:color w:val="000000"/>
          <w:sz w:val="32"/>
          <w:szCs w:val="32"/>
        </w:rPr>
      </w:pPr>
      <w:r>
        <w:rPr>
          <w:rFonts w:hint="eastAsia" w:eastAsia="仿宋_GB2312" w:cs="仿宋_GB2312"/>
          <w:color w:val="auto"/>
          <w:kern w:val="2"/>
          <w:sz w:val="32"/>
          <w:szCs w:val="32"/>
          <w:highlight w:val="none"/>
          <w:lang w:val="en-US" w:eastAsia="zh-CN" w:bidi="ar-SA"/>
        </w:rPr>
        <w:t>1</w:t>
      </w:r>
      <w:r>
        <w:rPr>
          <w:rFonts w:hint="eastAsia"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w:t>
      </w:r>
      <w:r>
        <w:rPr>
          <w:rFonts w:hint="eastAsia"/>
          <w:color w:val="000000"/>
          <w:sz w:val="32"/>
          <w:szCs w:val="32"/>
        </w:rPr>
        <w:t>卫生健康</w:t>
      </w:r>
      <w:r>
        <w:rPr>
          <w:rFonts w:hint="eastAsia"/>
        </w:rPr>
        <w:t>（类）公共卫生（款）重大公共卫生服务（项）</w:t>
      </w:r>
      <w:r>
        <w:t>:</w:t>
      </w:r>
      <w:r>
        <w:rPr>
          <w:rFonts w:hint="eastAsia"/>
          <w:color w:val="000000"/>
          <w:sz w:val="32"/>
          <w:szCs w:val="32"/>
        </w:rPr>
        <w:t>指反映重大疾病、重大传染病预防控制等重大公共卫生服务项目支出。</w:t>
      </w:r>
    </w:p>
    <w:p w14:paraId="65C81D00">
      <w:pPr>
        <w:pStyle w:val="7"/>
        <w:spacing w:before="93"/>
        <w:ind w:firstLine="640" w:firstLineChars="200"/>
        <w:rPr>
          <w:rFonts w:hint="eastAsia"/>
          <w:color w:val="000000"/>
          <w:sz w:val="32"/>
          <w:szCs w:val="32"/>
          <w:highlight w:val="green"/>
        </w:rPr>
      </w:pPr>
      <w:r>
        <w:rPr>
          <w:rFonts w:hint="eastAsia" w:eastAsia="仿宋_GB2312" w:cs="仿宋_GB2312"/>
          <w:color w:val="auto"/>
          <w:kern w:val="2"/>
          <w:sz w:val="32"/>
          <w:szCs w:val="32"/>
          <w:highlight w:val="none"/>
          <w:lang w:val="en-US" w:eastAsia="zh-CN" w:bidi="ar-SA"/>
        </w:rPr>
        <w:t>1</w:t>
      </w:r>
      <w:r>
        <w:rPr>
          <w:rFonts w:hint="eastAsia"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w:t>
      </w:r>
      <w:r>
        <w:rPr>
          <w:rFonts w:hint="eastAsia"/>
          <w:color w:val="000000"/>
          <w:sz w:val="32"/>
          <w:szCs w:val="32"/>
        </w:rPr>
        <w:t>卫生健康</w:t>
      </w:r>
      <w:r>
        <w:rPr>
          <w:rFonts w:hint="eastAsia"/>
        </w:rPr>
        <w:t>（类）公共卫生（款）</w:t>
      </w:r>
      <w:r>
        <w:rPr>
          <w:rFonts w:hint="eastAsia"/>
          <w:lang w:val="en-US" w:eastAsia="zh-CN"/>
        </w:rPr>
        <w:t>其他</w:t>
      </w:r>
      <w:r>
        <w:rPr>
          <w:rFonts w:hint="eastAsia"/>
        </w:rPr>
        <w:t>公共卫生</w:t>
      </w:r>
      <w:r>
        <w:rPr>
          <w:rFonts w:hint="eastAsia"/>
          <w:lang w:val="en-US" w:eastAsia="zh-CN"/>
        </w:rPr>
        <w:t>支出</w:t>
      </w:r>
      <w:r>
        <w:rPr>
          <w:rFonts w:hint="eastAsia"/>
        </w:rPr>
        <w:t>（项）</w:t>
      </w:r>
      <w:r>
        <w:t>:</w:t>
      </w:r>
      <w:r>
        <w:rPr>
          <w:rFonts w:hint="eastAsia"/>
          <w:color w:val="000000"/>
          <w:sz w:val="32"/>
          <w:szCs w:val="32"/>
          <w:highlight w:val="none"/>
        </w:rPr>
        <w:t>指</w:t>
      </w:r>
      <w:r>
        <w:rPr>
          <w:rFonts w:hint="eastAsia"/>
          <w:color w:val="000000"/>
          <w:sz w:val="32"/>
          <w:szCs w:val="32"/>
          <w:highlight w:val="none"/>
          <w:lang w:val="en-US" w:eastAsia="zh-CN"/>
        </w:rPr>
        <w:t>反映其他用于公共卫生方面的支出</w:t>
      </w:r>
      <w:r>
        <w:rPr>
          <w:rFonts w:hint="eastAsia"/>
          <w:color w:val="000000"/>
          <w:sz w:val="32"/>
          <w:szCs w:val="32"/>
          <w:highlight w:val="none"/>
        </w:rPr>
        <w:t>。</w:t>
      </w:r>
    </w:p>
    <w:p w14:paraId="66878B03">
      <w:pPr>
        <w:pStyle w:val="7"/>
        <w:spacing w:before="93"/>
        <w:ind w:firstLine="640" w:firstLineChars="200"/>
        <w:rPr>
          <w:color w:val="000000"/>
          <w:sz w:val="32"/>
          <w:szCs w:val="32"/>
        </w:rPr>
      </w:pPr>
      <w:r>
        <w:rPr>
          <w:rFonts w:hint="eastAsia"/>
          <w:color w:val="000000"/>
          <w:sz w:val="32"/>
          <w:szCs w:val="32"/>
          <w:highlight w:val="none"/>
          <w:lang w:val="en-US" w:eastAsia="zh-CN"/>
        </w:rPr>
        <w:t>15.</w:t>
      </w:r>
      <w:r>
        <w:rPr>
          <w:rFonts w:hint="eastAsia"/>
          <w:color w:val="000000"/>
          <w:sz w:val="32"/>
          <w:szCs w:val="32"/>
        </w:rPr>
        <w:t>卫生健康</w:t>
      </w:r>
      <w:r>
        <w:rPr>
          <w:rFonts w:hint="eastAsia"/>
        </w:rPr>
        <w:t>（类）其他卫生健康支出（款）其他卫生健康支出（项）</w:t>
      </w:r>
      <w:r>
        <w:t>:</w:t>
      </w:r>
      <w:r>
        <w:rPr>
          <w:rFonts w:hint="eastAsia"/>
          <w:color w:val="000000"/>
          <w:sz w:val="32"/>
          <w:szCs w:val="32"/>
        </w:rPr>
        <w:t xml:space="preserve"> 指反映其他用于卫生健康方面的支出。</w:t>
      </w:r>
    </w:p>
    <w:p w14:paraId="3F8994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56D095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474BF4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2CF60A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F2A73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122BA7B">
      <w:pPr>
        <w:pStyle w:val="7"/>
        <w:rPr>
          <w:rFonts w:hint="eastAsia"/>
          <w:lang w:val="en-US" w:eastAsia="zh-CN"/>
        </w:rPr>
      </w:pPr>
    </w:p>
    <w:p w14:paraId="5DE144EB">
      <w:pPr>
        <w:spacing w:line="600" w:lineRule="exact"/>
        <w:jc w:val="center"/>
        <w:rPr>
          <w:rStyle w:val="14"/>
          <w:rFonts w:hint="eastAsia" w:ascii="Times New Roman" w:hAnsi="Times New Roman" w:eastAsia="黑体"/>
          <w:b w:val="0"/>
          <w:color w:val="auto"/>
          <w:highlight w:val="none"/>
          <w:lang w:eastAsia="zh-CN"/>
        </w:rPr>
      </w:pPr>
      <w:bookmarkStart w:id="45" w:name="_Toc15396614"/>
      <w:bookmarkStart w:id="46" w:name="_Toc15377226"/>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5"/>
    </w:p>
    <w:p w14:paraId="4085B70A">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149CE36">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部门预算项目支出绩效自评表（202</w:t>
      </w:r>
      <w:r>
        <w:rPr>
          <w:rFonts w:hint="eastAsia" w:eastAsia="仿宋_GB2312" w:cs="Times New Roman"/>
          <w:kern w:val="2"/>
          <w:sz w:val="32"/>
          <w:szCs w:val="32"/>
          <w:u w:val="none"/>
          <w:lang w:val="en-US" w:eastAsia="zh-CN" w:bidi="ar"/>
        </w:rPr>
        <w:t>5</w:t>
      </w:r>
      <w:r>
        <w:rPr>
          <w:rFonts w:hint="eastAsia" w:ascii="Times New Roman" w:hAnsi="Times New Roman" w:eastAsia="仿宋_GB2312" w:cs="Times New Roman"/>
          <w:kern w:val="2"/>
          <w:sz w:val="32"/>
          <w:szCs w:val="32"/>
          <w:u w:val="none"/>
          <w:lang w:val="en-US" w:eastAsia="zh-CN" w:bidi="ar"/>
        </w:rPr>
        <w:t>年度）</w:t>
      </w:r>
      <w:r>
        <w:rPr>
          <w:rFonts w:hint="eastAsia" w:eastAsia="仿宋_GB2312" w:cs="Times New Roman"/>
          <w:kern w:val="2"/>
          <w:sz w:val="32"/>
          <w:szCs w:val="32"/>
          <w:u w:val="none"/>
          <w:lang w:val="en-US" w:eastAsia="zh-CN" w:bidi="ar"/>
        </w:rPr>
        <w:t>见附件3。</w:t>
      </w:r>
    </w:p>
    <w:p w14:paraId="3DBD651A">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00C3DC65">
      <w:pPr>
        <w:ind w:firstLine="2640" w:firstLineChars="600"/>
        <w:rPr>
          <w:rFonts w:hint="eastAsia" w:ascii="Times New Roman" w:hAnsi="Times New Roman" w:eastAsia="仿宋"/>
          <w:b w:val="0"/>
          <w:color w:val="auto"/>
          <w:highlight w:val="none"/>
        </w:rPr>
      </w:pPr>
      <w:bookmarkStart w:id="47" w:name="_Toc15396618"/>
      <w:r>
        <w:rPr>
          <w:rFonts w:hint="eastAsia" w:ascii="Times New Roman" w:hAnsi="Times New Roman" w:eastAsia="黑体"/>
          <w:color w:val="auto"/>
          <w:sz w:val="44"/>
          <w:szCs w:val="44"/>
          <w:highlight w:val="none"/>
        </w:rPr>
        <w:t>第</w:t>
      </w:r>
      <w:r>
        <w:rPr>
          <w:rStyle w:val="14"/>
          <w:rFonts w:hint="eastAsia" w:ascii="Times New Roman" w:hAnsi="Times New Roman" w:eastAsia="黑体"/>
          <w:b w:val="0"/>
          <w:color w:val="auto"/>
          <w:highlight w:val="none"/>
        </w:rPr>
        <w:t>五部分 附表</w:t>
      </w:r>
      <w:bookmarkEnd w:id="46"/>
      <w:bookmarkEnd w:id="47"/>
      <w:bookmarkStart w:id="48" w:name="_Toc15396619"/>
    </w:p>
    <w:p w14:paraId="18194369">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5F79F5E">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106F59F0">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26B5533D">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53CE10EE">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03724229">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5429E8EF">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533FB131">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2985C57D">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3DDA956F">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250FC5C5">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595BF5A5">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57A5075">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287CBE69">
      <w:pPr>
        <w:pStyle w:val="11"/>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706184D0">
      <w:pPr>
        <w:rPr>
          <w:rFonts w:hint="eastAsia" w:ascii="Times New Roman" w:hAnsi="Times New Roman"/>
          <w:lang w:eastAsia="zh-CN"/>
        </w:rPr>
      </w:pPr>
    </w:p>
    <w:p w14:paraId="73DD8205"/>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libri Light">
    <w:altName w:val="Corbel"/>
    <w:panose1 w:val="020F0302020204030204"/>
    <w:charset w:val="00"/>
    <w:family w:val="auto"/>
    <w:pitch w:val="default"/>
    <w:sig w:usb0="00000000" w:usb1="00000000" w:usb2="00000000" w:usb3="00000000" w:csb0="2000019F" w:csb1="00000000"/>
  </w:font>
  <w:font w:name="Corbel">
    <w:panose1 w:val="020B0503020204020204"/>
    <w:charset w:val="00"/>
    <w:family w:val="auto"/>
    <w:pitch w:val="default"/>
    <w:sig w:usb0="A00002EF" w:usb1="40002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55C00">
    <w:pPr>
      <w:pStyle w:val="8"/>
      <w:jc w:val="center"/>
    </w:pPr>
  </w:p>
  <w:p w14:paraId="3DE9827F">
    <w:pPr>
      <w:pStyle w:val="8"/>
      <w:rPr>
        <w:rFonts w:hint="eastAsia" w:eastAsia="宋体"/>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A7AED">
    <w:pPr>
      <w:pStyle w:val="8"/>
      <w:jc w:val="center"/>
    </w:pPr>
  </w:p>
  <w:p w14:paraId="298E0C7C">
    <w:pPr>
      <w:pStyle w:val="8"/>
      <w:rPr>
        <w:rFonts w:hint="eastAsia"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439D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70F8D4">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370F8D4">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7DFE4">
    <w:pPr>
      <w:pStyle w:val="8"/>
      <w:jc w:val="center"/>
    </w:pPr>
  </w:p>
  <w:p w14:paraId="2BC70571">
    <w:pPr>
      <w:pStyle w:val="8"/>
      <w:rPr>
        <w:rFonts w:hint="eastAsia" w:eastAsia="宋体"/>
        <w:lang w:val="en-US" w:eastAsia="zh-C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9AC88">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645CB">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AB645CB">
                    <w:pPr>
                      <w:pStyle w:val="8"/>
                    </w:pPr>
                    <w:r>
                      <w:fldChar w:fldCharType="begin"/>
                    </w:r>
                    <w:r>
                      <w:instrText xml:space="preserve"> PAGE  \* MERGEFORMAT </w:instrText>
                    </w:r>
                    <w:r>
                      <w:fldChar w:fldCharType="separate"/>
                    </w:r>
                    <w:r>
                      <w:t>2</w:t>
                    </w:r>
                    <w:r>
                      <w:fldChar w:fldCharType="end"/>
                    </w:r>
                  </w:p>
                </w:txbxContent>
              </v:textbox>
            </v:shape>
          </w:pict>
        </mc:Fallback>
      </mc:AlternateContent>
    </w:r>
  </w:p>
  <w:p w14:paraId="7C72C002">
    <w:pPr>
      <w:pStyle w:val="8"/>
      <w:rPr>
        <w:rFonts w:hint="eastAsia" w:eastAsia="宋体"/>
        <w:lang w:val="en-US" w:eastAsia="zh-C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hYmU4NTljNDIwNTk1MTI1MTA2ZWVkYzExMjAzMGYifQ=="/>
  </w:docVars>
  <w:rsids>
    <w:rsidRoot w:val="00000000"/>
    <w:rsid w:val="000C3DA7"/>
    <w:rsid w:val="006D6F3B"/>
    <w:rsid w:val="006F24A2"/>
    <w:rsid w:val="00704336"/>
    <w:rsid w:val="00F44F67"/>
    <w:rsid w:val="016245C6"/>
    <w:rsid w:val="01A0313A"/>
    <w:rsid w:val="01B42948"/>
    <w:rsid w:val="01EE3401"/>
    <w:rsid w:val="022A0594"/>
    <w:rsid w:val="025B2DC4"/>
    <w:rsid w:val="027553C9"/>
    <w:rsid w:val="028642E4"/>
    <w:rsid w:val="029307AF"/>
    <w:rsid w:val="02A17F04"/>
    <w:rsid w:val="02E01C47"/>
    <w:rsid w:val="033F6241"/>
    <w:rsid w:val="036D2DAF"/>
    <w:rsid w:val="039842CF"/>
    <w:rsid w:val="03B7227C"/>
    <w:rsid w:val="03C864B0"/>
    <w:rsid w:val="0402038B"/>
    <w:rsid w:val="04824E2E"/>
    <w:rsid w:val="04846602"/>
    <w:rsid w:val="04A16E60"/>
    <w:rsid w:val="04FE5F68"/>
    <w:rsid w:val="051200B1"/>
    <w:rsid w:val="051E25B2"/>
    <w:rsid w:val="05235E1B"/>
    <w:rsid w:val="05383DFB"/>
    <w:rsid w:val="054B711F"/>
    <w:rsid w:val="05647814"/>
    <w:rsid w:val="057A1BC5"/>
    <w:rsid w:val="05892B82"/>
    <w:rsid w:val="059565ED"/>
    <w:rsid w:val="05A36F5B"/>
    <w:rsid w:val="05D84E57"/>
    <w:rsid w:val="05DE0C95"/>
    <w:rsid w:val="06231E4A"/>
    <w:rsid w:val="068C5C42"/>
    <w:rsid w:val="06E46C11"/>
    <w:rsid w:val="06F51A39"/>
    <w:rsid w:val="07107E2E"/>
    <w:rsid w:val="07126147"/>
    <w:rsid w:val="07794418"/>
    <w:rsid w:val="077E558A"/>
    <w:rsid w:val="07B0770E"/>
    <w:rsid w:val="07B23486"/>
    <w:rsid w:val="07B45450"/>
    <w:rsid w:val="08123F24"/>
    <w:rsid w:val="0813334B"/>
    <w:rsid w:val="08191757"/>
    <w:rsid w:val="081B102B"/>
    <w:rsid w:val="082779D0"/>
    <w:rsid w:val="084367D4"/>
    <w:rsid w:val="085D7896"/>
    <w:rsid w:val="08A721BB"/>
    <w:rsid w:val="08C20CCF"/>
    <w:rsid w:val="091B505B"/>
    <w:rsid w:val="092108C3"/>
    <w:rsid w:val="09E54489"/>
    <w:rsid w:val="0A426D43"/>
    <w:rsid w:val="0A764C3F"/>
    <w:rsid w:val="0A7E1D45"/>
    <w:rsid w:val="0A894972"/>
    <w:rsid w:val="0A9B46A5"/>
    <w:rsid w:val="0ADD6A6C"/>
    <w:rsid w:val="0B04049C"/>
    <w:rsid w:val="0B114967"/>
    <w:rsid w:val="0B1701D0"/>
    <w:rsid w:val="0B325009"/>
    <w:rsid w:val="0B3568A8"/>
    <w:rsid w:val="0B3806D8"/>
    <w:rsid w:val="0B70168E"/>
    <w:rsid w:val="0B9E1294"/>
    <w:rsid w:val="0BF00A21"/>
    <w:rsid w:val="0C060244"/>
    <w:rsid w:val="0C3703FE"/>
    <w:rsid w:val="0C495875"/>
    <w:rsid w:val="0C4C3EA9"/>
    <w:rsid w:val="0C6C454B"/>
    <w:rsid w:val="0CA35A93"/>
    <w:rsid w:val="0CA75583"/>
    <w:rsid w:val="0CD118A2"/>
    <w:rsid w:val="0CEE6D0E"/>
    <w:rsid w:val="0D0E73B0"/>
    <w:rsid w:val="0D222E5C"/>
    <w:rsid w:val="0D4903E8"/>
    <w:rsid w:val="0DAB2E51"/>
    <w:rsid w:val="0E1924B1"/>
    <w:rsid w:val="0E2350DD"/>
    <w:rsid w:val="0E4B1AC9"/>
    <w:rsid w:val="0EA93F5F"/>
    <w:rsid w:val="0EAC50D3"/>
    <w:rsid w:val="0EB21FBD"/>
    <w:rsid w:val="0ED40186"/>
    <w:rsid w:val="0EDD34DE"/>
    <w:rsid w:val="0F6E2388"/>
    <w:rsid w:val="0FEB4EEA"/>
    <w:rsid w:val="0FFA1E6E"/>
    <w:rsid w:val="100D7DF3"/>
    <w:rsid w:val="10190546"/>
    <w:rsid w:val="102C6FB4"/>
    <w:rsid w:val="104355C3"/>
    <w:rsid w:val="105F7F23"/>
    <w:rsid w:val="10817E99"/>
    <w:rsid w:val="10886189"/>
    <w:rsid w:val="10CA1840"/>
    <w:rsid w:val="11124F95"/>
    <w:rsid w:val="11210A76"/>
    <w:rsid w:val="11211AD1"/>
    <w:rsid w:val="11335637"/>
    <w:rsid w:val="11553800"/>
    <w:rsid w:val="116457F1"/>
    <w:rsid w:val="117B0D8C"/>
    <w:rsid w:val="11A958FA"/>
    <w:rsid w:val="11D24E50"/>
    <w:rsid w:val="11DD55A3"/>
    <w:rsid w:val="11E701D0"/>
    <w:rsid w:val="121B7643"/>
    <w:rsid w:val="124E5235"/>
    <w:rsid w:val="1255782F"/>
    <w:rsid w:val="12B17B36"/>
    <w:rsid w:val="12C0034F"/>
    <w:rsid w:val="135D6FC9"/>
    <w:rsid w:val="139E0D62"/>
    <w:rsid w:val="13E1581F"/>
    <w:rsid w:val="147C5547"/>
    <w:rsid w:val="14EB7B4F"/>
    <w:rsid w:val="14F10535"/>
    <w:rsid w:val="151B4FCE"/>
    <w:rsid w:val="15785D0F"/>
    <w:rsid w:val="1585667E"/>
    <w:rsid w:val="15D46CBD"/>
    <w:rsid w:val="162A27D6"/>
    <w:rsid w:val="16B67E4B"/>
    <w:rsid w:val="16FB6BF7"/>
    <w:rsid w:val="17326391"/>
    <w:rsid w:val="17654071"/>
    <w:rsid w:val="177B4084"/>
    <w:rsid w:val="178E7A6B"/>
    <w:rsid w:val="1791130A"/>
    <w:rsid w:val="179C380B"/>
    <w:rsid w:val="17A032FB"/>
    <w:rsid w:val="17D66D1D"/>
    <w:rsid w:val="17E37334"/>
    <w:rsid w:val="183D18D7"/>
    <w:rsid w:val="185B1ACC"/>
    <w:rsid w:val="18616F2E"/>
    <w:rsid w:val="189972E0"/>
    <w:rsid w:val="18B21538"/>
    <w:rsid w:val="18C179CD"/>
    <w:rsid w:val="18E11E1D"/>
    <w:rsid w:val="18FC27B3"/>
    <w:rsid w:val="1906363B"/>
    <w:rsid w:val="193E101D"/>
    <w:rsid w:val="1941466A"/>
    <w:rsid w:val="19616EFC"/>
    <w:rsid w:val="197B401F"/>
    <w:rsid w:val="19921369"/>
    <w:rsid w:val="19CA0B03"/>
    <w:rsid w:val="1A11228E"/>
    <w:rsid w:val="1A226249"/>
    <w:rsid w:val="1A2E4BEE"/>
    <w:rsid w:val="1A3A7A37"/>
    <w:rsid w:val="1A75281D"/>
    <w:rsid w:val="1AAE3F81"/>
    <w:rsid w:val="1AB570BD"/>
    <w:rsid w:val="1AFD2812"/>
    <w:rsid w:val="1BD70854"/>
    <w:rsid w:val="1C2362A8"/>
    <w:rsid w:val="1C6E1C1A"/>
    <w:rsid w:val="1C8F393E"/>
    <w:rsid w:val="1D04257E"/>
    <w:rsid w:val="1D0F6AD0"/>
    <w:rsid w:val="1D295133"/>
    <w:rsid w:val="1D7414B2"/>
    <w:rsid w:val="1DB16262"/>
    <w:rsid w:val="1DB566B2"/>
    <w:rsid w:val="1E522E75"/>
    <w:rsid w:val="1E566E09"/>
    <w:rsid w:val="1E85149C"/>
    <w:rsid w:val="1E984D2C"/>
    <w:rsid w:val="1E9A4F48"/>
    <w:rsid w:val="1EDD7888"/>
    <w:rsid w:val="1EF65EF6"/>
    <w:rsid w:val="1F680BA2"/>
    <w:rsid w:val="1FBC7140"/>
    <w:rsid w:val="2000093B"/>
    <w:rsid w:val="20075B68"/>
    <w:rsid w:val="200C59D1"/>
    <w:rsid w:val="208E4638"/>
    <w:rsid w:val="20E57FD0"/>
    <w:rsid w:val="21442F49"/>
    <w:rsid w:val="215C4736"/>
    <w:rsid w:val="215E7AE0"/>
    <w:rsid w:val="21674E89"/>
    <w:rsid w:val="219C4B33"/>
    <w:rsid w:val="21FC3824"/>
    <w:rsid w:val="22364F87"/>
    <w:rsid w:val="225C2514"/>
    <w:rsid w:val="22645EEA"/>
    <w:rsid w:val="229B128E"/>
    <w:rsid w:val="22A87174"/>
    <w:rsid w:val="22DE117B"/>
    <w:rsid w:val="23007343"/>
    <w:rsid w:val="232913C1"/>
    <w:rsid w:val="23607DE2"/>
    <w:rsid w:val="236445A8"/>
    <w:rsid w:val="23902475"/>
    <w:rsid w:val="23FE7D27"/>
    <w:rsid w:val="24264B88"/>
    <w:rsid w:val="245E07C6"/>
    <w:rsid w:val="246D27B7"/>
    <w:rsid w:val="24967F5F"/>
    <w:rsid w:val="24A15A5D"/>
    <w:rsid w:val="24CE594B"/>
    <w:rsid w:val="24D40A88"/>
    <w:rsid w:val="24EE5D42"/>
    <w:rsid w:val="250749B9"/>
    <w:rsid w:val="2513335E"/>
    <w:rsid w:val="25311A36"/>
    <w:rsid w:val="25706A02"/>
    <w:rsid w:val="25860C22"/>
    <w:rsid w:val="25DC4098"/>
    <w:rsid w:val="25E82A3D"/>
    <w:rsid w:val="25E90563"/>
    <w:rsid w:val="263E08AF"/>
    <w:rsid w:val="26487037"/>
    <w:rsid w:val="265936BB"/>
    <w:rsid w:val="26E60B12"/>
    <w:rsid w:val="27196C26"/>
    <w:rsid w:val="274F3CE8"/>
    <w:rsid w:val="277B51EB"/>
    <w:rsid w:val="278F0C96"/>
    <w:rsid w:val="279B763B"/>
    <w:rsid w:val="27DC212D"/>
    <w:rsid w:val="283B6E9A"/>
    <w:rsid w:val="285223EF"/>
    <w:rsid w:val="2894470E"/>
    <w:rsid w:val="28B5141E"/>
    <w:rsid w:val="28C36E49"/>
    <w:rsid w:val="2900009D"/>
    <w:rsid w:val="29181498"/>
    <w:rsid w:val="293D0196"/>
    <w:rsid w:val="294A756A"/>
    <w:rsid w:val="29C238FA"/>
    <w:rsid w:val="29D62BAC"/>
    <w:rsid w:val="2A1F27A5"/>
    <w:rsid w:val="2A557F75"/>
    <w:rsid w:val="2A663F30"/>
    <w:rsid w:val="2ABE1FBE"/>
    <w:rsid w:val="2B58159A"/>
    <w:rsid w:val="2C3C06B9"/>
    <w:rsid w:val="2C6E531E"/>
    <w:rsid w:val="2CF33A75"/>
    <w:rsid w:val="2D2F2F07"/>
    <w:rsid w:val="2D310BFE"/>
    <w:rsid w:val="2D6910FA"/>
    <w:rsid w:val="2DDA04BC"/>
    <w:rsid w:val="2DFD4BAB"/>
    <w:rsid w:val="2E1A575D"/>
    <w:rsid w:val="2E1F2D74"/>
    <w:rsid w:val="2E3F1EDE"/>
    <w:rsid w:val="2E400F3C"/>
    <w:rsid w:val="2E8C7362"/>
    <w:rsid w:val="2E8D1EB2"/>
    <w:rsid w:val="2EBA0CEE"/>
    <w:rsid w:val="2ED86C97"/>
    <w:rsid w:val="2EDC2A13"/>
    <w:rsid w:val="2F0E4B96"/>
    <w:rsid w:val="2F7C41F6"/>
    <w:rsid w:val="2F8D29E4"/>
    <w:rsid w:val="2FE06533"/>
    <w:rsid w:val="30466CDD"/>
    <w:rsid w:val="304B42F4"/>
    <w:rsid w:val="31B163D9"/>
    <w:rsid w:val="31C854D0"/>
    <w:rsid w:val="31DB3455"/>
    <w:rsid w:val="31DE6AA2"/>
    <w:rsid w:val="31F664E1"/>
    <w:rsid w:val="32132BEF"/>
    <w:rsid w:val="321C7603"/>
    <w:rsid w:val="322C0750"/>
    <w:rsid w:val="32517538"/>
    <w:rsid w:val="328E671A"/>
    <w:rsid w:val="32B263AA"/>
    <w:rsid w:val="32F72511"/>
    <w:rsid w:val="32FF3174"/>
    <w:rsid w:val="334358FC"/>
    <w:rsid w:val="33883169"/>
    <w:rsid w:val="33923FE8"/>
    <w:rsid w:val="33AD0E22"/>
    <w:rsid w:val="33C341A1"/>
    <w:rsid w:val="33E324DB"/>
    <w:rsid w:val="33FC5905"/>
    <w:rsid w:val="341B3FDD"/>
    <w:rsid w:val="345072B8"/>
    <w:rsid w:val="348778C5"/>
    <w:rsid w:val="348A4CBF"/>
    <w:rsid w:val="349A13A6"/>
    <w:rsid w:val="34D36666"/>
    <w:rsid w:val="34E12F23"/>
    <w:rsid w:val="35141038"/>
    <w:rsid w:val="351A24E7"/>
    <w:rsid w:val="352C3FC8"/>
    <w:rsid w:val="35386E11"/>
    <w:rsid w:val="356067C2"/>
    <w:rsid w:val="358856A2"/>
    <w:rsid w:val="359009FB"/>
    <w:rsid w:val="35F965A0"/>
    <w:rsid w:val="36871D60"/>
    <w:rsid w:val="36965043"/>
    <w:rsid w:val="36A75FFC"/>
    <w:rsid w:val="37022D4B"/>
    <w:rsid w:val="376B0DD8"/>
    <w:rsid w:val="37C64260"/>
    <w:rsid w:val="37C8447C"/>
    <w:rsid w:val="38186543"/>
    <w:rsid w:val="383E64EC"/>
    <w:rsid w:val="38740160"/>
    <w:rsid w:val="38B13162"/>
    <w:rsid w:val="38CF183A"/>
    <w:rsid w:val="38CF35E8"/>
    <w:rsid w:val="39602492"/>
    <w:rsid w:val="39761CB6"/>
    <w:rsid w:val="39916AF0"/>
    <w:rsid w:val="39FA28E7"/>
    <w:rsid w:val="3A7C154E"/>
    <w:rsid w:val="3AA82343"/>
    <w:rsid w:val="3AB02FA5"/>
    <w:rsid w:val="3AB94550"/>
    <w:rsid w:val="3AD375F5"/>
    <w:rsid w:val="3ADE7B13"/>
    <w:rsid w:val="3AEF3ACE"/>
    <w:rsid w:val="3AF92329"/>
    <w:rsid w:val="3B06174E"/>
    <w:rsid w:val="3B264F4C"/>
    <w:rsid w:val="3B36176B"/>
    <w:rsid w:val="3B4756B8"/>
    <w:rsid w:val="3B8C62F6"/>
    <w:rsid w:val="3B8E16EB"/>
    <w:rsid w:val="3B937077"/>
    <w:rsid w:val="3BE949C1"/>
    <w:rsid w:val="3BEB24E7"/>
    <w:rsid w:val="3C221C81"/>
    <w:rsid w:val="3C6B7ACC"/>
    <w:rsid w:val="3C8D07E8"/>
    <w:rsid w:val="3CD70CBD"/>
    <w:rsid w:val="3CDE029E"/>
    <w:rsid w:val="3CF64CC4"/>
    <w:rsid w:val="3CF655E7"/>
    <w:rsid w:val="3D08531B"/>
    <w:rsid w:val="3D0D238A"/>
    <w:rsid w:val="3D3B749E"/>
    <w:rsid w:val="3D595B76"/>
    <w:rsid w:val="3DAE1A1E"/>
    <w:rsid w:val="3DB80AEF"/>
    <w:rsid w:val="3DF21B38"/>
    <w:rsid w:val="3E704F26"/>
    <w:rsid w:val="3EAA5182"/>
    <w:rsid w:val="3ECB08D6"/>
    <w:rsid w:val="3EF67B21"/>
    <w:rsid w:val="3F1B5383"/>
    <w:rsid w:val="3F536CC4"/>
    <w:rsid w:val="3F5B0D38"/>
    <w:rsid w:val="3F7153F9"/>
    <w:rsid w:val="3F724CCD"/>
    <w:rsid w:val="3FBB48C6"/>
    <w:rsid w:val="3FCC6AD3"/>
    <w:rsid w:val="3FE94F8F"/>
    <w:rsid w:val="401B7113"/>
    <w:rsid w:val="404B5C4A"/>
    <w:rsid w:val="406867FC"/>
    <w:rsid w:val="40B05B3F"/>
    <w:rsid w:val="412F08A6"/>
    <w:rsid w:val="41391F47"/>
    <w:rsid w:val="41A76EB0"/>
    <w:rsid w:val="41DF45EA"/>
    <w:rsid w:val="421071EC"/>
    <w:rsid w:val="42132798"/>
    <w:rsid w:val="42405FCE"/>
    <w:rsid w:val="42DA7C25"/>
    <w:rsid w:val="42F36125"/>
    <w:rsid w:val="436D4129"/>
    <w:rsid w:val="438A0837"/>
    <w:rsid w:val="438D20D6"/>
    <w:rsid w:val="43BD5FC5"/>
    <w:rsid w:val="43D90F9A"/>
    <w:rsid w:val="43EA577A"/>
    <w:rsid w:val="43F860E9"/>
    <w:rsid w:val="44093D0A"/>
    <w:rsid w:val="44155F80"/>
    <w:rsid w:val="44AE7F0F"/>
    <w:rsid w:val="44B94AE1"/>
    <w:rsid w:val="44D206E8"/>
    <w:rsid w:val="44ED4282"/>
    <w:rsid w:val="458F65D9"/>
    <w:rsid w:val="45EA7CB3"/>
    <w:rsid w:val="46C2478C"/>
    <w:rsid w:val="47887727"/>
    <w:rsid w:val="47953C4F"/>
    <w:rsid w:val="4860425D"/>
    <w:rsid w:val="48710218"/>
    <w:rsid w:val="488C32A4"/>
    <w:rsid w:val="489D3DFC"/>
    <w:rsid w:val="48C804D3"/>
    <w:rsid w:val="49117305"/>
    <w:rsid w:val="493C25D4"/>
    <w:rsid w:val="494E2307"/>
    <w:rsid w:val="49726573"/>
    <w:rsid w:val="498B5309"/>
    <w:rsid w:val="498E6BA8"/>
    <w:rsid w:val="49FB423D"/>
    <w:rsid w:val="4A0F3797"/>
    <w:rsid w:val="4A0F5F3A"/>
    <w:rsid w:val="4A1B48DF"/>
    <w:rsid w:val="4A1E617D"/>
    <w:rsid w:val="4A2512BA"/>
    <w:rsid w:val="4A3947A9"/>
    <w:rsid w:val="4A3D4856"/>
    <w:rsid w:val="4A4E0A0D"/>
    <w:rsid w:val="4A6A32C8"/>
    <w:rsid w:val="4AAA5C63"/>
    <w:rsid w:val="4AB12B4E"/>
    <w:rsid w:val="4AE64EED"/>
    <w:rsid w:val="4AEA6060"/>
    <w:rsid w:val="4B0C5FD6"/>
    <w:rsid w:val="4B347D68"/>
    <w:rsid w:val="4B644064"/>
    <w:rsid w:val="4BE07B8E"/>
    <w:rsid w:val="4BE13907"/>
    <w:rsid w:val="4C7B78B7"/>
    <w:rsid w:val="4C8229F4"/>
    <w:rsid w:val="4CBD1C7E"/>
    <w:rsid w:val="4D094EC3"/>
    <w:rsid w:val="4D77007F"/>
    <w:rsid w:val="4DAB7D28"/>
    <w:rsid w:val="4DF47921"/>
    <w:rsid w:val="4DFE42FC"/>
    <w:rsid w:val="4E5E2FEC"/>
    <w:rsid w:val="4EA74993"/>
    <w:rsid w:val="4EDE412D"/>
    <w:rsid w:val="4F7F76BE"/>
    <w:rsid w:val="4F8B6063"/>
    <w:rsid w:val="4FD90B81"/>
    <w:rsid w:val="50371D47"/>
    <w:rsid w:val="506A5C79"/>
    <w:rsid w:val="508E5E86"/>
    <w:rsid w:val="510A120A"/>
    <w:rsid w:val="51136310"/>
    <w:rsid w:val="51385D77"/>
    <w:rsid w:val="51621046"/>
    <w:rsid w:val="51F15F26"/>
    <w:rsid w:val="52224331"/>
    <w:rsid w:val="524644C3"/>
    <w:rsid w:val="52527FCE"/>
    <w:rsid w:val="528001FF"/>
    <w:rsid w:val="52AB07CA"/>
    <w:rsid w:val="52D90E94"/>
    <w:rsid w:val="531E37A7"/>
    <w:rsid w:val="53212FB7"/>
    <w:rsid w:val="534E7AD3"/>
    <w:rsid w:val="539354E6"/>
    <w:rsid w:val="53BD6A07"/>
    <w:rsid w:val="53F574F6"/>
    <w:rsid w:val="53F73CC7"/>
    <w:rsid w:val="54257A11"/>
    <w:rsid w:val="543E18F6"/>
    <w:rsid w:val="54901A26"/>
    <w:rsid w:val="54921C42"/>
    <w:rsid w:val="54C811C0"/>
    <w:rsid w:val="552705DC"/>
    <w:rsid w:val="553069FF"/>
    <w:rsid w:val="554D2905"/>
    <w:rsid w:val="55684751"/>
    <w:rsid w:val="562E14F6"/>
    <w:rsid w:val="56427575"/>
    <w:rsid w:val="56717635"/>
    <w:rsid w:val="567710EF"/>
    <w:rsid w:val="56890E23"/>
    <w:rsid w:val="56AA448B"/>
    <w:rsid w:val="56E12C1D"/>
    <w:rsid w:val="56F12ACC"/>
    <w:rsid w:val="575907F5"/>
    <w:rsid w:val="57711FE2"/>
    <w:rsid w:val="57C00874"/>
    <w:rsid w:val="57CC546B"/>
    <w:rsid w:val="57FF2DC0"/>
    <w:rsid w:val="580E7831"/>
    <w:rsid w:val="583D3C73"/>
    <w:rsid w:val="58726012"/>
    <w:rsid w:val="58BE0C51"/>
    <w:rsid w:val="58C16652"/>
    <w:rsid w:val="5947124D"/>
    <w:rsid w:val="595B0854"/>
    <w:rsid w:val="599C2C1B"/>
    <w:rsid w:val="59D10B16"/>
    <w:rsid w:val="59F05BCC"/>
    <w:rsid w:val="59F667CF"/>
    <w:rsid w:val="59F7245E"/>
    <w:rsid w:val="5A184997"/>
    <w:rsid w:val="5A3A490E"/>
    <w:rsid w:val="5A416278"/>
    <w:rsid w:val="5A7F67C4"/>
    <w:rsid w:val="5AC73518"/>
    <w:rsid w:val="5ADF54B5"/>
    <w:rsid w:val="5AEE6E0E"/>
    <w:rsid w:val="5B7E082A"/>
    <w:rsid w:val="5B9C33A6"/>
    <w:rsid w:val="5BA5225B"/>
    <w:rsid w:val="5BBD57F6"/>
    <w:rsid w:val="5C9D73D6"/>
    <w:rsid w:val="5CE77665"/>
    <w:rsid w:val="5D07484F"/>
    <w:rsid w:val="5D5201C0"/>
    <w:rsid w:val="5D783CDB"/>
    <w:rsid w:val="5DBB3FB7"/>
    <w:rsid w:val="5E190CDE"/>
    <w:rsid w:val="5E317DD6"/>
    <w:rsid w:val="5E5F1000"/>
    <w:rsid w:val="5E6F08FE"/>
    <w:rsid w:val="5E783C56"/>
    <w:rsid w:val="5E7D74BF"/>
    <w:rsid w:val="5F1C1BB7"/>
    <w:rsid w:val="5F265461"/>
    <w:rsid w:val="5F357D99"/>
    <w:rsid w:val="5F3C2ED6"/>
    <w:rsid w:val="5F3F4774"/>
    <w:rsid w:val="5FBF69F7"/>
    <w:rsid w:val="5FD255E8"/>
    <w:rsid w:val="60193125"/>
    <w:rsid w:val="60687CFB"/>
    <w:rsid w:val="608E7761"/>
    <w:rsid w:val="60B82A30"/>
    <w:rsid w:val="60C018E5"/>
    <w:rsid w:val="61363955"/>
    <w:rsid w:val="61840B64"/>
    <w:rsid w:val="61E0223F"/>
    <w:rsid w:val="61FB0E26"/>
    <w:rsid w:val="62456545"/>
    <w:rsid w:val="6256605D"/>
    <w:rsid w:val="62830E1C"/>
    <w:rsid w:val="629628FD"/>
    <w:rsid w:val="6299063F"/>
    <w:rsid w:val="62A0552A"/>
    <w:rsid w:val="62B45479"/>
    <w:rsid w:val="62D96C8E"/>
    <w:rsid w:val="62E80C7F"/>
    <w:rsid w:val="62ED08CB"/>
    <w:rsid w:val="63116428"/>
    <w:rsid w:val="6324615B"/>
    <w:rsid w:val="63247F09"/>
    <w:rsid w:val="632919C3"/>
    <w:rsid w:val="637F7835"/>
    <w:rsid w:val="63B219B9"/>
    <w:rsid w:val="641E2BAA"/>
    <w:rsid w:val="645A5BAC"/>
    <w:rsid w:val="64E2007C"/>
    <w:rsid w:val="64EC0D53"/>
    <w:rsid w:val="64FB2EEB"/>
    <w:rsid w:val="65075D34"/>
    <w:rsid w:val="65136487"/>
    <w:rsid w:val="651E6BDA"/>
    <w:rsid w:val="653E3480"/>
    <w:rsid w:val="655D7702"/>
    <w:rsid w:val="65681597"/>
    <w:rsid w:val="658E1FB1"/>
    <w:rsid w:val="667411A7"/>
    <w:rsid w:val="668F4233"/>
    <w:rsid w:val="66A5036A"/>
    <w:rsid w:val="670C7632"/>
    <w:rsid w:val="670D6F06"/>
    <w:rsid w:val="670E33AA"/>
    <w:rsid w:val="677717EB"/>
    <w:rsid w:val="677A27ED"/>
    <w:rsid w:val="67CC0761"/>
    <w:rsid w:val="67F325A0"/>
    <w:rsid w:val="682E5386"/>
    <w:rsid w:val="686B0388"/>
    <w:rsid w:val="686F60CA"/>
    <w:rsid w:val="689C4889"/>
    <w:rsid w:val="68A35D74"/>
    <w:rsid w:val="68AA5354"/>
    <w:rsid w:val="68F1591B"/>
    <w:rsid w:val="69194288"/>
    <w:rsid w:val="69196036"/>
    <w:rsid w:val="69643755"/>
    <w:rsid w:val="69A43B52"/>
    <w:rsid w:val="69A973BA"/>
    <w:rsid w:val="69DF102E"/>
    <w:rsid w:val="69E403F2"/>
    <w:rsid w:val="69F0323B"/>
    <w:rsid w:val="69F66377"/>
    <w:rsid w:val="69FD3262"/>
    <w:rsid w:val="6A070584"/>
    <w:rsid w:val="6A582B8E"/>
    <w:rsid w:val="6A5A06B4"/>
    <w:rsid w:val="6A7E25F5"/>
    <w:rsid w:val="6AE14931"/>
    <w:rsid w:val="6AE52674"/>
    <w:rsid w:val="6AE74987"/>
    <w:rsid w:val="6AF26B3F"/>
    <w:rsid w:val="6B17268F"/>
    <w:rsid w:val="6B39476E"/>
    <w:rsid w:val="6B5E5F82"/>
    <w:rsid w:val="6B9B01DE"/>
    <w:rsid w:val="6C1B3E73"/>
    <w:rsid w:val="6C1C0317"/>
    <w:rsid w:val="6D5E670D"/>
    <w:rsid w:val="6D6F1E38"/>
    <w:rsid w:val="6D724208"/>
    <w:rsid w:val="6D732FD2"/>
    <w:rsid w:val="6DB81500"/>
    <w:rsid w:val="6DC027C0"/>
    <w:rsid w:val="6DF350A8"/>
    <w:rsid w:val="6EBC193D"/>
    <w:rsid w:val="6EE3336E"/>
    <w:rsid w:val="6F1C062E"/>
    <w:rsid w:val="6F3911E0"/>
    <w:rsid w:val="6FAF4FFE"/>
    <w:rsid w:val="70076BE8"/>
    <w:rsid w:val="708965E0"/>
    <w:rsid w:val="70B12FF8"/>
    <w:rsid w:val="70D867D7"/>
    <w:rsid w:val="71353C29"/>
    <w:rsid w:val="71405DDA"/>
    <w:rsid w:val="717342A4"/>
    <w:rsid w:val="72662812"/>
    <w:rsid w:val="72A44BC2"/>
    <w:rsid w:val="72EE22E1"/>
    <w:rsid w:val="72F861B0"/>
    <w:rsid w:val="733D25BB"/>
    <w:rsid w:val="735D39B8"/>
    <w:rsid w:val="738D1AFA"/>
    <w:rsid w:val="73B13FD7"/>
    <w:rsid w:val="74AF5AA0"/>
    <w:rsid w:val="74DA0B05"/>
    <w:rsid w:val="75104791"/>
    <w:rsid w:val="75181898"/>
    <w:rsid w:val="75204D65"/>
    <w:rsid w:val="754E52B9"/>
    <w:rsid w:val="7559709C"/>
    <w:rsid w:val="75616D9B"/>
    <w:rsid w:val="757271FA"/>
    <w:rsid w:val="75A86778"/>
    <w:rsid w:val="75B275F6"/>
    <w:rsid w:val="75B952D3"/>
    <w:rsid w:val="75BC0475"/>
    <w:rsid w:val="75F0011F"/>
    <w:rsid w:val="769D3E02"/>
    <w:rsid w:val="76C375E1"/>
    <w:rsid w:val="7711659E"/>
    <w:rsid w:val="77DA2E34"/>
    <w:rsid w:val="77DB4AFD"/>
    <w:rsid w:val="77DE2925"/>
    <w:rsid w:val="780305DD"/>
    <w:rsid w:val="78BF6AF9"/>
    <w:rsid w:val="79B871A5"/>
    <w:rsid w:val="7A28432B"/>
    <w:rsid w:val="7A4B1EF6"/>
    <w:rsid w:val="7AB160CE"/>
    <w:rsid w:val="7B4E7DC1"/>
    <w:rsid w:val="7B7A6E08"/>
    <w:rsid w:val="7B9854E0"/>
    <w:rsid w:val="7BB3231A"/>
    <w:rsid w:val="7BB57E40"/>
    <w:rsid w:val="7BC2430B"/>
    <w:rsid w:val="7BD827EE"/>
    <w:rsid w:val="7BF25BCC"/>
    <w:rsid w:val="7BFF10BB"/>
    <w:rsid w:val="7C5807CC"/>
    <w:rsid w:val="7C5E2286"/>
    <w:rsid w:val="7C857813"/>
    <w:rsid w:val="7D252DA4"/>
    <w:rsid w:val="7D44147C"/>
    <w:rsid w:val="7D513B99"/>
    <w:rsid w:val="7DDA357B"/>
    <w:rsid w:val="7DFD162B"/>
    <w:rsid w:val="7E14406C"/>
    <w:rsid w:val="7E4E5ABF"/>
    <w:rsid w:val="7E5D031B"/>
    <w:rsid w:val="7E7A2C7B"/>
    <w:rsid w:val="7EB16A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7">
    <w:name w:val="Body Text"/>
    <w:basedOn w:val="1"/>
    <w:qFormat/>
    <w:uiPriority w:val="99"/>
    <w:pPr>
      <w:spacing w:beforeLines="30"/>
    </w:pPr>
    <w:rPr>
      <w:rFonts w:ascii="仿宋_GB2312" w:eastAsia="仿宋_GB2312"/>
      <w:kern w:val="0"/>
      <w:sz w:val="30"/>
    </w:rPr>
  </w:style>
  <w:style w:type="paragraph" w:styleId="8">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character" w:customStyle="1" w:styleId="14">
    <w:name w:val="标题 1 Char"/>
    <w:basedOn w:val="13"/>
    <w:link w:val="5"/>
    <w:qFormat/>
    <w:uiPriority w:val="9"/>
    <w:rPr>
      <w:b/>
      <w:bCs/>
      <w:kern w:val="44"/>
      <w:sz w:val="44"/>
      <w:szCs w:val="44"/>
    </w:rPr>
  </w:style>
  <w:style w:type="character" w:customStyle="1" w:styleId="15">
    <w:name w:val="标题 2 Char"/>
    <w:basedOn w:val="13"/>
    <w:link w:val="6"/>
    <w:qFormat/>
    <w:uiPriority w:val="9"/>
    <w:rPr>
      <w:rFonts w:asciiTheme="majorHAnsi" w:hAnsiTheme="majorHAnsi" w:eastAsiaTheme="majorEastAsia" w:cstheme="majorBidi"/>
      <w:b/>
      <w:bCs/>
      <w:sz w:val="32"/>
      <w:szCs w:val="32"/>
    </w:rPr>
  </w:style>
  <w:style w:type="paragraph" w:styleId="16">
    <w:name w:val="List Paragraph"/>
    <w:basedOn w:val="1"/>
    <w:qFormat/>
    <w:uiPriority w:val="34"/>
    <w:pPr>
      <w:ind w:firstLine="420" w:firstLineChars="200"/>
    </w:pPr>
  </w:style>
  <w:style w:type="paragraph" w:customStyle="1" w:styleId="1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Sheet1!$B$2:$B$3</c:f>
              <c:numCache>
                <c:formatCode>General</c:formatCode>
                <c:ptCount val="2"/>
                <c:pt idx="0">
                  <c:v>16584.86</c:v>
                </c:pt>
                <c:pt idx="1">
                  <c:v>16584.86</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Sheet1!$C$2:$C$3</c:f>
              <c:numCache>
                <c:formatCode>General</c:formatCode>
                <c:ptCount val="2"/>
                <c:pt idx="0">
                  <c:v>17434.78</c:v>
                </c:pt>
                <c:pt idx="1">
                  <c:v>17434.78</c:v>
                </c:pt>
              </c:numCache>
            </c:numRef>
          </c:val>
        </c:ser>
        <c:dLbls>
          <c:showLegendKey val="0"/>
          <c:showVal val="1"/>
          <c:showCatName val="0"/>
          <c:showSerName val="0"/>
          <c:showPercent val="0"/>
          <c:showBubbleSize val="0"/>
        </c:dLbls>
        <c:gapWidth val="246"/>
        <c:overlap val="-28"/>
        <c:axId val="906824631"/>
        <c:axId val="132935278"/>
      </c:barChart>
      <c:catAx>
        <c:axId val="90682463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2935278"/>
        <c:crosses val="autoZero"/>
        <c:auto val="1"/>
        <c:lblAlgn val="ctr"/>
        <c:lblOffset val="100"/>
        <c:noMultiLvlLbl val="0"/>
      </c:catAx>
      <c:valAx>
        <c:axId val="13293527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682463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344bb81-0267-4ee4-b6ea-bc2bab87bd0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manualLayout>
                  <c:x val="0.0813545160379811"/>
                  <c:y val="0.012502373712061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86014860614764"/>
                  <c:y val="-0.028792513470839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89296935007324"/>
                  <c:y val="-0.0021449509444705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事业收入</c:v>
                </c:pt>
                <c:pt idx="2">
                  <c:v>其他收入</c:v>
                </c:pt>
              </c:strCache>
            </c:strRef>
          </c:cat>
          <c:val>
            <c:numRef>
              <c:f>Sheet1!$B$2:$B$4</c:f>
              <c:numCache>
                <c:formatCode>General</c:formatCode>
                <c:ptCount val="3"/>
                <c:pt idx="0">
                  <c:v>707.27</c:v>
                </c:pt>
                <c:pt idx="1">
                  <c:v>15853.88</c:v>
                </c:pt>
                <c:pt idx="2">
                  <c:v>873.62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40be617-a09e-45f2-818c-fddfb148d4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284778057657951"/>
                  <c:y val="-0.18196292532915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16616.97</c:v>
                </c:pt>
                <c:pt idx="1">
                  <c:v>734.66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ca7cadd-05e1-41f2-8ad8-4750d4837b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377.52</c:v>
                </c:pt>
                <c:pt idx="1">
                  <c:v>377.52</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707.27</c:v>
                </c:pt>
                <c:pt idx="1">
                  <c:v>707.27</c:v>
                </c:pt>
              </c:numCache>
            </c:numRef>
          </c:val>
        </c:ser>
        <c:dLbls>
          <c:showLegendKey val="0"/>
          <c:showVal val="0"/>
          <c:showCatName val="0"/>
          <c:showSerName val="0"/>
          <c:showPercent val="0"/>
          <c:showBubbleSize val="0"/>
        </c:dLbls>
        <c:gapWidth val="246"/>
        <c:overlap val="-28"/>
        <c:axId val="628370025"/>
        <c:axId val="309267742"/>
      </c:barChart>
      <c:catAx>
        <c:axId val="6283700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9267742"/>
        <c:crosses val="autoZero"/>
        <c:auto val="1"/>
        <c:lblAlgn val="ctr"/>
        <c:lblOffset val="100"/>
        <c:noMultiLvlLbl val="0"/>
      </c:catAx>
      <c:valAx>
        <c:axId val="30926774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837002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e697ca-0193-48b9-a728-05dd55284da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377.52</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707.27</c:v>
                </c:pt>
              </c:numCache>
            </c:numRef>
          </c:val>
        </c:ser>
        <c:dLbls>
          <c:showLegendKey val="0"/>
          <c:showVal val="0"/>
          <c:showCatName val="0"/>
          <c:showSerName val="0"/>
          <c:showPercent val="0"/>
          <c:showBubbleSize val="0"/>
        </c:dLbls>
        <c:gapWidth val="246"/>
        <c:overlap val="-28"/>
        <c:axId val="704264238"/>
        <c:axId val="154843582"/>
      </c:barChart>
      <c:catAx>
        <c:axId val="7042642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4843582"/>
        <c:crosses val="autoZero"/>
        <c:auto val="1"/>
        <c:lblAlgn val="ctr"/>
        <c:lblOffset val="100"/>
        <c:noMultiLvlLbl val="0"/>
      </c:catAx>
      <c:valAx>
        <c:axId val="15484358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42642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39b57cb-2faf-46a0-a3cf-3c85a4c5d7c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manualLayout>
                  <c:x val="-0.0964561368165121"/>
                  <c:y val="0.017515618704224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895737263446531"/>
                  <c:y val="0.12496231797768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972113186902304"/>
                  <c:y val="-0.20737949692448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一般公共服务支出</c:v>
                </c:pt>
                <c:pt idx="1">
                  <c:v>社会保障和就业支出</c:v>
                </c:pt>
                <c:pt idx="2">
                  <c:v>卫生健康支出</c:v>
                </c:pt>
              </c:strCache>
            </c:strRef>
          </c:cat>
          <c:val>
            <c:numRef>
              <c:f>Sheet1!$B$2:$B$4</c:f>
              <c:numCache>
                <c:formatCode>General</c:formatCode>
                <c:ptCount val="3"/>
                <c:pt idx="0">
                  <c:v>2.06</c:v>
                </c:pt>
                <c:pt idx="1">
                  <c:v>127.78</c:v>
                </c:pt>
                <c:pt idx="2">
                  <c:v>577.44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5816c01-1c3b-44be-abb2-8c9d9026c4a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5360</Words>
  <Characters>6563</Characters>
  <Lines>0</Lines>
  <Paragraphs>0</Paragraphs>
  <TotalTime>77</TotalTime>
  <ScaleCrop>false</ScaleCrop>
  <LinksUpToDate>false</LinksUpToDate>
  <CharactersWithSpaces>6611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2025-09-01T15:18:00Z</dcterms:created>
  <dc:creator>Administrator</dc:creator>
  <cp:lastModifiedBy>user</cp:lastModifiedBy>
  <dcterms:modified xsi:type="dcterms:W3CDTF">2026-09-14T11:11:11Z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5B1A922898D946D0A3F7ABF48B996621_12</vt:lpwstr>
  </property>
  <property fmtid="{D5CDD505-2E9C-101B-9397-08002B2CF9AE}" pid="4" name="KSOTemplateDocerSaveRecord">
    <vt:lpwstr>eyJoZGlkIjoiOTg5N2EyMDEyZjk1OTMyMGZlNDllYjFhNWEwMTAyZjUiLCJ1c2VySWQiOiIxNDA4NjYyOTI2In0=</vt:lpwstr>
  </property>
</Properties>
</file>