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DF4A6">
      <w:pPr>
        <w:pStyle w:val="8"/>
        <w:spacing w:before="93"/>
        <w:rPr>
          <w:rFonts w:ascii="Times New Roman" w:eastAsia="Arial Unicode MS"/>
          <w:kern w:val="2"/>
          <w:sz w:val="72"/>
          <w:szCs w:val="72"/>
        </w:rPr>
      </w:pPr>
      <w:bookmarkStart w:id="0" w:name="_Toc15378441"/>
      <w:bookmarkStart w:id="1" w:name="_Toc15396597"/>
      <w:bookmarkStart w:id="2" w:name="_Toc15306267"/>
      <w:bookmarkStart w:id="3" w:name="_Toc15377425"/>
      <w:bookmarkStart w:id="4" w:name="_Toc15377193"/>
      <w:bookmarkStart w:id="5" w:name="_Toc15396475"/>
    </w:p>
    <w:p w14:paraId="28EFCB8C">
      <w:pPr>
        <w:pStyle w:val="8"/>
        <w:spacing w:before="93"/>
        <w:rPr>
          <w:rFonts w:ascii="Times New Roman" w:eastAsia="Arial Unicode MS"/>
          <w:kern w:val="2"/>
          <w:sz w:val="72"/>
          <w:szCs w:val="72"/>
        </w:rPr>
      </w:pPr>
    </w:p>
    <w:bookmarkEnd w:id="0"/>
    <w:bookmarkEnd w:id="1"/>
    <w:bookmarkEnd w:id="2"/>
    <w:bookmarkEnd w:id="3"/>
    <w:bookmarkEnd w:id="4"/>
    <w:bookmarkEnd w:id="5"/>
    <w:p w14:paraId="14D55883">
      <w:pPr>
        <w:pStyle w:val="8"/>
        <w:spacing w:before="93"/>
        <w:jc w:val="center"/>
        <w:rPr>
          <w:rFonts w:ascii="Times New Roman" w:eastAsia="Arial Unicode MS"/>
          <w:kern w:val="2"/>
          <w:sz w:val="44"/>
          <w:szCs w:val="44"/>
        </w:rPr>
      </w:pPr>
      <w:r>
        <w:rPr>
          <w:rFonts w:hint="eastAsia" w:ascii="Times New Roman" w:eastAsia="Arial Unicode MS"/>
          <w:kern w:val="2"/>
          <w:sz w:val="44"/>
          <w:szCs w:val="44"/>
        </w:rPr>
        <w:t>2025年度</w:t>
      </w:r>
    </w:p>
    <w:p w14:paraId="092E8B48">
      <w:pPr>
        <w:pStyle w:val="8"/>
        <w:spacing w:before="93"/>
        <w:jc w:val="center"/>
        <w:rPr>
          <w:rFonts w:ascii="Times New Roman" w:eastAsia="Arial Unicode MS"/>
          <w:kern w:val="2"/>
          <w:sz w:val="44"/>
          <w:szCs w:val="44"/>
        </w:rPr>
      </w:pPr>
      <w:r>
        <w:rPr>
          <w:rFonts w:hint="eastAsia" w:ascii="Times New Roman" w:eastAsia="Arial Unicode MS"/>
          <w:kern w:val="2"/>
          <w:sz w:val="44"/>
          <w:szCs w:val="44"/>
        </w:rPr>
        <w:t>攀枝花市中心血站决算</w:t>
      </w:r>
    </w:p>
    <w:p w14:paraId="3B1432A2">
      <w:pPr>
        <w:pStyle w:val="8"/>
        <w:spacing w:before="93"/>
        <w:jc w:val="center"/>
        <w:rPr>
          <w:rFonts w:ascii="Times New Roman" w:eastAsia="Arial Unicode MS"/>
          <w:kern w:val="2"/>
          <w:sz w:val="44"/>
          <w:szCs w:val="44"/>
        </w:rPr>
      </w:pPr>
    </w:p>
    <w:p w14:paraId="5D2D7976">
      <w:pPr>
        <w:pStyle w:val="21"/>
        <w:rPr>
          <w:rFonts w:ascii="Times New Roman" w:hAnsi="Times New Roman"/>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fmt="decimal" w:start="0"/>
          <w:cols w:space="425" w:num="1"/>
          <w:docGrid w:type="lines" w:linePitch="312" w:charSpace="0"/>
        </w:sectPr>
      </w:pPr>
    </w:p>
    <w:p w14:paraId="0E9B094E"/>
    <w:p w14:paraId="7055944F">
      <w:pPr>
        <w:widowControl/>
        <w:jc w:val="center"/>
        <w:rPr>
          <w:rFonts w:eastAsia="黑体"/>
          <w:sz w:val="48"/>
          <w:szCs w:val="48"/>
        </w:rPr>
      </w:pPr>
      <w:r>
        <w:rPr>
          <w:rFonts w:hint="eastAsia" w:eastAsia="黑体"/>
          <w:sz w:val="48"/>
          <w:szCs w:val="48"/>
        </w:rPr>
        <w:t>目录</w:t>
      </w:r>
    </w:p>
    <w:p w14:paraId="7ACB410D">
      <w:pPr>
        <w:widowControl/>
        <w:jc w:val="center"/>
        <w:rPr>
          <w:rFonts w:eastAsia="黑体" w:cstheme="minorBidi"/>
          <w:sz w:val="28"/>
          <w:szCs w:val="28"/>
        </w:rPr>
      </w:pPr>
    </w:p>
    <w:p w14:paraId="68BC0F4D">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w:t>
      </w:r>
      <w:r>
        <w:rPr>
          <w:rFonts w:hint="default" w:ascii="Times New Roman" w:hAnsi="Times New Roman" w:eastAsia="仿宋_GB2312" w:cs="仿宋_GB2312"/>
          <w:sz w:val="32"/>
          <w:szCs w:val="32"/>
          <w:lang w:val="en-US" w:eastAsia="zh-CN"/>
        </w:rPr>
        <w:t>14</w:t>
      </w:r>
      <w:bookmarkStart w:id="61" w:name="_GoBack"/>
      <w:bookmarkEnd w:id="61"/>
      <w:r>
        <w:rPr>
          <w:rFonts w:hint="eastAsia" w:ascii="Times New Roman" w:hAnsi="Times New Roman" w:eastAsia="仿宋_GB2312" w:cs="仿宋_GB2312"/>
          <w:sz w:val="32"/>
          <w:szCs w:val="32"/>
        </w:rPr>
        <w:t>日</w:t>
      </w:r>
    </w:p>
    <w:p w14:paraId="02740FC2"/>
    <w:p w14:paraId="0F70B531">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val="en-US" w:eastAsia="zh-CN"/>
        </w:rPr>
        <w:t>单位</w:t>
      </w:r>
      <w:r>
        <w:rPr>
          <w:rFonts w:hint="eastAsia" w:ascii="Times New Roman" w:hAnsi="Times New Roman" w:eastAsia="黑体" w:cs="黑体"/>
          <w:sz w:val="32"/>
          <w:szCs w:val="32"/>
        </w:rPr>
        <w:t>概况</w:t>
      </w:r>
      <w:r>
        <w:rPr>
          <w:rFonts w:cstheme="minorBidi"/>
          <w:sz w:val="24"/>
        </w:rPr>
        <w:tab/>
      </w:r>
      <w:r>
        <w:rPr>
          <w:rFonts w:hint="eastAsia" w:ascii="Times New Roman" w:hAnsi="Times New Roman" w:eastAsia="宋体" w:cstheme="minorBidi"/>
          <w:kern w:val="2"/>
          <w:sz w:val="24"/>
          <w:szCs w:val="24"/>
          <w:lang w:val="en-US" w:eastAsia="zh-CN" w:bidi="ar-SA"/>
        </w:rPr>
        <w:t>4</w:t>
      </w:r>
    </w:p>
    <w:p w14:paraId="1E7AA5F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w:t>
      </w:r>
      <w:r>
        <w:rPr>
          <w:rFonts w:hint="eastAsia" w:eastAsia="仿宋_GB2312" w:cs="仿宋_GB2312"/>
          <w:sz w:val="32"/>
          <w:szCs w:val="32"/>
          <w:lang w:val="en-US" w:eastAsia="zh-CN"/>
        </w:rPr>
        <w:t>单位</w:t>
      </w:r>
      <w:r>
        <w:rPr>
          <w:rFonts w:hint="eastAsia" w:eastAsia="仿宋_GB2312" w:cs="仿宋_GB2312"/>
          <w:sz w:val="32"/>
          <w:szCs w:val="32"/>
        </w:rPr>
        <w:t>职责</w:t>
      </w:r>
      <w:r>
        <w:rPr>
          <w:rFonts w:cstheme="minorBidi"/>
          <w:sz w:val="24"/>
        </w:rPr>
        <w:tab/>
      </w:r>
      <w:r>
        <w:rPr>
          <w:rFonts w:hint="eastAsia" w:cstheme="minorBidi"/>
          <w:sz w:val="24"/>
        </w:rPr>
        <w:t>4</w:t>
      </w:r>
    </w:p>
    <w:p w14:paraId="21E0EB4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cstheme="minorBidi"/>
          <w:sz w:val="24"/>
        </w:rPr>
        <w:tab/>
      </w:r>
      <w:r>
        <w:rPr>
          <w:rFonts w:hint="eastAsia" w:cstheme="minorBidi"/>
          <w:sz w:val="24"/>
        </w:rPr>
        <w:t>4</w:t>
      </w:r>
    </w:p>
    <w:p w14:paraId="49F71A91">
      <w:pPr>
        <w:pStyle w:val="14"/>
        <w:adjustRightInd w:val="0"/>
        <w:snapToGrid w:val="0"/>
        <w:spacing w:before="0" w:line="560" w:lineRule="exact"/>
        <w:jc w:val="left"/>
        <w:rPr>
          <w:rFonts w:hint="eastAsia" w:ascii="Times New Roman" w:hAnsi="Times New Roman" w:eastAsia="仿宋" w:cs="黑体"/>
          <w:sz w:val="32"/>
          <w:szCs w:val="32"/>
          <w:lang w:eastAsia="zh-CN"/>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val="en-US" w:eastAsia="zh-CN"/>
        </w:rPr>
        <w:t>单位</w:t>
      </w:r>
      <w:r>
        <w:rPr>
          <w:rFonts w:hint="eastAsia" w:ascii="Times New Roman" w:hAnsi="Times New Roman" w:eastAsia="黑体" w:cs="黑体"/>
          <w:sz w:val="32"/>
          <w:szCs w:val="32"/>
        </w:rPr>
        <w:t>决算情况说明</w:t>
      </w:r>
      <w:r>
        <w:rPr>
          <w:rFonts w:cstheme="minorBidi"/>
          <w:sz w:val="24"/>
        </w:rPr>
        <w:tab/>
      </w:r>
      <w:r>
        <w:rPr>
          <w:rFonts w:hint="eastAsia" w:ascii="Times New Roman" w:hAnsi="Times New Roman" w:eastAsia="宋体" w:cstheme="minorBidi"/>
          <w:kern w:val="2"/>
          <w:sz w:val="24"/>
          <w:szCs w:val="24"/>
          <w:lang w:val="en-US" w:eastAsia="zh-CN" w:bidi="ar-SA"/>
        </w:rPr>
        <w:t>5</w:t>
      </w:r>
    </w:p>
    <w:p w14:paraId="07A31CC5">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一、收入支出决算总体情况说明</w:t>
      </w:r>
      <w:r>
        <w:rPr>
          <w:rFonts w:cstheme="minorBidi"/>
          <w:sz w:val="24"/>
        </w:rPr>
        <w:tab/>
      </w:r>
      <w:r>
        <w:rPr>
          <w:rFonts w:hint="eastAsia" w:ascii="Times New Roman" w:hAnsi="Times New Roman" w:eastAsia="宋体" w:cstheme="minorBidi"/>
          <w:kern w:val="2"/>
          <w:sz w:val="24"/>
          <w:szCs w:val="24"/>
          <w:lang w:val="en-US" w:eastAsia="zh-CN" w:bidi="ar-SA"/>
        </w:rPr>
        <w:t>5</w:t>
      </w:r>
    </w:p>
    <w:p w14:paraId="652CD72D">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二、收入决算情况说明</w:t>
      </w:r>
      <w:r>
        <w:rPr>
          <w:rFonts w:cstheme="minorBidi"/>
          <w:sz w:val="24"/>
        </w:rPr>
        <w:tab/>
      </w:r>
      <w:r>
        <w:rPr>
          <w:rFonts w:hint="eastAsia" w:ascii="Times New Roman" w:hAnsi="Times New Roman" w:eastAsia="宋体" w:cstheme="minorBidi"/>
          <w:kern w:val="2"/>
          <w:sz w:val="24"/>
          <w:szCs w:val="24"/>
          <w:lang w:val="en-US" w:eastAsia="zh-CN" w:bidi="ar-SA"/>
        </w:rPr>
        <w:t>5</w:t>
      </w:r>
    </w:p>
    <w:p w14:paraId="72EC2A63">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三、支出决算情况说明</w:t>
      </w:r>
      <w:r>
        <w:rPr>
          <w:rFonts w:cstheme="minorBidi"/>
          <w:sz w:val="24"/>
        </w:rPr>
        <w:tab/>
      </w:r>
      <w:r>
        <w:rPr>
          <w:rFonts w:hint="eastAsia" w:cstheme="minorBidi"/>
          <w:sz w:val="24"/>
          <w:lang w:val="en-US" w:eastAsia="zh-CN"/>
        </w:rPr>
        <w:t>6</w:t>
      </w:r>
    </w:p>
    <w:p w14:paraId="32658C7B">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四、财政拨款收入支出决算总体情况说明</w:t>
      </w:r>
      <w:r>
        <w:rPr>
          <w:rFonts w:cstheme="minorBidi"/>
          <w:sz w:val="24"/>
        </w:rPr>
        <w:tab/>
      </w:r>
      <w:r>
        <w:rPr>
          <w:rFonts w:hint="eastAsia" w:cstheme="minorBidi"/>
          <w:sz w:val="24"/>
          <w:lang w:val="en-US" w:eastAsia="zh-CN"/>
        </w:rPr>
        <w:t>6</w:t>
      </w:r>
    </w:p>
    <w:p w14:paraId="5081AAD5">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五、一般公共预算财政拨款支出决算情况说明</w:t>
      </w:r>
      <w:r>
        <w:rPr>
          <w:rFonts w:cstheme="minorBidi"/>
          <w:sz w:val="24"/>
        </w:rPr>
        <w:tab/>
      </w:r>
      <w:r>
        <w:rPr>
          <w:rFonts w:hint="eastAsia" w:ascii="Times New Roman" w:hAnsi="Times New Roman" w:eastAsia="宋体" w:cstheme="minorBidi"/>
          <w:kern w:val="2"/>
          <w:sz w:val="24"/>
          <w:szCs w:val="24"/>
          <w:lang w:val="en-US" w:eastAsia="zh-CN" w:bidi="ar-SA"/>
        </w:rPr>
        <w:t>7</w:t>
      </w:r>
    </w:p>
    <w:p w14:paraId="5D4E8527">
      <w:pPr>
        <w:pStyle w:val="15"/>
        <w:adjustRightInd w:val="0"/>
        <w:snapToGrid w:val="0"/>
        <w:spacing w:line="560" w:lineRule="exact"/>
        <w:ind w:left="0" w:leftChars="0" w:firstLine="640" w:firstLineChars="200"/>
        <w:jc w:val="left"/>
        <w:rPr>
          <w:rFonts w:hint="eastAsia" w:eastAsia="宋体" w:cs="仿宋_GB2312"/>
          <w:sz w:val="32"/>
          <w:szCs w:val="32"/>
          <w:lang w:eastAsia="zh-CN"/>
        </w:rPr>
      </w:pPr>
      <w:r>
        <w:rPr>
          <w:rFonts w:hint="eastAsia" w:eastAsia="仿宋_GB2312" w:cs="仿宋_GB2312"/>
          <w:sz w:val="32"/>
          <w:szCs w:val="32"/>
        </w:rPr>
        <w:t>六、一般公共预算财政拨款基本支出决算情况说明</w:t>
      </w:r>
      <w:r>
        <w:rPr>
          <w:rFonts w:cstheme="minorBidi"/>
          <w:sz w:val="24"/>
        </w:rPr>
        <w:tab/>
      </w:r>
      <w:r>
        <w:rPr>
          <w:rFonts w:hint="eastAsia" w:ascii="Times New Roman" w:hAnsi="Times New Roman" w:eastAsia="宋体" w:cstheme="minorBidi"/>
          <w:kern w:val="2"/>
          <w:sz w:val="24"/>
          <w:szCs w:val="24"/>
          <w:lang w:val="en-US" w:eastAsia="zh-CN" w:bidi="ar-SA"/>
        </w:rPr>
        <w:t>9</w:t>
      </w:r>
    </w:p>
    <w:p w14:paraId="773700EF">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七、财政拨款“三公”经费支出决算情况说明</w:t>
      </w:r>
      <w:r>
        <w:rPr>
          <w:rFonts w:cstheme="minorBidi"/>
          <w:sz w:val="24"/>
        </w:rPr>
        <w:tab/>
      </w:r>
      <w:r>
        <w:rPr>
          <w:rFonts w:hint="eastAsia" w:ascii="Times New Roman" w:hAnsi="Times New Roman" w:eastAsia="宋体" w:cstheme="minorBidi"/>
          <w:kern w:val="2"/>
          <w:sz w:val="24"/>
          <w:szCs w:val="24"/>
          <w:lang w:val="en-US" w:eastAsia="zh-CN" w:bidi="ar-SA"/>
        </w:rPr>
        <w:t>10</w:t>
      </w:r>
    </w:p>
    <w:p w14:paraId="1A42016F">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八、政府性基金预算支出决算情况说明</w:t>
      </w:r>
      <w:r>
        <w:rPr>
          <w:rFonts w:cstheme="minorBidi"/>
          <w:sz w:val="24"/>
        </w:rPr>
        <w:tab/>
      </w:r>
      <w:r>
        <w:rPr>
          <w:rFonts w:hint="eastAsia" w:ascii="Times New Roman" w:hAnsi="Times New Roman" w:eastAsia="宋体" w:cstheme="minorBidi"/>
          <w:kern w:val="2"/>
          <w:sz w:val="24"/>
          <w:szCs w:val="24"/>
          <w:lang w:val="en-US" w:eastAsia="zh-CN" w:bidi="ar-SA"/>
        </w:rPr>
        <w:t>12</w:t>
      </w:r>
    </w:p>
    <w:p w14:paraId="2CDEF9AD">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九、国有资本经营预算支出决算情况说明</w:t>
      </w:r>
      <w:r>
        <w:rPr>
          <w:rFonts w:cstheme="minorBidi"/>
          <w:sz w:val="24"/>
        </w:rPr>
        <w:tab/>
      </w:r>
      <w:r>
        <w:rPr>
          <w:rFonts w:hint="eastAsia" w:ascii="Times New Roman" w:hAnsi="Times New Roman" w:eastAsia="宋体" w:cstheme="minorBidi"/>
          <w:kern w:val="2"/>
          <w:sz w:val="24"/>
          <w:szCs w:val="24"/>
          <w:lang w:val="en-US" w:eastAsia="zh-CN" w:bidi="ar-SA"/>
        </w:rPr>
        <w:t>12</w:t>
      </w:r>
    </w:p>
    <w:p w14:paraId="4B4FE6C0">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十、其他重要事项的情况说明</w:t>
      </w:r>
      <w:r>
        <w:rPr>
          <w:rFonts w:cstheme="minorBidi"/>
          <w:sz w:val="24"/>
        </w:rPr>
        <w:tab/>
      </w:r>
      <w:r>
        <w:rPr>
          <w:rFonts w:hint="eastAsia" w:ascii="Times New Roman" w:hAnsi="Times New Roman" w:eastAsia="宋体" w:cstheme="minorBidi"/>
          <w:kern w:val="2"/>
          <w:sz w:val="24"/>
          <w:szCs w:val="24"/>
          <w:lang w:val="en-US" w:eastAsia="zh-CN" w:bidi="ar-SA"/>
        </w:rPr>
        <w:t>12</w:t>
      </w:r>
    </w:p>
    <w:p w14:paraId="3CD81CC3">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第三部分 名词解释</w:t>
      </w:r>
      <w:r>
        <w:rPr>
          <w:rFonts w:cstheme="minorBidi"/>
          <w:sz w:val="24"/>
        </w:rPr>
        <w:tab/>
      </w:r>
      <w:r>
        <w:rPr>
          <w:rFonts w:hint="eastAsia" w:ascii="Times New Roman" w:hAnsi="Times New Roman" w:eastAsia="宋体" w:cstheme="minorBidi"/>
          <w:kern w:val="2"/>
          <w:sz w:val="24"/>
          <w:szCs w:val="24"/>
          <w:lang w:val="en-US" w:eastAsia="zh-CN" w:bidi="ar-SA"/>
        </w:rPr>
        <w:t>14</w:t>
      </w:r>
    </w:p>
    <w:p w14:paraId="4CDA92BD">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第四部分 附件</w:t>
      </w:r>
      <w:r>
        <w:rPr>
          <w:rFonts w:cstheme="minorBidi"/>
          <w:sz w:val="24"/>
        </w:rPr>
        <w:tab/>
      </w:r>
      <w:r>
        <w:rPr>
          <w:rFonts w:hint="eastAsia" w:ascii="Times New Roman" w:hAnsi="Times New Roman" w:eastAsia="宋体" w:cstheme="minorBidi"/>
          <w:kern w:val="2"/>
          <w:sz w:val="24"/>
          <w:szCs w:val="24"/>
          <w:lang w:val="en-US" w:eastAsia="zh-CN" w:bidi="ar-SA"/>
        </w:rPr>
        <w:t>16</w:t>
      </w:r>
    </w:p>
    <w:p w14:paraId="0A1D0B4F">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第五部分 附表</w:t>
      </w:r>
      <w:r>
        <w:rPr>
          <w:rFonts w:cstheme="minorBidi"/>
          <w:sz w:val="24"/>
        </w:rPr>
        <w:tab/>
      </w:r>
      <w:r>
        <w:rPr>
          <w:rFonts w:hint="eastAsia" w:ascii="Times New Roman" w:hAnsi="Times New Roman" w:eastAsia="宋体" w:cstheme="minorBidi"/>
          <w:kern w:val="2"/>
          <w:sz w:val="24"/>
          <w:szCs w:val="24"/>
          <w:lang w:val="en-US" w:eastAsia="zh-CN" w:bidi="ar-SA"/>
        </w:rPr>
        <w:t>17</w:t>
      </w:r>
    </w:p>
    <w:p w14:paraId="4E4B78E2">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一、收入支出决算总表</w:t>
      </w:r>
      <w:r>
        <w:rPr>
          <w:rFonts w:cstheme="minorBidi"/>
          <w:sz w:val="24"/>
        </w:rPr>
        <w:tab/>
      </w:r>
      <w:r>
        <w:rPr>
          <w:rFonts w:hint="eastAsia" w:cstheme="minorBidi"/>
          <w:sz w:val="24"/>
          <w:lang w:val="en-US" w:eastAsia="zh-CN"/>
        </w:rPr>
        <w:t>17</w:t>
      </w:r>
    </w:p>
    <w:p w14:paraId="6EE9FE96">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二、收入决算表</w:t>
      </w:r>
      <w:r>
        <w:rPr>
          <w:rFonts w:cstheme="minorBidi"/>
          <w:sz w:val="24"/>
        </w:rPr>
        <w:tab/>
      </w:r>
      <w:r>
        <w:rPr>
          <w:rFonts w:hint="eastAsia" w:cstheme="minorBidi"/>
          <w:sz w:val="24"/>
          <w:lang w:val="en-US" w:eastAsia="zh-CN"/>
        </w:rPr>
        <w:t>17</w:t>
      </w:r>
    </w:p>
    <w:p w14:paraId="44F645E8">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三、支出决算表</w:t>
      </w:r>
      <w:r>
        <w:rPr>
          <w:rFonts w:cstheme="minorBidi"/>
          <w:sz w:val="24"/>
        </w:rPr>
        <w:tab/>
      </w:r>
      <w:r>
        <w:rPr>
          <w:rFonts w:hint="eastAsia" w:cstheme="minorBidi"/>
          <w:sz w:val="24"/>
          <w:lang w:val="en-US" w:eastAsia="zh-CN"/>
        </w:rPr>
        <w:t>17</w:t>
      </w:r>
    </w:p>
    <w:p w14:paraId="34AF7627">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四、财政拨款收入支出决算总表</w:t>
      </w:r>
      <w:r>
        <w:rPr>
          <w:rFonts w:cstheme="minorBidi"/>
          <w:sz w:val="24"/>
        </w:rPr>
        <w:tab/>
      </w:r>
      <w:r>
        <w:rPr>
          <w:rFonts w:hint="eastAsia" w:cstheme="minorBidi"/>
          <w:sz w:val="24"/>
          <w:lang w:val="en-US" w:eastAsia="zh-CN"/>
        </w:rPr>
        <w:t>17</w:t>
      </w:r>
    </w:p>
    <w:p w14:paraId="129277C3">
      <w:pPr>
        <w:pStyle w:val="15"/>
        <w:adjustRightInd w:val="0"/>
        <w:snapToGrid w:val="0"/>
        <w:spacing w:line="560" w:lineRule="exact"/>
        <w:ind w:left="0" w:leftChars="0" w:firstLine="640" w:firstLineChars="200"/>
        <w:jc w:val="left"/>
        <w:rPr>
          <w:rFonts w:hint="eastAsia" w:eastAsia="仿宋_GB2312" w:cs="仿宋_GB2312"/>
          <w:sz w:val="32"/>
          <w:szCs w:val="32"/>
        </w:rPr>
        <w:sectPr>
          <w:footerReference r:id="rId9" w:type="first"/>
          <w:footerReference r:id="rId8" w:type="default"/>
          <w:pgSz w:w="11906" w:h="16838"/>
          <w:pgMar w:top="1440" w:right="1797" w:bottom="1440" w:left="1797" w:header="851" w:footer="992" w:gutter="0"/>
          <w:pgNumType w:fmt="decimal" w:start="2"/>
          <w:cols w:space="425" w:num="1"/>
          <w:docGrid w:linePitch="312" w:charSpace="0"/>
        </w:sectPr>
      </w:pPr>
    </w:p>
    <w:p w14:paraId="35375EC4">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五、财政拨款支出决算明细表</w:t>
      </w:r>
      <w:r>
        <w:rPr>
          <w:rFonts w:cstheme="minorBidi"/>
          <w:sz w:val="24"/>
        </w:rPr>
        <w:tab/>
      </w:r>
      <w:r>
        <w:rPr>
          <w:rFonts w:hint="eastAsia" w:cstheme="minorBidi"/>
          <w:sz w:val="24"/>
          <w:lang w:val="en-US" w:eastAsia="zh-CN"/>
        </w:rPr>
        <w:t>17</w:t>
      </w:r>
    </w:p>
    <w:p w14:paraId="2722EA5C">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六、一般公共预算财政拨款支出决算表</w:t>
      </w:r>
      <w:r>
        <w:rPr>
          <w:rFonts w:cstheme="minorBidi"/>
          <w:sz w:val="24"/>
        </w:rPr>
        <w:tab/>
      </w:r>
      <w:r>
        <w:rPr>
          <w:rFonts w:hint="eastAsia" w:cstheme="minorBidi"/>
          <w:sz w:val="24"/>
          <w:lang w:val="en-US" w:eastAsia="zh-CN"/>
        </w:rPr>
        <w:t>17</w:t>
      </w:r>
    </w:p>
    <w:p w14:paraId="3B1E21CE">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七、一般公共预算财政拨款支出决算明细表</w:t>
      </w:r>
      <w:r>
        <w:rPr>
          <w:rFonts w:cstheme="minorBidi"/>
          <w:sz w:val="24"/>
        </w:rPr>
        <w:tab/>
      </w:r>
      <w:r>
        <w:rPr>
          <w:rFonts w:hint="eastAsia" w:cstheme="minorBidi"/>
          <w:sz w:val="24"/>
          <w:lang w:val="en-US" w:eastAsia="zh-CN"/>
        </w:rPr>
        <w:t>17</w:t>
      </w:r>
    </w:p>
    <w:p w14:paraId="29EB5A2B">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八、一般公共预算财政拨款基本支出决算明细表</w:t>
      </w:r>
      <w:r>
        <w:rPr>
          <w:rFonts w:cstheme="minorBidi"/>
          <w:sz w:val="24"/>
        </w:rPr>
        <w:tab/>
      </w:r>
      <w:r>
        <w:rPr>
          <w:rFonts w:hint="eastAsia" w:cstheme="minorBidi"/>
          <w:sz w:val="24"/>
          <w:lang w:val="en-US" w:eastAsia="zh-CN"/>
        </w:rPr>
        <w:t>17</w:t>
      </w:r>
    </w:p>
    <w:p w14:paraId="63C09E72">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九、一般公共预算财政拨款项目支出决算表</w:t>
      </w:r>
      <w:r>
        <w:rPr>
          <w:rFonts w:cstheme="minorBidi"/>
          <w:sz w:val="24"/>
        </w:rPr>
        <w:tab/>
      </w:r>
      <w:r>
        <w:rPr>
          <w:rFonts w:hint="eastAsia" w:cstheme="minorBidi"/>
          <w:sz w:val="24"/>
          <w:lang w:val="en-US" w:eastAsia="zh-CN"/>
        </w:rPr>
        <w:t>17</w:t>
      </w:r>
    </w:p>
    <w:p w14:paraId="43E4E49C">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十、政府性基金预算财政拨款收入支出决算表</w:t>
      </w:r>
      <w:r>
        <w:rPr>
          <w:rFonts w:cstheme="minorBidi"/>
          <w:sz w:val="24"/>
        </w:rPr>
        <w:tab/>
      </w:r>
      <w:r>
        <w:rPr>
          <w:rFonts w:hint="eastAsia" w:cstheme="minorBidi"/>
          <w:sz w:val="24"/>
          <w:lang w:val="en-US" w:eastAsia="zh-CN"/>
        </w:rPr>
        <w:t>17</w:t>
      </w:r>
    </w:p>
    <w:p w14:paraId="1F0EB0EE">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十一、国有资本经营预算财政拨款收入支出决算表</w:t>
      </w:r>
      <w:r>
        <w:rPr>
          <w:rFonts w:cstheme="minorBidi"/>
          <w:sz w:val="24"/>
        </w:rPr>
        <w:tab/>
      </w:r>
      <w:r>
        <w:rPr>
          <w:rFonts w:hint="eastAsia" w:cstheme="minorBidi"/>
          <w:sz w:val="24"/>
          <w:lang w:val="en-US" w:eastAsia="zh-CN"/>
        </w:rPr>
        <w:t>17</w:t>
      </w:r>
    </w:p>
    <w:p w14:paraId="75310AC3">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十二、国有资本经营预算财政拨款支出决算表</w:t>
      </w:r>
      <w:r>
        <w:rPr>
          <w:rFonts w:cstheme="minorBidi"/>
          <w:sz w:val="24"/>
        </w:rPr>
        <w:tab/>
      </w:r>
      <w:r>
        <w:rPr>
          <w:rFonts w:hint="eastAsia" w:cstheme="minorBidi"/>
          <w:sz w:val="24"/>
          <w:lang w:val="en-US" w:eastAsia="zh-CN"/>
        </w:rPr>
        <w:t>17</w:t>
      </w:r>
    </w:p>
    <w:p w14:paraId="1E9DC229">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十三、财政拨款“三公”经费支出决算表</w:t>
      </w:r>
      <w:r>
        <w:rPr>
          <w:rFonts w:cstheme="minorBidi"/>
          <w:sz w:val="24"/>
        </w:rPr>
        <w:tab/>
      </w:r>
      <w:r>
        <w:rPr>
          <w:rFonts w:hint="eastAsia" w:cstheme="minorBidi"/>
          <w:sz w:val="24"/>
          <w:lang w:val="en-US" w:eastAsia="zh-CN"/>
        </w:rPr>
        <w:t>17</w:t>
      </w:r>
    </w:p>
    <w:p w14:paraId="01C2A58E">
      <w:pPr>
        <w:pStyle w:val="15"/>
        <w:adjustRightInd w:val="0"/>
        <w:snapToGrid w:val="0"/>
        <w:spacing w:line="560" w:lineRule="exact"/>
        <w:ind w:left="0" w:leftChars="0" w:firstLine="643" w:firstLineChars="200"/>
        <w:jc w:val="left"/>
        <w:rPr>
          <w:rFonts w:eastAsia="仿宋_GB2312" w:cs="仿宋_GB2312"/>
          <w:b/>
          <w:bCs/>
          <w:sz w:val="32"/>
          <w:szCs w:val="32"/>
        </w:rPr>
      </w:pPr>
    </w:p>
    <w:p w14:paraId="6F420AD4">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bookmarkStart w:id="6" w:name="_Toc15396599"/>
      <w:bookmarkStart w:id="7" w:name="_Toc15377196"/>
    </w:p>
    <w:p w14:paraId="377F8C87">
      <w:pPr>
        <w:pStyle w:val="5"/>
        <w:jc w:val="center"/>
        <w:rPr>
          <w:rFonts w:eastAsia="黑体"/>
          <w:sz w:val="32"/>
          <w:szCs w:val="32"/>
        </w:rPr>
      </w:pPr>
      <w:r>
        <w:rPr>
          <w:rFonts w:hint="eastAsia" w:eastAsia="Arial Unicode MS" w:cs="Arial Unicode MS"/>
          <w:b w:val="0"/>
        </w:rPr>
        <w:t>第一部分</w:t>
      </w:r>
      <w:r>
        <w:rPr>
          <w:rStyle w:val="30"/>
          <w:rFonts w:hint="eastAsia" w:eastAsia="Arial Unicode MS" w:cs="Arial Unicode MS"/>
          <w:b w:val="0"/>
          <w:bCs w:val="0"/>
        </w:rPr>
        <w:t>单位概况</w:t>
      </w:r>
      <w:bookmarkEnd w:id="6"/>
      <w:bookmarkEnd w:id="7"/>
    </w:p>
    <w:p w14:paraId="16B15A42">
      <w:pPr>
        <w:pStyle w:val="6"/>
        <w:numPr>
          <w:ilvl w:val="0"/>
          <w:numId w:val="1"/>
        </w:numPr>
        <w:rPr>
          <w:rFonts w:ascii="Times New Roman" w:hAnsi="Times New Roman" w:eastAsia="黑体"/>
          <w:b w:val="0"/>
        </w:rPr>
      </w:pPr>
      <w:r>
        <w:rPr>
          <w:rFonts w:hint="eastAsia" w:ascii="Times New Roman" w:hAnsi="Times New Roman" w:eastAsia="黑体"/>
          <w:b w:val="0"/>
        </w:rPr>
        <w:t>单位职责</w:t>
      </w:r>
    </w:p>
    <w:p w14:paraId="0BE7129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攀枝花市中心血站为全市唯一一家采供血机构，负责在全市范围内开展无偿献血者的招募、血液的采集与制备、血液检测、临床用血供应以及医疗用血的业务指导等工作。</w:t>
      </w:r>
    </w:p>
    <w:p w14:paraId="5656BBCA"/>
    <w:p w14:paraId="5052C04F">
      <w:pPr>
        <w:pStyle w:val="6"/>
        <w:rPr>
          <w:rStyle w:val="31"/>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8"/>
      <w:bookmarkEnd w:id="9"/>
    </w:p>
    <w:p w14:paraId="3FED190A">
      <w:pPr>
        <w:pStyle w:val="29"/>
        <w:spacing w:line="600" w:lineRule="exact"/>
        <w:ind w:firstLine="640"/>
        <w:jc w:val="left"/>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血站核定领导职数3名，2025年12月，实配领导班子成员2名，站长1名（副县级），副站长1名（正科级）；核定内设科室6个，分别为：办公室、体采科、检验科、成分供血科、质量管理科、综合业务科；配备内设科室领导职数6名（3名正科级，3名副科级）。</w:t>
      </w:r>
    </w:p>
    <w:p w14:paraId="4C45D161">
      <w:pPr>
        <w:pStyle w:val="8"/>
        <w:adjustRightInd w:val="0"/>
        <w:snapToGrid w:val="0"/>
        <w:spacing w:before="72" w:line="600" w:lineRule="exact"/>
        <w:outlineLvl w:val="2"/>
        <w:rPr>
          <w:sz w:val="32"/>
          <w:szCs w:val="32"/>
        </w:rPr>
      </w:pPr>
    </w:p>
    <w:p w14:paraId="67503F59">
      <w:pPr>
        <w:widowControl/>
        <w:jc w:val="left"/>
        <w:rPr>
          <w:rFonts w:eastAsia="仿宋"/>
          <w:kern w:val="0"/>
          <w:sz w:val="32"/>
          <w:szCs w:val="32"/>
        </w:rPr>
      </w:pPr>
      <w:r>
        <w:rPr>
          <w:rFonts w:eastAsia="仿宋"/>
          <w:sz w:val="32"/>
          <w:szCs w:val="32"/>
        </w:rPr>
        <w:br w:type="page"/>
      </w:r>
    </w:p>
    <w:p w14:paraId="3CCB29C0">
      <w:pPr>
        <w:pStyle w:val="5"/>
        <w:jc w:val="center"/>
      </w:pPr>
      <w:bookmarkStart w:id="10" w:name="_Toc15396602"/>
      <w:bookmarkStart w:id="11" w:name="_Toc15377204"/>
      <w:r>
        <w:rPr>
          <w:rFonts w:hint="eastAsia" w:eastAsia="Arial Unicode MS" w:cs="Arial Unicode MS"/>
          <w:b w:val="0"/>
        </w:rPr>
        <w:t>第二部分2025年度</w:t>
      </w:r>
      <w:r>
        <w:rPr>
          <w:rStyle w:val="30"/>
          <w:rFonts w:hint="eastAsia" w:eastAsia="Arial Unicode MS" w:cs="Arial Unicode MS"/>
          <w:b w:val="0"/>
          <w:bCs w:val="0"/>
        </w:rPr>
        <w:t>单位</w:t>
      </w:r>
      <w:r>
        <w:rPr>
          <w:rFonts w:hint="eastAsia" w:eastAsia="Arial Unicode MS" w:cs="Arial Unicode MS"/>
          <w:b w:val="0"/>
        </w:rPr>
        <w:t>决算情况说明</w:t>
      </w:r>
      <w:bookmarkEnd w:id="10"/>
      <w:bookmarkEnd w:id="11"/>
    </w:p>
    <w:p w14:paraId="01C0E05D">
      <w:pPr>
        <w:pStyle w:val="29"/>
        <w:spacing w:line="600" w:lineRule="exact"/>
        <w:ind w:firstLine="640"/>
        <w:outlineLvl w:val="1"/>
        <w:rPr>
          <w:rStyle w:val="31"/>
          <w:rFonts w:ascii="Times New Roman" w:hAnsi="Times New Roman" w:eastAsia="黑体"/>
          <w:b w:val="0"/>
        </w:rPr>
      </w:pPr>
      <w:bookmarkStart w:id="12" w:name="_Toc15377205"/>
      <w:bookmarkStart w:id="13" w:name="_Toc15396603"/>
      <w:r>
        <w:rPr>
          <w:rFonts w:hint="eastAsia" w:eastAsia="黑体"/>
          <w:sz w:val="32"/>
          <w:szCs w:val="32"/>
        </w:rPr>
        <w:t>一、收</w:t>
      </w:r>
      <w:r>
        <w:rPr>
          <w:rStyle w:val="31"/>
          <w:rFonts w:hint="eastAsia" w:ascii="Times New Roman" w:hAnsi="Times New Roman" w:eastAsia="黑体"/>
          <w:b w:val="0"/>
        </w:rPr>
        <w:t>入支出决算总体情况说明</w:t>
      </w:r>
      <w:bookmarkEnd w:id="12"/>
      <w:bookmarkEnd w:id="13"/>
    </w:p>
    <w:p w14:paraId="5B033202">
      <w:pPr>
        <w:pStyle w:val="29"/>
        <w:spacing w:line="600" w:lineRule="exact"/>
        <w:ind w:firstLine="640"/>
        <w:jc w:val="left"/>
        <w:outlineLvl w:val="1"/>
        <w:rPr>
          <w:rFonts w:ascii="仿宋_GB2312" w:hAnsi="仿宋_GB2312"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2108.67万元。与上年度相比，收入、支出总计各增加178.59万元，增长9.3%。主要变动原因是项目及人员经费均有增加。</w:t>
      </w:r>
    </w:p>
    <w:p w14:paraId="56947CF9">
      <w:pPr>
        <w:rPr>
          <w:rFonts w:eastAsia="仿宋_GB2312" w:cs="仿宋_GB2312"/>
          <w:sz w:val="32"/>
          <w:szCs w:val="32"/>
        </w:rPr>
      </w:pPr>
      <w:r>
        <w:rPr>
          <w:rFonts w:hint="eastAsia" w:eastAsia="仿宋_GB2312" w:cs="仿宋_GB2312"/>
          <w:sz w:val="32"/>
          <w:szCs w:val="32"/>
        </w:rPr>
        <w:drawing>
          <wp:inline distT="0" distB="0" distL="114300" distR="114300">
            <wp:extent cx="5151755" cy="1939290"/>
            <wp:effectExtent l="0" t="0" r="10795" b="3810"/>
            <wp:docPr id="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hint="eastAsia" w:eastAsia="仿宋_GB2312" w:cs="仿宋_GB2312"/>
          <w:sz w:val="32"/>
          <w:szCs w:val="32"/>
        </w:rPr>
        <w:t xml:space="preserve">   （图1：收入、支出决算总计变动情况图）（柱状图）</w:t>
      </w:r>
    </w:p>
    <w:p w14:paraId="6D3CA103">
      <w:pPr>
        <w:ind w:firstLine="640" w:firstLineChars="200"/>
        <w:rPr>
          <w:rFonts w:eastAsia="黑体"/>
          <w:sz w:val="32"/>
          <w:szCs w:val="32"/>
        </w:rPr>
      </w:pPr>
      <w:bookmarkStart w:id="14" w:name="_Toc15377206"/>
      <w:bookmarkStart w:id="15" w:name="_Toc15396604"/>
    </w:p>
    <w:bookmarkEnd w:id="14"/>
    <w:bookmarkEnd w:id="15"/>
    <w:p w14:paraId="79B43332">
      <w:pPr>
        <w:pStyle w:val="29"/>
        <w:spacing w:line="600" w:lineRule="exact"/>
        <w:ind w:firstLine="640"/>
        <w:outlineLvl w:val="1"/>
        <w:rPr>
          <w:rFonts w:eastAsia="黑体"/>
          <w:sz w:val="32"/>
          <w:szCs w:val="32"/>
        </w:rPr>
      </w:pPr>
      <w:r>
        <w:rPr>
          <w:rFonts w:hint="eastAsia" w:eastAsia="黑体"/>
          <w:sz w:val="32"/>
          <w:szCs w:val="32"/>
        </w:rPr>
        <w:t>二、收入决算情况说明</w:t>
      </w:r>
    </w:p>
    <w:p w14:paraId="4892D37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2025年度本年收入合计2108.67万元，其中：一般公共预算财政拨款收入2108.67万元，占100%。</w:t>
      </w:r>
    </w:p>
    <w:p w14:paraId="2F8F0524">
      <w:pPr>
        <w:keepNext w:val="0"/>
        <w:keepLines w:val="0"/>
        <w:pageBreakBefore w:val="0"/>
        <w:widowControl w:val="0"/>
        <w:kinsoku/>
        <w:wordWrap/>
        <w:overflowPunct/>
        <w:topLinePunct w:val="0"/>
        <w:autoSpaceDE/>
        <w:autoSpaceDN/>
        <w:bidi w:val="0"/>
        <w:adjustRightInd/>
        <w:snapToGrid/>
        <w:jc w:val="left"/>
        <w:textAlignment w:val="auto"/>
        <w:rPr>
          <w:rFonts w:hint="eastAsia" w:eastAsia="仿宋_GB2312" w:cs="仿宋_GB2312"/>
          <w:sz w:val="32"/>
          <w:szCs w:val="32"/>
        </w:rPr>
      </w:pPr>
      <w:r>
        <w:rPr>
          <w:rFonts w:hint="eastAsia" w:eastAsia="仿宋_GB2312" w:cs="仿宋_GB2312"/>
          <w:sz w:val="32"/>
          <w:szCs w:val="32"/>
        </w:rPr>
        <w:drawing>
          <wp:inline distT="0" distB="0" distL="0" distR="0">
            <wp:extent cx="5210175" cy="2032000"/>
            <wp:effectExtent l="4445" t="4445" r="5080" b="2095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41A5AA">
      <w:pPr>
        <w:ind w:firstLine="1280" w:firstLineChars="400"/>
      </w:pPr>
      <w:r>
        <w:rPr>
          <w:rFonts w:hint="eastAsia" w:eastAsia="仿宋_GB2312" w:cs="仿宋_GB2312"/>
          <w:sz w:val="32"/>
          <w:szCs w:val="32"/>
        </w:rPr>
        <w:t>（图2：收入决算结构图）（饼状图）</w:t>
      </w:r>
    </w:p>
    <w:p w14:paraId="692167E4">
      <w:pPr>
        <w:pStyle w:val="29"/>
        <w:spacing w:line="600" w:lineRule="exact"/>
        <w:ind w:firstLine="640"/>
        <w:outlineLvl w:val="1"/>
        <w:rPr>
          <w:rStyle w:val="31"/>
          <w:rFonts w:ascii="Times New Roman" w:hAnsi="Times New Roman" w:eastAsia="黑体"/>
          <w:b w:val="0"/>
        </w:rPr>
      </w:pPr>
      <w:bookmarkStart w:id="16" w:name="_Toc15396605"/>
      <w:bookmarkStart w:id="17" w:name="_Toc15377207"/>
      <w:r>
        <w:rPr>
          <w:rFonts w:hint="eastAsia" w:eastAsia="黑体"/>
          <w:sz w:val="32"/>
          <w:szCs w:val="32"/>
        </w:rPr>
        <w:t>三、支</w:t>
      </w:r>
      <w:r>
        <w:rPr>
          <w:rStyle w:val="31"/>
          <w:rFonts w:hint="eastAsia" w:ascii="Times New Roman" w:hAnsi="Times New Roman" w:eastAsia="黑体"/>
          <w:b w:val="0"/>
        </w:rPr>
        <w:t>出决算情况说明</w:t>
      </w:r>
      <w:bookmarkEnd w:id="16"/>
      <w:bookmarkEnd w:id="17"/>
    </w:p>
    <w:p w14:paraId="37A403C4">
      <w:pPr>
        <w:pStyle w:val="29"/>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2108.67</w:t>
      </w:r>
      <w:r>
        <w:rPr>
          <w:rFonts w:hint="eastAsia" w:eastAsia="仿宋_GB2312" w:cs="仿宋_GB2312"/>
          <w:sz w:val="32"/>
          <w:szCs w:val="32"/>
        </w:rPr>
        <w:t>万元，其中：基本支出</w:t>
      </w:r>
      <w:r>
        <w:rPr>
          <w:rFonts w:hint="eastAsia" w:ascii="仿宋_GB2312" w:hAnsi="仿宋_GB2312" w:eastAsia="仿宋_GB2312" w:cs="仿宋_GB2312"/>
          <w:sz w:val="32"/>
          <w:szCs w:val="32"/>
        </w:rPr>
        <w:t>1097.56</w:t>
      </w:r>
      <w:r>
        <w:rPr>
          <w:rFonts w:hint="eastAsia" w:eastAsia="仿宋_GB2312" w:cs="仿宋_GB2312"/>
          <w:sz w:val="32"/>
          <w:szCs w:val="32"/>
        </w:rPr>
        <w:t>万元，占</w:t>
      </w:r>
      <w:r>
        <w:rPr>
          <w:rFonts w:hint="eastAsia" w:ascii="仿宋_GB2312" w:hAnsi="仿宋_GB2312" w:eastAsia="仿宋_GB2312" w:cs="仿宋_GB2312"/>
          <w:sz w:val="32"/>
          <w:szCs w:val="32"/>
        </w:rPr>
        <w:t>52</w:t>
      </w:r>
      <w:r>
        <w:rPr>
          <w:rFonts w:hint="eastAsia" w:eastAsia="仿宋_GB2312" w:cs="仿宋_GB2312"/>
          <w:sz w:val="32"/>
          <w:szCs w:val="32"/>
        </w:rPr>
        <w:t>%；项目支出</w:t>
      </w:r>
      <w:r>
        <w:rPr>
          <w:rFonts w:hint="eastAsia" w:ascii="仿宋_GB2312" w:hAnsi="仿宋_GB2312" w:eastAsia="仿宋_GB2312" w:cs="仿宋_GB2312"/>
          <w:sz w:val="32"/>
          <w:szCs w:val="32"/>
        </w:rPr>
        <w:t>1011.11</w:t>
      </w:r>
      <w:r>
        <w:rPr>
          <w:rFonts w:hint="eastAsia" w:eastAsia="仿宋_GB2312" w:cs="仿宋_GB2312"/>
          <w:sz w:val="32"/>
          <w:szCs w:val="32"/>
        </w:rPr>
        <w:t>万元，占</w:t>
      </w:r>
      <w:r>
        <w:rPr>
          <w:rFonts w:hint="eastAsia" w:ascii="仿宋_GB2312" w:hAnsi="仿宋_GB2312" w:eastAsia="仿宋_GB2312" w:cs="仿宋_GB2312"/>
          <w:sz w:val="32"/>
          <w:szCs w:val="32"/>
        </w:rPr>
        <w:t>48</w:t>
      </w:r>
      <w:r>
        <w:rPr>
          <w:rFonts w:hint="eastAsia" w:eastAsia="仿宋_GB2312" w:cs="仿宋_GB2312"/>
          <w:sz w:val="32"/>
          <w:szCs w:val="32"/>
        </w:rPr>
        <w:t>%。</w:t>
      </w:r>
    </w:p>
    <w:p w14:paraId="2BC37E1F">
      <w:pPr>
        <w:rPr>
          <w:rFonts w:eastAsia="仿宋_GB2312" w:cs="仿宋_GB2312"/>
          <w:sz w:val="32"/>
          <w:szCs w:val="32"/>
        </w:rPr>
      </w:pPr>
      <w:r>
        <w:rPr>
          <w:rFonts w:hint="eastAsia" w:eastAsia="仿宋_GB2312" w:cs="仿宋_GB2312"/>
          <w:sz w:val="32"/>
          <w:szCs w:val="32"/>
        </w:rPr>
        <w:drawing>
          <wp:inline distT="0" distB="0" distL="0" distR="0">
            <wp:extent cx="5266690" cy="2533015"/>
            <wp:effectExtent l="4445" t="4445" r="5715" b="15240"/>
            <wp:docPr id="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06E0C38">
      <w:pPr>
        <w:pStyle w:val="2"/>
        <w:jc w:val="center"/>
        <w:rPr>
          <w:rFonts w:eastAsia="仿宋_GB2312" w:cs="仿宋_GB2312"/>
          <w:sz w:val="32"/>
          <w:szCs w:val="32"/>
        </w:rPr>
      </w:pPr>
      <w:r>
        <w:rPr>
          <w:rFonts w:hint="eastAsia" w:eastAsia="仿宋_GB2312" w:cs="仿宋_GB2312"/>
          <w:sz w:val="32"/>
          <w:szCs w:val="32"/>
        </w:rPr>
        <w:t>（图3：支出决算结构图）（饼状图）</w:t>
      </w:r>
    </w:p>
    <w:p w14:paraId="78688388">
      <w:pPr>
        <w:pStyle w:val="3"/>
        <w:ind w:left="420"/>
      </w:pPr>
    </w:p>
    <w:p w14:paraId="4BA70BA9">
      <w:pPr>
        <w:spacing w:line="600" w:lineRule="exact"/>
        <w:ind w:firstLine="640" w:firstLineChars="200"/>
        <w:outlineLvl w:val="1"/>
        <w:rPr>
          <w:rStyle w:val="31"/>
          <w:rFonts w:ascii="Times New Roman" w:hAnsi="Times New Roman" w:eastAsia="黑体"/>
          <w:b w:val="0"/>
        </w:rPr>
      </w:pPr>
      <w:bookmarkStart w:id="18" w:name="_Toc15377208"/>
      <w:bookmarkStart w:id="19"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18"/>
      <w:bookmarkEnd w:id="19"/>
    </w:p>
    <w:p w14:paraId="0AFE7106">
      <w:pPr>
        <w:pStyle w:val="29"/>
        <w:spacing w:line="600" w:lineRule="exact"/>
        <w:ind w:firstLine="640"/>
        <w:outlineLvl w:val="1"/>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2108.67</w:t>
      </w:r>
      <w:r>
        <w:rPr>
          <w:rFonts w:hint="eastAsia" w:eastAsia="仿宋_GB2312" w:cs="仿宋_GB2312"/>
          <w:sz w:val="32"/>
          <w:szCs w:val="32"/>
        </w:rPr>
        <w:t>万元。与上年度相比，财政拨款收入、支出总计各增加</w:t>
      </w:r>
      <w:r>
        <w:rPr>
          <w:rFonts w:hint="eastAsia" w:ascii="仿宋_GB2312" w:hAnsi="仿宋_GB2312" w:eastAsia="仿宋_GB2312" w:cs="仿宋_GB2312"/>
          <w:sz w:val="32"/>
          <w:szCs w:val="32"/>
        </w:rPr>
        <w:t>178.59</w:t>
      </w:r>
      <w:r>
        <w:rPr>
          <w:rFonts w:hint="eastAsia" w:eastAsia="仿宋_GB2312" w:cs="仿宋_GB2312"/>
          <w:sz w:val="32"/>
          <w:szCs w:val="32"/>
        </w:rPr>
        <w:t>万元，</w:t>
      </w:r>
      <w:r>
        <w:rPr>
          <w:rFonts w:hint="eastAsia" w:ascii="仿宋_GB2312" w:hAnsi="仿宋_GB2312" w:eastAsia="仿宋_GB2312" w:cs="仿宋_GB2312"/>
          <w:sz w:val="32"/>
          <w:szCs w:val="32"/>
        </w:rPr>
        <w:t>增长9.3%。主要变动原因是项目及人员经费均有增加。</w:t>
      </w:r>
    </w:p>
    <w:p w14:paraId="61220485">
      <w:pPr>
        <w:pStyle w:val="3"/>
        <w:ind w:left="0" w:leftChars="0" w:firstLine="0" w:firstLineChars="0"/>
      </w:pPr>
      <w:r>
        <w:rPr>
          <w:rFonts w:hint="eastAsia" w:ascii="Times New Roman"/>
          <w:sz w:val="18"/>
          <w:szCs w:val="18"/>
        </w:rPr>
        <w:drawing>
          <wp:inline distT="0" distB="0" distL="114300" distR="114300">
            <wp:extent cx="5182235" cy="2590165"/>
            <wp:effectExtent l="0" t="0" r="18415" b="635"/>
            <wp:docPr id="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2482AE7">
      <w:pPr>
        <w:keepNext w:val="0"/>
        <w:keepLines w:val="0"/>
        <w:pageBreakBefore w:val="0"/>
        <w:widowControl w:val="0"/>
        <w:kinsoku/>
        <w:wordWrap/>
        <w:overflowPunct/>
        <w:topLinePunct w:val="0"/>
        <w:autoSpaceDE/>
        <w:autoSpaceDN/>
        <w:bidi w:val="0"/>
        <w:adjustRightInd/>
        <w:snapToGrid/>
        <w:spacing w:line="600" w:lineRule="exact"/>
        <w:ind w:firstLine="320" w:firstLineChars="100"/>
        <w:jc w:val="both"/>
        <w:textAlignment w:val="auto"/>
        <w:rPr>
          <w:rFonts w:eastAsia="仿宋_GB2312" w:cs="仿宋_GB2312"/>
          <w:sz w:val="32"/>
          <w:szCs w:val="32"/>
        </w:rPr>
      </w:pPr>
      <w:r>
        <w:rPr>
          <w:rFonts w:hint="eastAsia" w:eastAsia="仿宋_GB2312" w:cs="仿宋_GB2312"/>
          <w:sz w:val="32"/>
          <w:szCs w:val="32"/>
        </w:rPr>
        <w:t>（图4：财政拨款收、支决算总计变动情况）（柱状图）</w:t>
      </w:r>
    </w:p>
    <w:p w14:paraId="37EA42A0">
      <w:pPr>
        <w:spacing w:line="600" w:lineRule="exact"/>
        <w:ind w:firstLine="640" w:firstLineChars="200"/>
        <w:outlineLvl w:val="1"/>
        <w:rPr>
          <w:rStyle w:val="31"/>
          <w:rFonts w:ascii="Times New Roman" w:hAnsi="Times New Roman" w:eastAsia="黑体"/>
          <w:b w:val="0"/>
        </w:rPr>
      </w:pPr>
      <w:bookmarkStart w:id="20" w:name="_Toc15396607"/>
      <w:bookmarkStart w:id="21" w:name="_Toc15377209"/>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20"/>
      <w:bookmarkEnd w:id="21"/>
    </w:p>
    <w:p w14:paraId="4892D41C">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602F8ECA">
      <w:pPr>
        <w:pStyle w:val="29"/>
        <w:spacing w:line="600" w:lineRule="exact"/>
        <w:ind w:firstLine="640"/>
        <w:outlineLvl w:val="1"/>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2108.67</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%。与上年度相比，一般公共预算财政拨款支出增加</w:t>
      </w:r>
      <w:r>
        <w:rPr>
          <w:rFonts w:hint="eastAsia" w:ascii="仿宋_GB2312" w:hAnsi="仿宋_GB2312" w:eastAsia="仿宋_GB2312" w:cs="仿宋_GB2312"/>
          <w:sz w:val="32"/>
          <w:szCs w:val="32"/>
        </w:rPr>
        <w:t>178.59</w:t>
      </w:r>
      <w:r>
        <w:rPr>
          <w:rFonts w:hint="eastAsia" w:eastAsia="仿宋_GB2312" w:cs="仿宋_GB2312"/>
          <w:sz w:val="32"/>
          <w:szCs w:val="32"/>
        </w:rPr>
        <w:t>万元，</w:t>
      </w:r>
      <w:r>
        <w:rPr>
          <w:rFonts w:hint="eastAsia" w:ascii="仿宋_GB2312" w:hAnsi="仿宋_GB2312" w:eastAsia="仿宋_GB2312" w:cs="仿宋_GB2312"/>
          <w:sz w:val="32"/>
          <w:szCs w:val="32"/>
        </w:rPr>
        <w:t>主要变动原因是项目及人员经费均有增加。</w:t>
      </w:r>
    </w:p>
    <w:p w14:paraId="3C3581FB">
      <w:pPr>
        <w:pStyle w:val="3"/>
        <w:ind w:left="0" w:leftChars="0" w:firstLine="0" w:firstLineChars="0"/>
        <w:rPr>
          <w:rFonts w:hint="eastAsia" w:eastAsia="仿宋_GB2312" w:cs="仿宋_GB2312"/>
          <w:sz w:val="32"/>
          <w:szCs w:val="32"/>
        </w:rPr>
      </w:pPr>
      <w:r>
        <w:rPr>
          <w:rFonts w:hint="eastAsia"/>
        </w:rPr>
        <w:drawing>
          <wp:inline distT="0" distB="0" distL="114300" distR="114300">
            <wp:extent cx="5252085" cy="1787525"/>
            <wp:effectExtent l="0" t="0" r="5715" b="317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96C36B4">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13180B88">
      <w:pPr>
        <w:spacing w:line="600" w:lineRule="exact"/>
        <w:ind w:firstLine="640"/>
        <w:rPr>
          <w:rFonts w:eastAsia="仿宋_GB2312" w:cs="仿宋_GB2312"/>
          <w:sz w:val="32"/>
          <w:szCs w:val="32"/>
        </w:rPr>
      </w:pPr>
    </w:p>
    <w:p w14:paraId="62540F82">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61773AF2">
      <w:pPr>
        <w:spacing w:line="600" w:lineRule="exact"/>
        <w:ind w:firstLine="640"/>
        <w:rPr>
          <w:rFonts w:hint="eastAsia" w:ascii="仿宋_GB2312" w:hAnsi="仿宋_GB2312"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2108.67</w:t>
      </w:r>
      <w:r>
        <w:rPr>
          <w:rFonts w:hint="eastAsia" w:eastAsia="仿宋_GB2312" w:cs="仿宋_GB2312"/>
          <w:sz w:val="32"/>
          <w:szCs w:val="32"/>
        </w:rPr>
        <w:t>万元，主要用于以下方面：社会保障和就业支出</w:t>
      </w:r>
      <w:r>
        <w:rPr>
          <w:rFonts w:hint="eastAsia" w:ascii="仿宋_GB2312" w:hAnsi="仿宋_GB2312" w:eastAsia="仿宋_GB2312" w:cs="仿宋_GB2312"/>
          <w:sz w:val="32"/>
          <w:szCs w:val="32"/>
        </w:rPr>
        <w:t>262.89万元，占12.5%；卫生健康支出1776.95万元，占84.3%；住房保障支出68.83万元，占3.2%。</w:t>
      </w:r>
    </w:p>
    <w:p w14:paraId="5A297405">
      <w:pPr>
        <w:pStyle w:val="2"/>
        <w:rPr>
          <w:rFonts w:eastAsia="仿宋_GB2312" w:cs="仿宋_GB2312"/>
          <w:sz w:val="32"/>
          <w:szCs w:val="32"/>
        </w:rPr>
      </w:pPr>
      <w:r>
        <w:rPr>
          <w:rFonts w:hint="eastAsia"/>
        </w:rPr>
        <w:drawing>
          <wp:inline distT="0" distB="0" distL="0" distR="0">
            <wp:extent cx="5286375" cy="1739265"/>
            <wp:effectExtent l="4445" t="4445" r="5080" b="8890"/>
            <wp:docPr id="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hint="eastAsia" w:eastAsia="仿宋_GB2312" w:cs="仿宋_GB2312"/>
          <w:sz w:val="32"/>
          <w:szCs w:val="32"/>
        </w:rPr>
        <w:t>（图6：一般公共预算财政拨款支出决算结构）（饼状图）</w:t>
      </w:r>
    </w:p>
    <w:p w14:paraId="42176CB6">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543A85C5">
      <w:pPr>
        <w:spacing w:line="600" w:lineRule="exact"/>
        <w:ind w:firstLine="640"/>
        <w:rPr>
          <w:rFonts w:eastAsia="仿宋_GB2312" w:cs="仿宋_GB2312"/>
          <w:sz w:val="32"/>
          <w:szCs w:val="32"/>
        </w:rPr>
      </w:pPr>
      <w:bookmarkStart w:id="25" w:name="_Toc15378460"/>
      <w:bookmarkStart w:id="26" w:name="_Toc15377444"/>
      <w:bookmarkStart w:id="27" w:name="_Toc15377213"/>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2108.67</w:t>
      </w:r>
      <w:r>
        <w:rPr>
          <w:rFonts w:hint="eastAsia" w:eastAsia="仿宋_GB2312" w:cs="仿宋_GB2312"/>
          <w:sz w:val="32"/>
          <w:szCs w:val="32"/>
        </w:rPr>
        <w:t>，完成预算100%。其中：</w:t>
      </w:r>
      <w:bookmarkEnd w:id="25"/>
      <w:bookmarkEnd w:id="26"/>
      <w:bookmarkEnd w:id="27"/>
    </w:p>
    <w:p w14:paraId="75478556">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1.社会保障和就业支出（类）行政事业单位养老支出（款）机关事业单位基本养老保险缴费支出（项）：支出决算为91.9万元，完成预算100%，决算数等于预算数。</w:t>
      </w:r>
    </w:p>
    <w:p w14:paraId="00166A86">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2.社会保障和就业支出（类）行政事业单位养老支出（款）事业单位离退休（项）：支出决算为137.54万元，完成预算100%，决算数等于预算数。</w:t>
      </w:r>
    </w:p>
    <w:p w14:paraId="448DD6DC">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3.社会保障和就业支出（类）行政事业单位养老支出（款）机关事业单位职业年金缴费支出（项）：支出决算为25.4万元，完成预算100%，决算数等于预算数。</w:t>
      </w:r>
    </w:p>
    <w:p w14:paraId="329C8B33">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4.社会保障和就业支出（类）抚恤（款）死亡抚恤（项）：支出决算为5.99万元，完成预算100%，决算数等于预算数。</w:t>
      </w:r>
    </w:p>
    <w:p w14:paraId="4A5967AD">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5.社会保障和就业支出（类）人力资源和社会保障管理事务（款）其他人力资源和社会保障管理事务支出（项）：支出决算为2.07万元，完成预算100%，决算数等于预算数。</w:t>
      </w:r>
    </w:p>
    <w:p w14:paraId="3EC8CEE1">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6.卫生健康支出（类）公共卫生（款）采供血机构（项）:支出决算为1616.74万元，完成预算100%，决算数等于预算数。</w:t>
      </w:r>
    </w:p>
    <w:p w14:paraId="4E99850A">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.卫生健康支出（类）公共卫生（款）重大公共卫生服务（项）:支出决算为104.07万元，完成预算100%，决算数等于预算数。</w:t>
      </w:r>
    </w:p>
    <w:p w14:paraId="302D1BCD">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lang w:val="en-US" w:eastAsia="zh-CN"/>
        </w:rPr>
        <w:t>8</w:t>
      </w:r>
      <w:r>
        <w:rPr>
          <w:rFonts w:hint="eastAsia" w:ascii="仿宋_GB2312" w:eastAsia="仿宋_GB2312" w:cs="仿宋_GB2312"/>
          <w:sz w:val="32"/>
          <w:szCs w:val="32"/>
        </w:rPr>
        <w:t>.卫生健康支出（类）行政事业单位医疗（款）事业单</w:t>
      </w:r>
    </w:p>
    <w:p w14:paraId="56F91413">
      <w:pPr>
        <w:spacing w:line="600" w:lineRule="exact"/>
        <w:rPr>
          <w:rFonts w:ascii="仿宋_GB2312" w:eastAsia="仿宋_GB2312" w:cs="仿宋_GB2312"/>
          <w:sz w:val="32"/>
          <w:szCs w:val="32"/>
        </w:rPr>
      </w:pPr>
      <w:r>
        <w:rPr>
          <w:rFonts w:hint="eastAsia" w:ascii="仿宋_GB2312" w:eastAsia="仿宋_GB2312" w:cs="仿宋_GB2312"/>
          <w:sz w:val="32"/>
          <w:szCs w:val="32"/>
        </w:rPr>
        <w:t>位医疗（项）:支出决算为44.62万元，完成预算100%，决算数等于预算数。</w:t>
      </w:r>
    </w:p>
    <w:p w14:paraId="3188E50D">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lang w:val="en-US" w:eastAsia="zh-CN"/>
        </w:rPr>
        <w:t>9</w:t>
      </w:r>
      <w:r>
        <w:rPr>
          <w:rFonts w:hint="eastAsia" w:ascii="仿宋_GB2312" w:eastAsia="仿宋_GB2312" w:cs="仿宋_GB2312"/>
          <w:sz w:val="32"/>
          <w:szCs w:val="32"/>
        </w:rPr>
        <w:t>.卫生健康支出（类）行政事业单位医疗（款）公务员医疗补助（项）:支出决算为4.9万元，完成预算100%，决算数等于预算数。</w:t>
      </w:r>
    </w:p>
    <w:p w14:paraId="1771CBA6">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lang w:val="en-US" w:eastAsia="zh-CN"/>
        </w:rPr>
        <w:t>10.</w:t>
      </w:r>
      <w:r>
        <w:rPr>
          <w:rFonts w:hint="eastAsia" w:ascii="仿宋_GB2312" w:eastAsia="仿宋_GB2312" w:cs="仿宋_GB2312"/>
          <w:sz w:val="32"/>
          <w:szCs w:val="32"/>
        </w:rPr>
        <w:t>卫生健康支出（类）行政事业单位医疗（款）其他行政事业单位医疗支出（项）:支出决算为5.62万元，完成预算100%，决算数等于预算数。</w:t>
      </w:r>
    </w:p>
    <w:p w14:paraId="0E937861">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.卫生健康支出（类）其他卫生健康支出（款）其他卫生健康支出（项）:支出决算为1万元，完成预算100%，决算数等于预算数。</w:t>
      </w:r>
    </w:p>
    <w:p w14:paraId="31607450">
      <w:pPr>
        <w:spacing w:line="600" w:lineRule="exact"/>
        <w:ind w:firstLine="640"/>
        <w:rPr>
          <w:rFonts w:ascii="仿宋_GB2312" w:eastAsia="仿宋_GB2312" w:cs="仿宋_GB2312"/>
          <w:sz w:val="32"/>
          <w:szCs w:val="32"/>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2</w:t>
      </w:r>
      <w:r>
        <w:rPr>
          <w:rFonts w:hint="eastAsia" w:ascii="仿宋_GB2312" w:eastAsia="仿宋_GB2312" w:cs="仿宋_GB2312"/>
          <w:sz w:val="32"/>
          <w:szCs w:val="32"/>
        </w:rPr>
        <w:t>.住房保障支出（类）住房改革支出（款）住房公积金（项）：支出决算为68.83万元，完成预算100%，决算数等于预算数。</w:t>
      </w:r>
    </w:p>
    <w:p w14:paraId="3A1E7403">
      <w:pPr>
        <w:spacing w:line="600" w:lineRule="exact"/>
        <w:rPr>
          <w:rFonts w:eastAsia="仿宋_GB2312" w:cs="仿宋_GB2312"/>
          <w:sz w:val="32"/>
          <w:szCs w:val="32"/>
        </w:rPr>
      </w:pPr>
    </w:p>
    <w:p w14:paraId="654DE4D4">
      <w:pPr>
        <w:tabs>
          <w:tab w:val="right" w:pos="8306"/>
        </w:tabs>
        <w:spacing w:line="600" w:lineRule="exact"/>
        <w:ind w:firstLine="640"/>
        <w:outlineLvl w:val="1"/>
        <w:rPr>
          <w:rStyle w:val="31"/>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28"/>
      <w:bookmarkEnd w:id="29"/>
      <w:r>
        <w:rPr>
          <w:rStyle w:val="31"/>
          <w:rFonts w:ascii="Times New Roman" w:hAnsi="Times New Roman" w:eastAsia="黑体"/>
          <w:b w:val="0"/>
        </w:rPr>
        <w:tab/>
      </w:r>
    </w:p>
    <w:p w14:paraId="40329A8A">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1097.56</w:t>
      </w:r>
      <w:r>
        <w:rPr>
          <w:rFonts w:hint="eastAsia" w:eastAsia="仿宋_GB2312" w:cs="仿宋_GB2312"/>
          <w:sz w:val="32"/>
          <w:szCs w:val="32"/>
        </w:rPr>
        <w:t>万元，其中：</w:t>
      </w:r>
    </w:p>
    <w:p w14:paraId="786B6E52">
      <w:pPr>
        <w:spacing w:line="600" w:lineRule="exact"/>
        <w:ind w:firstLine="640"/>
        <w:rPr>
          <w:rFonts w:ascii="仿宋_GB2312" w:hAnsi="仿宋_GB2312"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1019.6</w:t>
      </w:r>
      <w:r>
        <w:rPr>
          <w:rFonts w:hint="eastAsia" w:eastAsia="仿宋_GB2312" w:cs="仿宋_GB2312"/>
          <w:sz w:val="32"/>
          <w:szCs w:val="32"/>
        </w:rPr>
        <w:t>万元，主要包括：</w:t>
      </w:r>
      <w:r>
        <w:rPr>
          <w:rFonts w:hint="eastAsia" w:ascii="仿宋_GB2312" w:hAnsi="仿宋_GB2312" w:eastAsia="仿宋_GB2312" w:cs="仿宋_GB2312"/>
          <w:sz w:val="32"/>
          <w:szCs w:val="32"/>
        </w:rPr>
        <w:t>基本工资235.17万元、津贴补贴22.94万元、奖金1.2万元、绩效工资365.33万元、机关事业单位基本养老保险缴费91.9万元、职业年金缴费25.4万元、职工基本医疗保险缴费44.62万元、公务员医疗补助缴费10.52万元、其他社会保障缴费4.59万元、住房公积金68.83万元、其他工资福利支出7.66万元、离休费18.39万元、抚恤金5.99万元、生活补助105.28万元、医疗费补助8.71万元、奖励金0.02万元、其他对个人和家庭的补助3.07万元。</w:t>
      </w:r>
      <w:r>
        <w:rPr>
          <w:rFonts w:hint="eastAsia" w:ascii="仿宋_GB2312" w:hAnsi="仿宋_GB2312"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77.96</w:t>
      </w:r>
      <w:r>
        <w:rPr>
          <w:rFonts w:hint="eastAsia" w:eastAsia="仿宋_GB2312" w:cs="仿宋_GB2312"/>
          <w:sz w:val="32"/>
          <w:szCs w:val="32"/>
        </w:rPr>
        <w:t>万元，主要包括：</w:t>
      </w:r>
      <w:r>
        <w:rPr>
          <w:rFonts w:hint="eastAsia" w:ascii="仿宋_GB2312" w:hAnsi="仿宋_GB2312" w:eastAsia="仿宋_GB2312" w:cs="仿宋_GB2312"/>
          <w:sz w:val="32"/>
          <w:szCs w:val="32"/>
        </w:rPr>
        <w:t>办公费3.93万元、水费1.6万元、电费6万元、邮电费6.05万元、差旅费19万元、委托业务费1.5万元、工会经费11.3万元、福利费7.39万元、公务用车运行维护费14.37万元、其他交通费0.6万元、其他商品和服务支出6.22万元。</w:t>
      </w:r>
    </w:p>
    <w:p w14:paraId="6E27807D">
      <w:pPr>
        <w:spacing w:line="600" w:lineRule="exact"/>
        <w:ind w:firstLine="640"/>
        <w:rPr>
          <w:rFonts w:eastAsia="仿宋_GB2312" w:cs="仿宋_GB2312"/>
          <w:sz w:val="32"/>
          <w:szCs w:val="32"/>
        </w:rPr>
      </w:pPr>
    </w:p>
    <w:p w14:paraId="52EEA988">
      <w:pPr>
        <w:spacing w:line="600" w:lineRule="exact"/>
        <w:ind w:firstLine="640"/>
        <w:outlineLvl w:val="1"/>
        <w:rPr>
          <w:rStyle w:val="31"/>
          <w:rFonts w:ascii="Times New Roman" w:hAnsi="Times New Roman" w:eastAsia="黑体"/>
          <w:b w:val="0"/>
        </w:rPr>
      </w:pPr>
      <w:bookmarkStart w:id="30" w:name="_Toc15396609"/>
      <w:bookmarkStart w:id="31" w:name="_Toc15377215"/>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30"/>
      <w:bookmarkEnd w:id="31"/>
    </w:p>
    <w:p w14:paraId="74785132">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（一）财政拨款“三公”经费支出决算总体情况说明</w:t>
      </w:r>
      <w:bookmarkEnd w:id="32"/>
    </w:p>
    <w:p w14:paraId="2337A0DC">
      <w:pPr>
        <w:spacing w:line="600" w:lineRule="exact"/>
        <w:ind w:firstLine="640"/>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14.37</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%，较上年度减少0.42万元，下降2.9%。决算数与预算数持平。</w:t>
      </w:r>
    </w:p>
    <w:p w14:paraId="1BFD652F">
      <w:pPr>
        <w:spacing w:line="600" w:lineRule="exact"/>
        <w:ind w:firstLine="640"/>
        <w:rPr>
          <w:rFonts w:eastAsia="仿宋_GB2312" w:cs="仿宋_GB2312"/>
          <w:sz w:val="32"/>
          <w:szCs w:val="32"/>
        </w:rPr>
      </w:pPr>
      <w:bookmarkStart w:id="33" w:name="_Toc15377217"/>
    </w:p>
    <w:p w14:paraId="0B876220">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（二）财政拨款“三公”经费支出决算具体情况说明</w:t>
      </w:r>
      <w:bookmarkEnd w:id="33"/>
    </w:p>
    <w:p w14:paraId="734B2F0D">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14.37</w:t>
      </w:r>
      <w:r>
        <w:rPr>
          <w:rFonts w:hint="eastAsia" w:eastAsia="仿宋_GB2312" w:cs="仿宋_GB2312"/>
          <w:sz w:val="32"/>
          <w:szCs w:val="32"/>
        </w:rPr>
        <w:t>万元，占100%；公务接待费支出决算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万元，占0%。具体情况如下：</w:t>
      </w:r>
    </w:p>
    <w:p w14:paraId="17AD8611">
      <w:pPr>
        <w:pStyle w:val="2"/>
      </w:pPr>
      <w:r>
        <w:rPr>
          <w:rFonts w:hint="eastAsia"/>
        </w:rPr>
        <w:drawing>
          <wp:inline distT="0" distB="0" distL="0" distR="0">
            <wp:extent cx="5210810" cy="2166620"/>
            <wp:effectExtent l="4445" t="4445" r="23495" b="19685"/>
            <wp:docPr id="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82094D4">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50E3CA7D">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w:t>
      </w:r>
    </w:p>
    <w:p w14:paraId="3C8BE20B">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14.37</w:t>
      </w:r>
      <w:r>
        <w:rPr>
          <w:rFonts w:hint="eastAsia" w:eastAsia="仿宋_GB2312" w:cs="仿宋_GB2312"/>
          <w:b/>
          <w:bCs/>
          <w:sz w:val="32"/>
          <w:szCs w:val="32"/>
        </w:rPr>
        <w:t>万元，完成预算100%。</w:t>
      </w:r>
      <w:r>
        <w:rPr>
          <w:rFonts w:hint="eastAsia" w:eastAsia="仿宋_GB2312" w:cs="仿宋_GB2312"/>
          <w:sz w:val="32"/>
          <w:szCs w:val="32"/>
        </w:rPr>
        <w:t>公务用车购置及运行维护费支出决算比上年度减少</w:t>
      </w:r>
      <w:r>
        <w:rPr>
          <w:rFonts w:hint="eastAsia" w:ascii="仿宋_GB2312" w:hAnsi="仿宋_GB2312" w:eastAsia="仿宋_GB2312" w:cs="仿宋_GB2312"/>
          <w:sz w:val="32"/>
          <w:szCs w:val="32"/>
        </w:rPr>
        <w:t>0.17万元，下降1.2%。</w:t>
      </w:r>
    </w:p>
    <w:p w14:paraId="01135DD6">
      <w:pPr>
        <w:spacing w:line="600" w:lineRule="exact"/>
        <w:ind w:firstLine="640"/>
        <w:rPr>
          <w:rFonts w:ascii="仿宋_GB2312" w:eastAsia="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万元。截至2025年12月31日，单位共有公务用车7辆，其中：</w:t>
      </w:r>
      <w:r>
        <w:rPr>
          <w:rFonts w:hint="eastAsia" w:ascii="仿宋_GB2312" w:eastAsia="仿宋_GB2312"/>
          <w:sz w:val="32"/>
          <w:szCs w:val="32"/>
        </w:rPr>
        <w:t>小型轿车1辆、小型普通客车2辆、小型专用客车1辆、大型非载货专项作业车2辆、轻型封闭式货车1辆 。</w:t>
      </w:r>
    </w:p>
    <w:p w14:paraId="0577FB56">
      <w:pPr>
        <w:spacing w:line="600" w:lineRule="exact"/>
        <w:ind w:firstLine="640"/>
        <w:rPr>
          <w:rFonts w:ascii="仿宋_GB2312" w:eastAsia="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14.37</w:t>
      </w:r>
      <w:r>
        <w:rPr>
          <w:rFonts w:hint="eastAsia" w:eastAsia="仿宋_GB2312" w:cs="仿宋_GB2312"/>
          <w:sz w:val="32"/>
          <w:szCs w:val="32"/>
        </w:rPr>
        <w:t>万元。</w:t>
      </w:r>
      <w:r>
        <w:rPr>
          <w:rFonts w:hint="eastAsia" w:ascii="仿宋_GB2312" w:eastAsia="仿宋_GB2312"/>
          <w:sz w:val="32"/>
          <w:szCs w:val="32"/>
        </w:rPr>
        <w:t>主要用于采供血工作等所需的公务用车燃料费、维修费、过路过桥费、保险费等支出。</w:t>
      </w:r>
    </w:p>
    <w:p w14:paraId="3B153CD4">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公务接待费支出决算比上年度减少0.25万元，下降100%。</w:t>
      </w:r>
    </w:p>
    <w:p w14:paraId="038EEE0B">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w:t>
      </w:r>
      <w:r>
        <w:rPr>
          <w:rFonts w:hint="eastAsia" w:eastAsia="仿宋_GB2312" w:cs="仿宋_GB2312"/>
          <w:sz w:val="32"/>
          <w:szCs w:val="32"/>
        </w:rPr>
        <w:t>万元，国内公务接待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w:t>
      </w:r>
    </w:p>
    <w:p w14:paraId="04AAC796">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w:t>
      </w:r>
    </w:p>
    <w:p w14:paraId="77064191">
      <w:pPr>
        <w:spacing w:line="600" w:lineRule="exact"/>
        <w:ind w:firstLine="640"/>
        <w:rPr>
          <w:rFonts w:eastAsia="仿宋_GB2312" w:cs="仿宋_GB2312"/>
          <w:sz w:val="32"/>
          <w:szCs w:val="32"/>
        </w:rPr>
      </w:pPr>
      <w:bookmarkStart w:id="34" w:name="_Toc15396610"/>
      <w:bookmarkStart w:id="35" w:name="_Toc15377218"/>
    </w:p>
    <w:p w14:paraId="027E22DB">
      <w:pPr>
        <w:spacing w:line="600" w:lineRule="exact"/>
        <w:ind w:firstLine="640"/>
        <w:outlineLvl w:val="1"/>
        <w:rPr>
          <w:rStyle w:val="31"/>
          <w:rFonts w:ascii="Times New Roman" w:hAnsi="Times New Roman" w:eastAsia="黑体"/>
        </w:rPr>
      </w:pPr>
      <w:r>
        <w:rPr>
          <w:rFonts w:hint="eastAsia" w:eastAsia="黑体"/>
          <w:sz w:val="32"/>
          <w:szCs w:val="32"/>
        </w:rPr>
        <w:t>八、</w:t>
      </w:r>
      <w:r>
        <w:rPr>
          <w:rStyle w:val="31"/>
          <w:rFonts w:hint="eastAsia" w:ascii="Times New Roman" w:hAnsi="Times New Roman" w:eastAsia="黑体"/>
          <w:b w:val="0"/>
        </w:rPr>
        <w:t>政府性基金预算支出决算情况说明</w:t>
      </w:r>
      <w:bookmarkEnd w:id="34"/>
      <w:bookmarkEnd w:id="35"/>
    </w:p>
    <w:p w14:paraId="0A742A12">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w:t>
      </w:r>
    </w:p>
    <w:p w14:paraId="766F7A95">
      <w:pPr>
        <w:spacing w:line="600" w:lineRule="exact"/>
        <w:ind w:firstLine="640"/>
        <w:outlineLvl w:val="1"/>
        <w:rPr>
          <w:rFonts w:eastAsia="黑体" w:cstheme="majorBidi"/>
          <w:b/>
          <w:bCs/>
          <w:sz w:val="32"/>
          <w:szCs w:val="32"/>
        </w:rPr>
      </w:pPr>
    </w:p>
    <w:p w14:paraId="059CBDCB">
      <w:pPr>
        <w:spacing w:line="600" w:lineRule="exact"/>
        <w:ind w:left="630"/>
        <w:outlineLvl w:val="1"/>
        <w:rPr>
          <w:rStyle w:val="31"/>
          <w:rFonts w:ascii="Times New Roman" w:hAnsi="Times New Roman" w:eastAsia="黑体"/>
          <w:b w:val="0"/>
        </w:rPr>
      </w:pPr>
      <w:bookmarkStart w:id="36" w:name="_Toc15396611"/>
      <w:bookmarkStart w:id="37" w:name="_Toc15377219"/>
      <w:r>
        <w:rPr>
          <w:rStyle w:val="31"/>
          <w:rFonts w:hint="eastAsia" w:ascii="Times New Roman" w:hAnsi="Times New Roman" w:eastAsia="黑体"/>
          <w:b w:val="0"/>
        </w:rPr>
        <w:t>九、国有资本经营预算支出决算情况说明</w:t>
      </w:r>
      <w:bookmarkEnd w:id="36"/>
      <w:bookmarkEnd w:id="37"/>
    </w:p>
    <w:p w14:paraId="71EF6E53">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w:t>
      </w:r>
    </w:p>
    <w:p w14:paraId="3AF616AE">
      <w:pPr>
        <w:spacing w:line="600" w:lineRule="exact"/>
        <w:ind w:firstLine="640"/>
        <w:rPr>
          <w:rFonts w:eastAsia="仿宋_GB2312" w:cs="仿宋_GB2312"/>
          <w:sz w:val="32"/>
          <w:szCs w:val="32"/>
        </w:rPr>
      </w:pPr>
    </w:p>
    <w:p w14:paraId="445C528B">
      <w:pPr>
        <w:spacing w:line="600" w:lineRule="exact"/>
        <w:ind w:left="630"/>
        <w:outlineLvl w:val="1"/>
        <w:rPr>
          <w:rStyle w:val="31"/>
          <w:rFonts w:ascii="Times New Roman" w:hAnsi="Times New Roman" w:eastAsia="黑体"/>
          <w:b w:val="0"/>
        </w:rPr>
      </w:pPr>
      <w:bookmarkStart w:id="38" w:name="_Toc15377221"/>
      <w:bookmarkStart w:id="39" w:name="_Toc15396612"/>
      <w:r>
        <w:rPr>
          <w:rStyle w:val="31"/>
          <w:rFonts w:hint="eastAsia" w:ascii="Times New Roman" w:hAnsi="Times New Roman" w:eastAsia="黑体"/>
          <w:b w:val="0"/>
        </w:rPr>
        <w:t>十、其他重要事项的情况说明</w:t>
      </w:r>
      <w:bookmarkEnd w:id="38"/>
      <w:bookmarkEnd w:id="39"/>
    </w:p>
    <w:p w14:paraId="7289F0E2">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6DB616EF">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攀枝花市中心血站</w:t>
      </w:r>
      <w:r>
        <w:rPr>
          <w:rFonts w:hint="eastAsia" w:eastAsia="仿宋_GB2312" w:cs="仿宋_GB2312"/>
          <w:sz w:val="32"/>
          <w:szCs w:val="32"/>
        </w:rPr>
        <w:t>机关运行经费支出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14:paraId="7E0CA05F">
      <w:pPr>
        <w:spacing w:line="600" w:lineRule="exact"/>
        <w:ind w:firstLine="640"/>
        <w:rPr>
          <w:rFonts w:eastAsia="仿宋_GB2312" w:cs="仿宋_GB2312"/>
          <w:sz w:val="32"/>
          <w:szCs w:val="32"/>
        </w:rPr>
      </w:pPr>
    </w:p>
    <w:p w14:paraId="357663DF">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3505EE58">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攀枝花市中心血站</w:t>
      </w:r>
      <w:r>
        <w:rPr>
          <w:rFonts w:hint="eastAsia" w:eastAsia="仿宋_GB2312" w:cs="仿宋_GB2312"/>
          <w:sz w:val="32"/>
          <w:szCs w:val="32"/>
        </w:rPr>
        <w:t>政府采购支出总额</w:t>
      </w:r>
      <w:r>
        <w:rPr>
          <w:rFonts w:hint="eastAsia" w:ascii="仿宋_GB2312" w:hAnsi="仿宋_GB2312" w:eastAsia="仿宋_GB2312" w:cs="仿宋_GB2312"/>
          <w:sz w:val="32"/>
          <w:szCs w:val="32"/>
        </w:rPr>
        <w:t>172.41</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158.75</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13.66</w:t>
      </w:r>
      <w:r>
        <w:rPr>
          <w:rFonts w:hint="eastAsia" w:eastAsia="仿宋_GB2312" w:cs="仿宋_GB2312"/>
          <w:sz w:val="32"/>
          <w:szCs w:val="32"/>
        </w:rPr>
        <w:t>万元。</w:t>
      </w:r>
      <w:r>
        <w:rPr>
          <w:rFonts w:hint="eastAsia" w:ascii="仿宋_GB2312" w:hAnsi="仿宋_GB2312" w:eastAsia="仿宋_GB2312" w:cs="仿宋_GB2312"/>
          <w:sz w:val="32"/>
          <w:szCs w:val="32"/>
        </w:rPr>
        <w:t>政府采购货物主要用于采供血试剂耗材，政府采购服务主要用于公务用车的保险、加油、维修和保养。</w:t>
      </w:r>
      <w:r>
        <w:rPr>
          <w:rFonts w:hint="eastAsia" w:eastAsia="仿宋_GB2312" w:cs="仿宋_GB2312"/>
          <w:sz w:val="32"/>
          <w:szCs w:val="32"/>
        </w:rPr>
        <w:t>授予中小企业合同金额</w:t>
      </w:r>
      <w:r>
        <w:rPr>
          <w:rFonts w:hint="eastAsia" w:ascii="仿宋_GB2312" w:hAnsi="仿宋_GB2312" w:eastAsia="仿宋_GB2312" w:cs="仿宋_GB2312"/>
          <w:sz w:val="32"/>
          <w:szCs w:val="32"/>
        </w:rPr>
        <w:t>154.75</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89.75</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154.75</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89.75</w:t>
      </w:r>
      <w:r>
        <w:rPr>
          <w:rFonts w:hint="eastAsia" w:eastAsia="仿宋_GB2312" w:cs="仿宋_GB2312"/>
          <w:sz w:val="32"/>
          <w:szCs w:val="32"/>
        </w:rPr>
        <w:t>%。</w:t>
      </w:r>
    </w:p>
    <w:p w14:paraId="14DE0FD4">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30D785E1">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攀枝花市中心血站</w:t>
      </w:r>
      <w:r>
        <w:rPr>
          <w:rFonts w:hint="eastAsia" w:eastAsia="仿宋_GB2312" w:cs="仿宋_GB2312"/>
          <w:sz w:val="32"/>
          <w:szCs w:val="32"/>
        </w:rPr>
        <w:t>共有车辆</w:t>
      </w:r>
      <w:r>
        <w:rPr>
          <w:rFonts w:hint="eastAsia" w:ascii="仿宋_GB2312" w:hAnsi="仿宋_GB2312" w:eastAsia="仿宋_GB2312" w:cs="仿宋_GB2312"/>
          <w:sz w:val="32"/>
          <w:szCs w:val="32"/>
        </w:rPr>
        <w:t>7</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6</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1</w:t>
      </w:r>
      <w:r>
        <w:rPr>
          <w:rFonts w:hint="eastAsia" w:eastAsia="仿宋_GB2312" w:cs="仿宋_GB2312"/>
          <w:sz w:val="32"/>
          <w:szCs w:val="32"/>
        </w:rPr>
        <w:t>辆，其他用车主要是用于公务出行。单价100万元（含）以上设备（不含车辆）</w:t>
      </w:r>
      <w:r>
        <w:rPr>
          <w:rFonts w:hint="eastAsia" w:ascii="仿宋_GB2312" w:hAnsi="仿宋_GB2312" w:eastAsia="仿宋_GB2312" w:cs="仿宋_GB2312"/>
          <w:sz w:val="32"/>
          <w:szCs w:val="32"/>
        </w:rPr>
        <w:t>7</w:t>
      </w:r>
      <w:r>
        <w:rPr>
          <w:rFonts w:hint="eastAsia" w:eastAsia="仿宋_GB2312" w:cs="仿宋_GB2312"/>
          <w:sz w:val="32"/>
          <w:szCs w:val="32"/>
        </w:rPr>
        <w:t>台（套）。</w:t>
      </w:r>
    </w:p>
    <w:p w14:paraId="2547D947">
      <w:pPr>
        <w:spacing w:line="600" w:lineRule="exact"/>
        <w:ind w:firstLine="640"/>
        <w:rPr>
          <w:rFonts w:eastAsia="仿宋_GB2312" w:cs="仿宋_GB2312"/>
          <w:sz w:val="32"/>
          <w:szCs w:val="32"/>
        </w:rPr>
      </w:pPr>
    </w:p>
    <w:p w14:paraId="5768B17D">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2912BBAC">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根据预算绩效管理要求，本单位在2025年度，组织对</w:t>
      </w:r>
      <w:r>
        <w:rPr>
          <w:rFonts w:hint="eastAsia" w:ascii="仿宋_GB2312" w:hAnsi="仿宋_GB2312" w:eastAsia="仿宋_GB2312" w:cs="仿宋_GB2312"/>
          <w:sz w:val="32"/>
          <w:szCs w:val="32"/>
        </w:rPr>
        <w:t>血站专项资金、</w:t>
      </w:r>
      <w:r>
        <w:rPr>
          <w:rFonts w:hint="eastAsia" w:eastAsia="仿宋_GB2312" w:cs="仿宋_GB2312"/>
          <w:sz w:val="32"/>
          <w:szCs w:val="32"/>
        </w:rPr>
        <w:t>艾滋病防治（专项）、市级研学旅游实践基地改造项目等3个项目涉及金额1011.11万元开展了事前绩效评估，对3个项目编制了绩效目标，预算执行过程中，选取3个项目开展绩效监控。</w:t>
      </w:r>
    </w:p>
    <w:p w14:paraId="4493063D">
      <w:pPr>
        <w:pStyle w:val="2"/>
        <w:rPr>
          <w:rFonts w:hint="eastAsia" w:eastAsia="仿宋_GB2312" w:cs="仿宋_GB2312"/>
          <w:sz w:val="32"/>
          <w:szCs w:val="32"/>
        </w:rPr>
      </w:pPr>
    </w:p>
    <w:p w14:paraId="288C7E68">
      <w:pPr>
        <w:pStyle w:val="3"/>
        <w:rPr>
          <w:rFonts w:hint="eastAsia" w:eastAsia="仿宋_GB2312" w:cs="仿宋_GB2312"/>
          <w:sz w:val="32"/>
          <w:szCs w:val="32"/>
        </w:rPr>
      </w:pPr>
    </w:p>
    <w:p w14:paraId="45437EB4">
      <w:pPr>
        <w:pStyle w:val="3"/>
        <w:rPr>
          <w:rFonts w:hint="eastAsia" w:eastAsia="仿宋_GB2312" w:cs="仿宋_GB2312"/>
          <w:sz w:val="32"/>
          <w:szCs w:val="32"/>
        </w:rPr>
      </w:pPr>
    </w:p>
    <w:p w14:paraId="2F64F832">
      <w:pPr>
        <w:pStyle w:val="3"/>
        <w:rPr>
          <w:rFonts w:hint="eastAsia" w:eastAsia="仿宋_GB2312" w:cs="仿宋_GB2312"/>
          <w:sz w:val="32"/>
          <w:szCs w:val="32"/>
        </w:rPr>
      </w:pPr>
    </w:p>
    <w:p w14:paraId="3BA7CC59">
      <w:pPr>
        <w:pStyle w:val="3"/>
        <w:rPr>
          <w:rFonts w:hint="eastAsia" w:eastAsia="仿宋_GB2312" w:cs="仿宋_GB2312"/>
          <w:sz w:val="32"/>
          <w:szCs w:val="32"/>
        </w:rPr>
      </w:pPr>
    </w:p>
    <w:p w14:paraId="0B56E6E1">
      <w:pPr>
        <w:pStyle w:val="3"/>
        <w:rPr>
          <w:rFonts w:hint="eastAsia" w:eastAsia="仿宋_GB2312" w:cs="仿宋_GB2312"/>
          <w:sz w:val="32"/>
          <w:szCs w:val="32"/>
        </w:rPr>
      </w:pPr>
    </w:p>
    <w:p w14:paraId="28C720E5">
      <w:pPr>
        <w:pStyle w:val="3"/>
        <w:rPr>
          <w:rFonts w:hint="eastAsia" w:eastAsia="仿宋_GB2312" w:cs="仿宋_GB2312"/>
          <w:sz w:val="32"/>
          <w:szCs w:val="32"/>
        </w:rPr>
      </w:pPr>
    </w:p>
    <w:p w14:paraId="60B82F6F">
      <w:pPr>
        <w:pStyle w:val="3"/>
        <w:rPr>
          <w:rFonts w:hint="eastAsia" w:eastAsia="仿宋_GB2312" w:cs="仿宋_GB2312"/>
          <w:sz w:val="32"/>
          <w:szCs w:val="32"/>
        </w:rPr>
      </w:pPr>
    </w:p>
    <w:p w14:paraId="737ED85E">
      <w:pPr>
        <w:pStyle w:val="3"/>
        <w:rPr>
          <w:rFonts w:hint="eastAsia" w:eastAsia="仿宋_GB2312" w:cs="仿宋_GB2312"/>
          <w:sz w:val="32"/>
          <w:szCs w:val="32"/>
        </w:rPr>
      </w:pPr>
    </w:p>
    <w:p w14:paraId="6DA61CF7">
      <w:pPr>
        <w:spacing w:line="600" w:lineRule="exact"/>
        <w:ind w:firstLine="640"/>
        <w:rPr>
          <w:rFonts w:eastAsia="仿宋_GB2312" w:cs="仿宋_GB2312"/>
          <w:sz w:val="32"/>
          <w:szCs w:val="32"/>
        </w:rPr>
      </w:pPr>
    </w:p>
    <w:p w14:paraId="28F7F6AA">
      <w:pPr>
        <w:spacing w:line="600" w:lineRule="exact"/>
        <w:jc w:val="center"/>
        <w:outlineLvl w:val="0"/>
        <w:rPr>
          <w:rFonts w:eastAsia="黑体"/>
          <w:sz w:val="44"/>
          <w:szCs w:val="44"/>
        </w:rPr>
      </w:pPr>
      <w:bookmarkStart w:id="43" w:name="_Toc15396613"/>
      <w:bookmarkStart w:id="44" w:name="_Toc15377225"/>
      <w:r>
        <w:rPr>
          <w:rFonts w:hint="eastAsia" w:eastAsia="黑体"/>
          <w:sz w:val="44"/>
          <w:szCs w:val="44"/>
        </w:rPr>
        <w:t>第三部分名词解释</w:t>
      </w:r>
      <w:bookmarkEnd w:id="43"/>
      <w:bookmarkEnd w:id="44"/>
    </w:p>
    <w:p w14:paraId="6229B0CC">
      <w:pPr>
        <w:spacing w:line="600" w:lineRule="exact"/>
        <w:jc w:val="left"/>
        <w:rPr>
          <w:b/>
          <w:sz w:val="44"/>
          <w:szCs w:val="44"/>
        </w:rPr>
      </w:pPr>
    </w:p>
    <w:p w14:paraId="18F0A248">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3009F540">
      <w:pPr>
        <w:spacing w:line="600" w:lineRule="exact"/>
        <w:ind w:firstLine="640"/>
        <w:rPr>
          <w:rFonts w:eastAsia="仿宋_GB2312" w:cs="仿宋_GB2312"/>
          <w:sz w:val="32"/>
          <w:szCs w:val="32"/>
        </w:rPr>
      </w:pPr>
      <w:r>
        <w:rPr>
          <w:rFonts w:hint="eastAsia" w:eastAsia="仿宋_GB2312" w:cs="仿宋_GB2312"/>
          <w:sz w:val="32"/>
          <w:szCs w:val="32"/>
        </w:rPr>
        <w:t>2.年初结转和结余：指以前年度尚未完成、结转到本年按有关规定继续使用的资金。</w:t>
      </w:r>
    </w:p>
    <w:p w14:paraId="49F4DA16">
      <w:pPr>
        <w:spacing w:line="600" w:lineRule="exact"/>
        <w:ind w:firstLine="640"/>
        <w:rPr>
          <w:rFonts w:eastAsia="仿宋_GB2312" w:cs="仿宋_GB2312"/>
          <w:sz w:val="32"/>
          <w:szCs w:val="32"/>
        </w:rPr>
      </w:pPr>
      <w:r>
        <w:rPr>
          <w:rFonts w:hint="eastAsia" w:eastAsia="仿宋_GB2312" w:cs="仿宋_GB2312"/>
          <w:sz w:val="32"/>
          <w:szCs w:val="32"/>
        </w:rPr>
        <w:t>3.社会保障和就业（类）人力资源和社会保障管理事务（款）其他人力资源和社会保障管理事务（项）:反映除上述项目以外其他用于人力资源和社会保障管理事务方面的支出。</w:t>
      </w:r>
    </w:p>
    <w:p w14:paraId="6140E88B">
      <w:pPr>
        <w:spacing w:line="600" w:lineRule="exact"/>
        <w:ind w:firstLine="640"/>
        <w:rPr>
          <w:rFonts w:eastAsia="仿宋_GB2312" w:cs="仿宋_GB2312"/>
          <w:sz w:val="32"/>
          <w:szCs w:val="32"/>
        </w:rPr>
      </w:pPr>
      <w:r>
        <w:rPr>
          <w:rFonts w:hint="eastAsia" w:eastAsia="仿宋_GB2312" w:cs="仿宋_GB2312"/>
          <w:sz w:val="32"/>
          <w:szCs w:val="32"/>
        </w:rPr>
        <w:t>4.社会保障和就业（类）行政事业单位养老支出（款）事业单位离退休（项）:反映事业单位开支的离退休经费。</w:t>
      </w:r>
    </w:p>
    <w:p w14:paraId="080C65C9">
      <w:pPr>
        <w:spacing w:line="600" w:lineRule="exact"/>
        <w:ind w:firstLine="640"/>
        <w:rPr>
          <w:rFonts w:eastAsia="仿宋_GB2312" w:cs="仿宋_GB2312"/>
          <w:sz w:val="32"/>
          <w:szCs w:val="32"/>
        </w:rPr>
      </w:pPr>
      <w:r>
        <w:rPr>
          <w:rFonts w:hint="eastAsia" w:eastAsia="仿宋_GB2312" w:cs="仿宋_GB2312"/>
          <w:sz w:val="32"/>
          <w:szCs w:val="32"/>
        </w:rPr>
        <w:t>5.社会保障和就业（类）行政事业单位养老支出（款）机关事业单位基本养老保险缴费支出（项）:反映机关事业单位实施养老保险制度由单位缴纳的基本养老保险费支出。</w:t>
      </w:r>
    </w:p>
    <w:p w14:paraId="3DDDE9DD">
      <w:pPr>
        <w:spacing w:line="600" w:lineRule="exact"/>
        <w:ind w:firstLine="640"/>
        <w:rPr>
          <w:rFonts w:eastAsia="仿宋_GB2312" w:cs="仿宋_GB2312"/>
          <w:sz w:val="32"/>
          <w:szCs w:val="32"/>
        </w:rPr>
      </w:pPr>
      <w:r>
        <w:rPr>
          <w:rFonts w:hint="eastAsia" w:eastAsia="仿宋_GB2312" w:cs="仿宋_GB2312"/>
          <w:sz w:val="32"/>
          <w:szCs w:val="32"/>
        </w:rPr>
        <w:t>6.卫生健康支出（类）公共卫生（款）采供血机构（项）:反映卫生健康部门所属采供血机构的支出。</w:t>
      </w:r>
    </w:p>
    <w:p w14:paraId="4D0B363C">
      <w:pPr>
        <w:spacing w:line="600" w:lineRule="exact"/>
        <w:ind w:firstLine="640"/>
        <w:rPr>
          <w:rFonts w:eastAsia="仿宋_GB2312" w:cs="仿宋_GB2312"/>
          <w:sz w:val="32"/>
          <w:szCs w:val="32"/>
        </w:rPr>
      </w:pPr>
      <w:r>
        <w:rPr>
          <w:rFonts w:hint="eastAsia" w:eastAsia="仿宋_GB2312" w:cs="仿宋_GB2312"/>
          <w:sz w:val="32"/>
          <w:szCs w:val="32"/>
        </w:rPr>
        <w:t>7.卫生健康支出（类）公共卫生（款）重大公共卫生服务（项）:反映重大公共卫生服务支出。</w:t>
      </w:r>
    </w:p>
    <w:p w14:paraId="43A36D38">
      <w:pPr>
        <w:spacing w:line="600" w:lineRule="exact"/>
        <w:ind w:firstLine="640"/>
        <w:rPr>
          <w:rFonts w:eastAsia="仿宋_GB2312" w:cs="仿宋_GB2312"/>
          <w:sz w:val="32"/>
          <w:szCs w:val="32"/>
        </w:rPr>
      </w:pPr>
      <w:r>
        <w:rPr>
          <w:rFonts w:hint="eastAsia" w:eastAsia="仿宋_GB2312" w:cs="仿宋_GB2312"/>
          <w:sz w:val="32"/>
          <w:szCs w:val="32"/>
        </w:rPr>
        <w:t>8.住房保障支出（类）住房改革支出（款）住房公积金（项）：反映行政事业单位按人力资源和社会保障部、财政部规定的基本工资和津贴补贴以及规定比例为职工缴纳的住房公积金。</w:t>
      </w:r>
    </w:p>
    <w:p w14:paraId="31352DED">
      <w:pPr>
        <w:spacing w:line="600" w:lineRule="exact"/>
        <w:ind w:firstLine="640"/>
        <w:rPr>
          <w:rFonts w:eastAsia="仿宋_GB2312" w:cs="仿宋_GB2312"/>
          <w:sz w:val="32"/>
          <w:szCs w:val="32"/>
        </w:rPr>
      </w:pPr>
      <w:r>
        <w:rPr>
          <w:rFonts w:hint="eastAsia" w:eastAsia="仿宋_GB2312" w:cs="仿宋_GB2312"/>
          <w:sz w:val="32"/>
          <w:szCs w:val="32"/>
        </w:rPr>
        <w:t>9.基本支出：指为保障机构正常运转、完成日常工作任务而发生的人员支出和公用支出。</w:t>
      </w:r>
    </w:p>
    <w:p w14:paraId="34403DD7">
      <w:pPr>
        <w:spacing w:line="600" w:lineRule="exact"/>
        <w:ind w:firstLine="640"/>
        <w:rPr>
          <w:rFonts w:eastAsia="仿宋_GB2312" w:cs="仿宋_GB2312"/>
          <w:sz w:val="32"/>
          <w:szCs w:val="32"/>
        </w:rPr>
      </w:pPr>
      <w:r>
        <w:rPr>
          <w:rFonts w:hint="eastAsia" w:eastAsia="仿宋_GB2312" w:cs="仿宋_GB2312"/>
          <w:sz w:val="32"/>
          <w:szCs w:val="32"/>
        </w:rPr>
        <w:t>10.项目支出：指在基本支出之外为完成特定行政任务和事业发展目标所发生的支出。</w:t>
      </w:r>
    </w:p>
    <w:p w14:paraId="4184CB05">
      <w:pPr>
        <w:spacing w:line="600" w:lineRule="exact"/>
        <w:ind w:firstLine="640"/>
        <w:rPr>
          <w:rFonts w:eastAsia="仿宋_GB2312" w:cs="仿宋_GB2312"/>
          <w:sz w:val="32"/>
          <w:szCs w:val="32"/>
        </w:rPr>
      </w:pPr>
      <w:r>
        <w:rPr>
          <w:rFonts w:hint="eastAsia" w:eastAsia="仿宋_GB2312" w:cs="仿宋_GB2312"/>
          <w:sz w:val="32"/>
          <w:szCs w:val="32"/>
        </w:rPr>
        <w:t>11.“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F55C56">
      <w:pPr>
        <w:spacing w:line="600" w:lineRule="exact"/>
        <w:ind w:firstLine="640"/>
        <w:rPr>
          <w:rFonts w:eastAsia="仿宋_GB2312" w:cs="仿宋_GB2312"/>
          <w:sz w:val="32"/>
          <w:szCs w:val="32"/>
        </w:rPr>
        <w:sectPr>
          <w:footerReference r:id="rId11" w:type="first"/>
          <w:footerReference r:id="rId10" w:type="default"/>
          <w:pgSz w:w="11906" w:h="16838"/>
          <w:pgMar w:top="1440" w:right="1797" w:bottom="1440" w:left="1797" w:header="851" w:footer="992" w:gutter="0"/>
          <w:pgNumType w:fmt="decimal"/>
          <w:cols w:space="425" w:num="1"/>
          <w:docGrid w:linePitch="312" w:charSpace="0"/>
        </w:sectPr>
      </w:pPr>
      <w:r>
        <w:rPr>
          <w:rFonts w:hint="eastAsia" w:eastAsia="仿宋_GB2312" w:cs="仿宋_GB2312"/>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DD7FE7">
      <w:pPr>
        <w:spacing w:line="600" w:lineRule="exact"/>
        <w:rPr>
          <w:rStyle w:val="30"/>
          <w:rFonts w:eastAsia="黑体"/>
          <w:b w:val="0"/>
        </w:rPr>
      </w:pPr>
      <w:bookmarkStart w:id="45" w:name="_Toc15396614"/>
      <w:bookmarkStart w:id="46" w:name="_Toc15377226"/>
      <w:r>
        <w:rPr>
          <w:rFonts w:hint="eastAsia" w:eastAsia="黑体"/>
          <w:sz w:val="44"/>
          <w:szCs w:val="44"/>
        </w:rPr>
        <w:t>第四部分 附件</w:t>
      </w:r>
      <w:bookmarkEnd w:id="45"/>
    </w:p>
    <w:p w14:paraId="3006B7FD">
      <w:pPr>
        <w:spacing w:line="572" w:lineRule="exact"/>
        <w:jc w:val="left"/>
        <w:outlineLvl w:val="0"/>
        <w:rPr>
          <w:rFonts w:eastAsia="黑体" w:cs="黑体"/>
          <w:color w:val="FF0000"/>
          <w:sz w:val="32"/>
          <w:szCs w:val="32"/>
        </w:rPr>
      </w:pPr>
    </w:p>
    <w:p w14:paraId="7CB6EA67">
      <w:pPr>
        <w:pStyle w:val="3"/>
        <w:spacing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14:paraId="77DB4FC0">
      <w:pPr>
        <w:pStyle w:val="3"/>
        <w:spacing w:line="560" w:lineRule="exact"/>
        <w:ind w:left="0" w:leftChars="0" w:firstLine="640"/>
        <w:rPr>
          <w:rFonts w:ascii="Times New Roman" w:eastAsia="仿宋_GB2312" w:cs="仿宋_GB2312"/>
          <w:kern w:val="0"/>
          <w:sz w:val="32"/>
          <w:lang w:val="zh-CN"/>
        </w:rPr>
      </w:pPr>
    </w:p>
    <w:p w14:paraId="21791FF1">
      <w:pPr>
        <w:pStyle w:val="3"/>
        <w:spacing w:line="560" w:lineRule="exact"/>
        <w:ind w:left="0" w:leftChars="0" w:firstLine="0" w:firstLineChars="0"/>
        <w:rPr>
          <w:rFonts w:ascii="Times New Roman"/>
          <w:sz w:val="32"/>
          <w:highlight w:val="yellow"/>
          <w:lang w:val="zh-CN"/>
        </w:rPr>
      </w:pPr>
    </w:p>
    <w:p w14:paraId="0D0F19A2">
      <w:pPr>
        <w:pStyle w:val="8"/>
        <w:spacing w:before="93"/>
        <w:rPr>
          <w:rFonts w:ascii="Times New Roman" w:cs="宋体"/>
          <w:color w:val="FF0000"/>
          <w:sz w:val="32"/>
          <w:szCs w:val="32"/>
          <w:highlight w:val="yellow"/>
          <w:shd w:val="clear" w:color="auto" w:fill="FFFFFF"/>
          <w:lang w:val="zh-CN"/>
        </w:rPr>
      </w:pPr>
    </w:p>
    <w:p w14:paraId="048F5994">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1C23FFA2">
      <w:pPr>
        <w:widowControl/>
        <w:jc w:val="center"/>
        <w:rPr>
          <w:rFonts w:eastAsia="仿宋"/>
        </w:rPr>
      </w:pPr>
      <w:bookmarkStart w:id="47" w:name="_Toc15396618"/>
      <w:r>
        <w:rPr>
          <w:rFonts w:hint="eastAsia" w:eastAsia="黑体"/>
          <w:sz w:val="44"/>
          <w:szCs w:val="44"/>
        </w:rPr>
        <w:t>第</w:t>
      </w:r>
      <w:r>
        <w:rPr>
          <w:rStyle w:val="30"/>
          <w:rFonts w:hint="eastAsia" w:eastAsia="黑体"/>
          <w:b w:val="0"/>
        </w:rPr>
        <w:t>五部分 附表</w:t>
      </w:r>
      <w:bookmarkEnd w:id="46"/>
      <w:bookmarkEnd w:id="47"/>
      <w:bookmarkStart w:id="48" w:name="_Toc15396619"/>
    </w:p>
    <w:p w14:paraId="27C6BE86">
      <w:pPr>
        <w:pStyle w:val="15"/>
        <w:adjustRightInd w:val="0"/>
        <w:snapToGrid w:val="0"/>
        <w:spacing w:line="560" w:lineRule="exact"/>
        <w:jc w:val="left"/>
        <w:rPr>
          <w:rFonts w:eastAsia="仿宋_GB2312" w:cs="仿宋_GB2312"/>
          <w:sz w:val="32"/>
          <w:szCs w:val="32"/>
        </w:rPr>
      </w:pPr>
    </w:p>
    <w:p w14:paraId="7484A24D">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14:paraId="76254965">
      <w:pPr>
        <w:pStyle w:val="15"/>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14:paraId="5053D535">
      <w:pPr>
        <w:pStyle w:val="15"/>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14:paraId="42BC56C1">
      <w:pPr>
        <w:pStyle w:val="15"/>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14:paraId="56E853BD">
      <w:pPr>
        <w:pStyle w:val="15"/>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14:paraId="4D5159DD">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14:paraId="028F2977">
      <w:pPr>
        <w:pStyle w:val="15"/>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14:paraId="3B2E0C75">
      <w:pPr>
        <w:pStyle w:val="15"/>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14:paraId="7C7C7580">
      <w:pPr>
        <w:pStyle w:val="15"/>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14:paraId="780DDAF5">
      <w:pPr>
        <w:pStyle w:val="15"/>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14:paraId="681CB511">
      <w:pPr>
        <w:pStyle w:val="15"/>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14:paraId="32B2EB03">
      <w:pPr>
        <w:pStyle w:val="15"/>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14:paraId="51954B91">
      <w:pPr>
        <w:pStyle w:val="15"/>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14:paraId="73D19776"/>
    <w:p w14:paraId="4B0D9253"/>
    <w:sectPr>
      <w:headerReference r:id="rId13" w:type="first"/>
      <w:footerReference r:id="rId15" w:type="first"/>
      <w:headerReference r:id="rId12" w:type="default"/>
      <w:footerReference r:id="rId14" w:type="default"/>
      <w:pgSz w:w="11906" w:h="16838"/>
      <w:pgMar w:top="1440" w:right="1797" w:bottom="1440" w:left="1797" w:header="851" w:footer="992" w:gutter="0"/>
      <w:pgNumType w:fmt="decimal"/>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Arial Unicode MS">
    <w:altName w:val="Arial"/>
    <w:panose1 w:val="020B0604020202020204"/>
    <w:charset w:val="86"/>
    <w:family w:val="auto"/>
    <w:pitch w:val="default"/>
    <w:sig w:usb0="00000000" w:usb1="00000000" w:usb2="0000003F" w:usb3="00000000" w:csb0="603F01FF" w:csb1="FFFF0000"/>
  </w:font>
  <w:font w:name="Arial">
    <w:panose1 w:val="020B0604020202020204"/>
    <w:charset w:val="00"/>
    <w:family w:val="auto"/>
    <w:pitch w:val="default"/>
    <w:sig w:usb0="00007A87" w:usb1="80000000" w:usb2="00000008" w:usb3="00000000" w:csb0="400001FF" w:csb1="FFFF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1FB0C">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D0B8F">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E445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71503">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877150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EE71">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404495" cy="15494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404495" cy="1549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5DBE9">
                          <w:pPr>
                            <w:pStyle w:val="12"/>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0</w:t>
                          </w:r>
                          <w:r>
                            <w:rPr>
                              <w:rFonts w:hint="default" w:ascii="Times New Roman" w:hAnsi="Times New Roman" w:eastAsia="宋体"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2.2pt;width:31.85pt;mso-position-horizontal:center;mso-position-horizontal-relative:margin;z-index:251664384;mso-width-relative:page;mso-height-relative:page;" filled="f" stroked="f" coordsize="21600,21600" o:gfxdata="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f56FvTAAAAAwEAAA8AAAAAAAAAAQAgAAAAIgAAAGRycy9kb3ducmV2Lnht&#10;bFBLAQIUABQAAAAIAIdO4kCHLy5HNwIAAGMEAAAOAAAAAAAAAAEAIAAAACIBAABkcnMvZTJvRG9j&#10;LnhtbFBLBQYAAAAABgAGAFkBAADLBQAAAAA=&#10;">
              <v:fill on="f" focussize="0,0"/>
              <v:stroke on="f" weight="0.5pt"/>
              <v:imagedata o:title=""/>
              <o:lock v:ext="edit" aspectratio="f"/>
              <v:textbox inset="0mm,0mm,0mm,0mm">
                <w:txbxContent>
                  <w:p w14:paraId="07F5DBE9">
                    <w:pPr>
                      <w:pStyle w:val="12"/>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  \* MERGEFORMAT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0</w:t>
                    </w:r>
                    <w:r>
                      <w:rPr>
                        <w:rFonts w:hint="default" w:ascii="Times New Roman" w:hAnsi="Times New Roman" w:eastAsia="宋体" w:cs="Times New Roman"/>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F1EC9">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AABEB">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17AABEB">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0F7AB">
    <w:pPr>
      <w:pStyle w:val="12"/>
      <w:jc w:val="both"/>
      <w:rPr>
        <w:rFonts w:hint="eastAsia" w:ascii="宋体" w:hAnsi="宋体" w:eastAsia="宋体" w:cs="宋体"/>
      </w:rPr>
    </w:pPr>
    <w:r>
      <w:rPr>
        <w:rFonts w:hint="default" w:ascii="Times New Roman" w:hAnsi="Times New Roman" w:eastAsia="宋体" w:cs="Times New Roman"/>
        <w:sz w:val="18"/>
      </w:rPr>
      <mc:AlternateContent>
        <mc:Choice Requires="wps">
          <w:drawing>
            <wp:anchor distT="0" distB="0" distL="114300" distR="114300" simplePos="0" relativeHeight="251662336" behindDoc="0" locked="0" layoutInCell="1" allowOverlap="1">
              <wp:simplePos x="0" y="0"/>
              <wp:positionH relativeFrom="margin">
                <wp:posOffset>2512060</wp:posOffset>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B39B8">
                          <w:pPr>
                            <w:pStyle w:val="12"/>
                            <w:rPr>
                              <w:rFonts w:hint="eastAsia" w:ascii="方正小标宋_GBK" w:hAnsi="方正小标宋_GBK" w:eastAsia="方正小标宋_GBK" w:cs="方正小标宋_GBK"/>
                              <w:sz w:val="21"/>
                              <w:szCs w:val="21"/>
                            </w:rPr>
                          </w:pPr>
                          <w:r>
                            <w:rPr>
                              <w:rFonts w:hint="default" w:ascii="Times New Roman" w:hAnsi="Times New Roman" w:eastAsia="方正小标宋_GBK" w:cs="Times New Roman"/>
                              <w:sz w:val="21"/>
                              <w:szCs w:val="21"/>
                            </w:rPr>
                            <w:fldChar w:fldCharType="begin"/>
                          </w:r>
                          <w:r>
                            <w:rPr>
                              <w:rFonts w:hint="default" w:ascii="Times New Roman" w:hAnsi="Times New Roman" w:eastAsia="方正小标宋_GBK" w:cs="Times New Roman"/>
                              <w:sz w:val="21"/>
                              <w:szCs w:val="21"/>
                            </w:rPr>
                            <w:instrText xml:space="preserve"> PAGE  \* MERGEFORMAT </w:instrText>
                          </w:r>
                          <w:r>
                            <w:rPr>
                              <w:rFonts w:hint="default" w:ascii="Times New Roman" w:hAnsi="Times New Roman" w:eastAsia="方正小标宋_GBK" w:cs="Times New Roman"/>
                              <w:sz w:val="21"/>
                              <w:szCs w:val="21"/>
                            </w:rPr>
                            <w:fldChar w:fldCharType="separate"/>
                          </w:r>
                          <w:r>
                            <w:rPr>
                              <w:rFonts w:hint="default" w:ascii="Times New Roman" w:hAnsi="Times New Roman" w:eastAsia="方正小标宋_GBK" w:cs="Times New Roman"/>
                              <w:sz w:val="21"/>
                              <w:szCs w:val="21"/>
                            </w:rPr>
                            <w:t>3</w:t>
                          </w:r>
                          <w:r>
                            <w:rPr>
                              <w:rFonts w:hint="default" w:ascii="Times New Roman" w:hAnsi="Times New Roman" w:eastAsia="方正小标宋_GBK"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7.8pt;margin-top:0pt;height:144pt;width:144pt;mso-position-horizontal-relative:margin;mso-wrap-style:none;z-index:251662336;mso-width-relative:page;mso-height-relative:page;" filled="f" stroked="f" coordsize="21600,21600" o:gfxdata="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bymiHVAAAACAEAAA8AAAAAAAAAAQAgAAAAIgAAAGRycy9kb3ducmV2LnhtbFBL&#10;AQIUABQAAAAIAIdO4kAuVmZ+MgIAAGMEAAAOAAAAAAAAAAEAIAAAACQBAABkcnMvZTJvRG9jLnht&#10;bFBLBQYAAAAABgAGAFkBAADIBQAAAAA=&#10;">
              <v:fill on="f" focussize="0,0"/>
              <v:stroke on="f" weight="0.5pt"/>
              <v:imagedata o:title=""/>
              <o:lock v:ext="edit" aspectratio="f"/>
              <v:textbox inset="0mm,0mm,0mm,0mm" style="mso-fit-shape-to-text:t;">
                <w:txbxContent>
                  <w:p w14:paraId="19AB39B8">
                    <w:pPr>
                      <w:pStyle w:val="12"/>
                      <w:rPr>
                        <w:rFonts w:hint="eastAsia" w:ascii="方正小标宋_GBK" w:hAnsi="方正小标宋_GBK" w:eastAsia="方正小标宋_GBK" w:cs="方正小标宋_GBK"/>
                        <w:sz w:val="21"/>
                        <w:szCs w:val="21"/>
                      </w:rPr>
                    </w:pPr>
                    <w:r>
                      <w:rPr>
                        <w:rFonts w:hint="default" w:ascii="Times New Roman" w:hAnsi="Times New Roman" w:eastAsia="方正小标宋_GBK" w:cs="Times New Roman"/>
                        <w:sz w:val="21"/>
                        <w:szCs w:val="21"/>
                      </w:rPr>
                      <w:fldChar w:fldCharType="begin"/>
                    </w:r>
                    <w:r>
                      <w:rPr>
                        <w:rFonts w:hint="default" w:ascii="Times New Roman" w:hAnsi="Times New Roman" w:eastAsia="方正小标宋_GBK" w:cs="Times New Roman"/>
                        <w:sz w:val="21"/>
                        <w:szCs w:val="21"/>
                      </w:rPr>
                      <w:instrText xml:space="preserve"> PAGE  \* MERGEFORMAT </w:instrText>
                    </w:r>
                    <w:r>
                      <w:rPr>
                        <w:rFonts w:hint="default" w:ascii="Times New Roman" w:hAnsi="Times New Roman" w:eastAsia="方正小标宋_GBK" w:cs="Times New Roman"/>
                        <w:sz w:val="21"/>
                        <w:szCs w:val="21"/>
                      </w:rPr>
                      <w:fldChar w:fldCharType="separate"/>
                    </w:r>
                    <w:r>
                      <w:rPr>
                        <w:rFonts w:hint="default" w:ascii="Times New Roman" w:hAnsi="Times New Roman" w:eastAsia="方正小标宋_GBK" w:cs="Times New Roman"/>
                        <w:sz w:val="21"/>
                        <w:szCs w:val="21"/>
                      </w:rPr>
                      <w:t>3</w:t>
                    </w:r>
                    <w:r>
                      <w:rPr>
                        <w:rFonts w:hint="default" w:ascii="Times New Roman" w:hAnsi="Times New Roman" w:eastAsia="方正小标宋_GBK" w:cs="Times New Roman"/>
                        <w:sz w:val="21"/>
                        <w:szCs w:val="21"/>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42A7">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7BE0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97BE0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5E7F8">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2368550</wp:posOffset>
              </wp:positionH>
              <wp:positionV relativeFrom="paragraph">
                <wp:posOffset>-19050</wp:posOffset>
              </wp:positionV>
              <wp:extent cx="522605" cy="3498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522605" cy="3498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108"/>
                            <w:docPartObj>
                              <w:docPartGallery w:val="autotext"/>
                            </w:docPartObj>
                          </w:sdtPr>
                          <w:sdtEndPr>
                            <w:rPr>
                              <w:rFonts w:hint="default" w:ascii="Times New Roman" w:hAnsi="Times New Roman" w:cs="Times New Roman"/>
                              <w:lang w:val="en-US"/>
                            </w:rPr>
                          </w:sdtEndPr>
                          <w:sdtContent>
                            <w:p w14:paraId="0CA8E066">
                              <w:pPr>
                                <w:pStyle w:val="12"/>
                                <w:jc w:val="center"/>
                                <w:rPr>
                                  <w:rFonts w:hint="default" w:ascii="Times New Roman" w:hAnsi="Times New Roman" w:cs="Times New Roman"/>
                                  <w:lang w:val="en-US"/>
                                </w:rPr>
                              </w:pPr>
                              <w:r>
                                <w:rPr>
                                  <w:rFonts w:hint="eastAsia" w:ascii="Times New Roman" w:hAnsi="Times New Roman" w:cs="Times New Roman"/>
                                  <w:sz w:val="21"/>
                                  <w:lang w:val="en-US" w:eastAsia="zh-CN"/>
                                </w:rPr>
                                <w:t>17</w:t>
                              </w:r>
                            </w:p>
                          </w:sdtContent>
                        </w:sdt>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86.5pt;margin-top:-1.5pt;height:27.55pt;width:41.15pt;mso-position-horizontal-relative:margin;z-index:251660288;mso-width-relative:page;mso-height-relative:page;" filled="f" stroked="f" coordsize="21600,21600" o:gfxdata="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MtmyMnYAAAACQEAAA8AAAAAAAAAAQAgAAAAIgAAAGRycy9kb3du&#10;cmV2LnhtbFBLAQIUABQAAAAIAIdO4kDhn4R/OAIAAGEEAAAOAAAAAAAAAAEAIAAAACcBAABkcnMv&#10;ZTJvRG9jLnhtbFBLBQYAAAAABgAGAFkBAADRBQAAAAA=&#10;">
              <v:fill on="f" focussize="0,0"/>
              <v:stroke on="f" weight="0.5pt"/>
              <v:imagedata o:title=""/>
              <o:lock v:ext="edit" aspectratio="f"/>
              <v:textbox inset="0mm,0mm,0mm,0mm">
                <w:txbxContent>
                  <w:sdt>
                    <w:sdtPr>
                      <w:id w:val="147461108"/>
                      <w:docPartObj>
                        <w:docPartGallery w:val="autotext"/>
                      </w:docPartObj>
                    </w:sdtPr>
                    <w:sdtEndPr>
                      <w:rPr>
                        <w:rFonts w:hint="default" w:ascii="Times New Roman" w:hAnsi="Times New Roman" w:cs="Times New Roman"/>
                        <w:lang w:val="en-US"/>
                      </w:rPr>
                    </w:sdtEndPr>
                    <w:sdtContent>
                      <w:p w14:paraId="0CA8E066">
                        <w:pPr>
                          <w:pStyle w:val="12"/>
                          <w:jc w:val="center"/>
                          <w:rPr>
                            <w:rFonts w:hint="default" w:ascii="Times New Roman" w:hAnsi="Times New Roman" w:cs="Times New Roman"/>
                            <w:lang w:val="en-US"/>
                          </w:rPr>
                        </w:pPr>
                        <w:r>
                          <w:rPr>
                            <w:rFonts w:hint="eastAsia" w:ascii="Times New Roman" w:hAnsi="Times New Roman" w:cs="Times New Roman"/>
                            <w:sz w:val="21"/>
                            <w:lang w:val="en-US" w:eastAsia="zh-CN"/>
                          </w:rPr>
                          <w:t>17</w:t>
                        </w:r>
                      </w:p>
                    </w:sdtContent>
                  </w:sdt>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B9D9">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posOffset>2488565</wp:posOffset>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3612"/>
                            <w:docPartObj>
                              <w:docPartGallery w:val="autotext"/>
                            </w:docPartObj>
                          </w:sdtPr>
                          <w:sdtContent>
                            <w:p w14:paraId="7E3A1562">
                              <w:pPr>
                                <w:pStyle w:val="12"/>
                                <w:jc w:val="center"/>
                              </w:pPr>
                              <w:r>
                                <w:rPr>
                                  <w:rFonts w:hint="default" w:ascii="Times New Roman" w:hAnsi="Times New Roman" w:cs="Times New Roman"/>
                                  <w:sz w:val="21"/>
                                  <w:szCs w:val="21"/>
                                  <w:lang w:val="en-US" w:eastAsia="zh-CN"/>
                                </w:rPr>
                                <w:t>16</w:t>
                              </w:r>
                            </w:p>
                          </w:sdtContent>
                        </w:sdt>
                        <w:p w14:paraId="3039FC47">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5.95pt;margin-top:0pt;height:144pt;width:144pt;mso-position-horizontal-relative:margin;mso-wrap-style:none;z-index:251661312;mso-width-relative:page;mso-height-relative:page;" filled="f" stroked="f" coordsize="21600,21600" o:gfxdata="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bMdPtUAAAAIAQAADwAAAAAAAAABACAAAAAiAAAAZHJzL2Rvd25yZXYueG1sUEsB&#10;AhQAFAAAAAgAh07iQKmor5UxAgAAYwQAAA4AAAAAAAAAAQAgAAAAJAEAAGRycy9lMm9Eb2MueG1s&#10;UEsFBgAAAAAGAAYAWQEAAMcFAAAAAA==&#10;">
              <v:fill on="f" focussize="0,0"/>
              <v:stroke on="f" weight="0.5pt"/>
              <v:imagedata o:title=""/>
              <o:lock v:ext="edit" aspectratio="f"/>
              <v:textbox inset="0mm,0mm,0mm,0mm" style="mso-fit-shape-to-text:t;">
                <w:txbxContent>
                  <w:sdt>
                    <w:sdtPr>
                      <w:id w:val="147453612"/>
                      <w:docPartObj>
                        <w:docPartGallery w:val="autotext"/>
                      </w:docPartObj>
                    </w:sdtPr>
                    <w:sdtContent>
                      <w:p w14:paraId="7E3A1562">
                        <w:pPr>
                          <w:pStyle w:val="12"/>
                          <w:jc w:val="center"/>
                        </w:pPr>
                        <w:r>
                          <w:rPr>
                            <w:rFonts w:hint="default" w:ascii="Times New Roman" w:hAnsi="Times New Roman" w:cs="Times New Roman"/>
                            <w:sz w:val="21"/>
                            <w:szCs w:val="21"/>
                            <w:lang w:val="en-US" w:eastAsia="zh-CN"/>
                          </w:rPr>
                          <w:t>16</w:t>
                        </w:r>
                      </w:p>
                    </w:sdtContent>
                  </w:sdt>
                  <w:p w14:paraId="3039FC47">
                    <w:pPr>
                      <w:pStyle w:val="2"/>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AD150">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18B6">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DB257">
    <w:pPr>
      <w:pStyle w:val="1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DF30E">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854EBC"/>
    <w:multiLevelType w:val="multilevel"/>
    <w:tmpl w:val="2E854EBC"/>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373C6"/>
    <w:rsid w:val="000453AD"/>
    <w:rsid w:val="000468DB"/>
    <w:rsid w:val="0006487A"/>
    <w:rsid w:val="00065F8F"/>
    <w:rsid w:val="00070A43"/>
    <w:rsid w:val="000768F2"/>
    <w:rsid w:val="00084B72"/>
    <w:rsid w:val="0009184B"/>
    <w:rsid w:val="00094236"/>
    <w:rsid w:val="0009593C"/>
    <w:rsid w:val="00097322"/>
    <w:rsid w:val="000A6A92"/>
    <w:rsid w:val="000B047F"/>
    <w:rsid w:val="000B5923"/>
    <w:rsid w:val="000B5A48"/>
    <w:rsid w:val="000B6FF3"/>
    <w:rsid w:val="000C3467"/>
    <w:rsid w:val="000C3CA6"/>
    <w:rsid w:val="000C7C3B"/>
    <w:rsid w:val="000D1267"/>
    <w:rsid w:val="000D17A7"/>
    <w:rsid w:val="000D1D50"/>
    <w:rsid w:val="000D5782"/>
    <w:rsid w:val="000E6613"/>
    <w:rsid w:val="000E7119"/>
    <w:rsid w:val="0010433B"/>
    <w:rsid w:val="00114E9B"/>
    <w:rsid w:val="00130A07"/>
    <w:rsid w:val="00142216"/>
    <w:rsid w:val="00144D6A"/>
    <w:rsid w:val="0014729F"/>
    <w:rsid w:val="00157BAB"/>
    <w:rsid w:val="001654D1"/>
    <w:rsid w:val="00174518"/>
    <w:rsid w:val="001754B0"/>
    <w:rsid w:val="0018106D"/>
    <w:rsid w:val="001877A7"/>
    <w:rsid w:val="00191536"/>
    <w:rsid w:val="00196687"/>
    <w:rsid w:val="001B7DE0"/>
    <w:rsid w:val="001C0962"/>
    <w:rsid w:val="001D7531"/>
    <w:rsid w:val="001E737D"/>
    <w:rsid w:val="001F0592"/>
    <w:rsid w:val="001F7480"/>
    <w:rsid w:val="001F7506"/>
    <w:rsid w:val="002006CD"/>
    <w:rsid w:val="00202B36"/>
    <w:rsid w:val="00204B7A"/>
    <w:rsid w:val="00204CDE"/>
    <w:rsid w:val="0021101A"/>
    <w:rsid w:val="00220536"/>
    <w:rsid w:val="00233D48"/>
    <w:rsid w:val="00234FCE"/>
    <w:rsid w:val="00235629"/>
    <w:rsid w:val="00260C38"/>
    <w:rsid w:val="002616C0"/>
    <w:rsid w:val="00265372"/>
    <w:rsid w:val="002662AA"/>
    <w:rsid w:val="0027784E"/>
    <w:rsid w:val="00280496"/>
    <w:rsid w:val="00294DC9"/>
    <w:rsid w:val="00295495"/>
    <w:rsid w:val="002A2688"/>
    <w:rsid w:val="002A31DE"/>
    <w:rsid w:val="002B2613"/>
    <w:rsid w:val="002D1AF3"/>
    <w:rsid w:val="002D6D05"/>
    <w:rsid w:val="002F1818"/>
    <w:rsid w:val="002F2797"/>
    <w:rsid w:val="002F567B"/>
    <w:rsid w:val="003216A9"/>
    <w:rsid w:val="00335A74"/>
    <w:rsid w:val="00353EA0"/>
    <w:rsid w:val="0036561B"/>
    <w:rsid w:val="0037013F"/>
    <w:rsid w:val="00380C92"/>
    <w:rsid w:val="003A484F"/>
    <w:rsid w:val="003A4883"/>
    <w:rsid w:val="003A4C70"/>
    <w:rsid w:val="003B0BE0"/>
    <w:rsid w:val="003B0C1B"/>
    <w:rsid w:val="003B688C"/>
    <w:rsid w:val="003C019D"/>
    <w:rsid w:val="003C0291"/>
    <w:rsid w:val="003C39AE"/>
    <w:rsid w:val="003C7B60"/>
    <w:rsid w:val="003D0C0F"/>
    <w:rsid w:val="003D1FB2"/>
    <w:rsid w:val="003D66DA"/>
    <w:rsid w:val="003E1310"/>
    <w:rsid w:val="003E6F55"/>
    <w:rsid w:val="003F44D0"/>
    <w:rsid w:val="00406254"/>
    <w:rsid w:val="004223DE"/>
    <w:rsid w:val="00434489"/>
    <w:rsid w:val="00437085"/>
    <w:rsid w:val="00443880"/>
    <w:rsid w:val="004464F4"/>
    <w:rsid w:val="004549D2"/>
    <w:rsid w:val="0046102A"/>
    <w:rsid w:val="00471401"/>
    <w:rsid w:val="00473F31"/>
    <w:rsid w:val="00481C88"/>
    <w:rsid w:val="0048263A"/>
    <w:rsid w:val="004856AE"/>
    <w:rsid w:val="00487E5D"/>
    <w:rsid w:val="00495B9E"/>
    <w:rsid w:val="004A711F"/>
    <w:rsid w:val="004B199D"/>
    <w:rsid w:val="004B4690"/>
    <w:rsid w:val="004E0A2D"/>
    <w:rsid w:val="004E206B"/>
    <w:rsid w:val="004E6DF7"/>
    <w:rsid w:val="004F0FBD"/>
    <w:rsid w:val="00505A47"/>
    <w:rsid w:val="00512FDA"/>
    <w:rsid w:val="00520DA0"/>
    <w:rsid w:val="00560F86"/>
    <w:rsid w:val="005664BB"/>
    <w:rsid w:val="00566FFA"/>
    <w:rsid w:val="0057481D"/>
    <w:rsid w:val="0058486E"/>
    <w:rsid w:val="00585B33"/>
    <w:rsid w:val="0059014D"/>
    <w:rsid w:val="005B5C64"/>
    <w:rsid w:val="005C5337"/>
    <w:rsid w:val="005C6BD0"/>
    <w:rsid w:val="005D1C21"/>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1481"/>
    <w:rsid w:val="006440E4"/>
    <w:rsid w:val="0066343B"/>
    <w:rsid w:val="00664777"/>
    <w:rsid w:val="006748A4"/>
    <w:rsid w:val="00681A31"/>
    <w:rsid w:val="00683E73"/>
    <w:rsid w:val="006A3141"/>
    <w:rsid w:val="006A5E34"/>
    <w:rsid w:val="006B2422"/>
    <w:rsid w:val="006B2B9A"/>
    <w:rsid w:val="006B7A91"/>
    <w:rsid w:val="006C1937"/>
    <w:rsid w:val="006F01AB"/>
    <w:rsid w:val="006F020C"/>
    <w:rsid w:val="007127B7"/>
    <w:rsid w:val="00714D04"/>
    <w:rsid w:val="0071798E"/>
    <w:rsid w:val="007252A3"/>
    <w:rsid w:val="0073622E"/>
    <w:rsid w:val="007416B6"/>
    <w:rsid w:val="00746F48"/>
    <w:rsid w:val="0075404D"/>
    <w:rsid w:val="0076182A"/>
    <w:rsid w:val="00767B7E"/>
    <w:rsid w:val="007770C3"/>
    <w:rsid w:val="00784D24"/>
    <w:rsid w:val="00785FBA"/>
    <w:rsid w:val="00786E4A"/>
    <w:rsid w:val="007875EB"/>
    <w:rsid w:val="0079130F"/>
    <w:rsid w:val="0079426B"/>
    <w:rsid w:val="007D1682"/>
    <w:rsid w:val="007D312A"/>
    <w:rsid w:val="007D3F19"/>
    <w:rsid w:val="007E23B0"/>
    <w:rsid w:val="007E23E5"/>
    <w:rsid w:val="007F1991"/>
    <w:rsid w:val="007F2C2F"/>
    <w:rsid w:val="007F55FC"/>
    <w:rsid w:val="007F5665"/>
    <w:rsid w:val="00800112"/>
    <w:rsid w:val="00810AA0"/>
    <w:rsid w:val="00813348"/>
    <w:rsid w:val="008253BB"/>
    <w:rsid w:val="0083706E"/>
    <w:rsid w:val="008408F6"/>
    <w:rsid w:val="008423A5"/>
    <w:rsid w:val="00850625"/>
    <w:rsid w:val="00853718"/>
    <w:rsid w:val="00854E1C"/>
    <w:rsid w:val="00855221"/>
    <w:rsid w:val="00860645"/>
    <w:rsid w:val="00864EC1"/>
    <w:rsid w:val="00871F71"/>
    <w:rsid w:val="00872FD8"/>
    <w:rsid w:val="00885AF4"/>
    <w:rsid w:val="008939CD"/>
    <w:rsid w:val="00897F10"/>
    <w:rsid w:val="008B768C"/>
    <w:rsid w:val="008C4DB1"/>
    <w:rsid w:val="008C4EAF"/>
    <w:rsid w:val="008C5176"/>
    <w:rsid w:val="008C7FD0"/>
    <w:rsid w:val="008E1DE7"/>
    <w:rsid w:val="008E6965"/>
    <w:rsid w:val="008E707C"/>
    <w:rsid w:val="00900B08"/>
    <w:rsid w:val="00902155"/>
    <w:rsid w:val="00902FA3"/>
    <w:rsid w:val="00923564"/>
    <w:rsid w:val="0092392E"/>
    <w:rsid w:val="00923976"/>
    <w:rsid w:val="009315F9"/>
    <w:rsid w:val="00933499"/>
    <w:rsid w:val="00935C98"/>
    <w:rsid w:val="009414EC"/>
    <w:rsid w:val="00946945"/>
    <w:rsid w:val="00951248"/>
    <w:rsid w:val="0095152F"/>
    <w:rsid w:val="00954C49"/>
    <w:rsid w:val="00955E37"/>
    <w:rsid w:val="0097099F"/>
    <w:rsid w:val="00971997"/>
    <w:rsid w:val="00971FFC"/>
    <w:rsid w:val="00975A98"/>
    <w:rsid w:val="0098660A"/>
    <w:rsid w:val="009931C3"/>
    <w:rsid w:val="009B135C"/>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49E0"/>
    <w:rsid w:val="00A268C4"/>
    <w:rsid w:val="00A307CD"/>
    <w:rsid w:val="00A331C8"/>
    <w:rsid w:val="00A40A00"/>
    <w:rsid w:val="00A4142F"/>
    <w:rsid w:val="00A422EB"/>
    <w:rsid w:val="00A44874"/>
    <w:rsid w:val="00A45BB7"/>
    <w:rsid w:val="00A56DF2"/>
    <w:rsid w:val="00A56E6E"/>
    <w:rsid w:val="00A60F58"/>
    <w:rsid w:val="00A67AB5"/>
    <w:rsid w:val="00A733B2"/>
    <w:rsid w:val="00A741C2"/>
    <w:rsid w:val="00A8528E"/>
    <w:rsid w:val="00A91760"/>
    <w:rsid w:val="00A93B00"/>
    <w:rsid w:val="00A93C21"/>
    <w:rsid w:val="00A95158"/>
    <w:rsid w:val="00AA3001"/>
    <w:rsid w:val="00AB64C9"/>
    <w:rsid w:val="00AC3C6A"/>
    <w:rsid w:val="00AC452B"/>
    <w:rsid w:val="00AD5620"/>
    <w:rsid w:val="00AD656B"/>
    <w:rsid w:val="00AD7C1B"/>
    <w:rsid w:val="00AE16BA"/>
    <w:rsid w:val="00AE1EBE"/>
    <w:rsid w:val="00B03C9D"/>
    <w:rsid w:val="00B060AE"/>
    <w:rsid w:val="00B10517"/>
    <w:rsid w:val="00B11320"/>
    <w:rsid w:val="00B14E76"/>
    <w:rsid w:val="00B161B8"/>
    <w:rsid w:val="00B2048C"/>
    <w:rsid w:val="00B310B9"/>
    <w:rsid w:val="00B34907"/>
    <w:rsid w:val="00B35F3F"/>
    <w:rsid w:val="00B36CBB"/>
    <w:rsid w:val="00B425E0"/>
    <w:rsid w:val="00B440AA"/>
    <w:rsid w:val="00B44B70"/>
    <w:rsid w:val="00B53C56"/>
    <w:rsid w:val="00B57DAF"/>
    <w:rsid w:val="00B66C6D"/>
    <w:rsid w:val="00B77EA6"/>
    <w:rsid w:val="00B81598"/>
    <w:rsid w:val="00B841F1"/>
    <w:rsid w:val="00B944D6"/>
    <w:rsid w:val="00BB4DF0"/>
    <w:rsid w:val="00BB76CA"/>
    <w:rsid w:val="00BC289F"/>
    <w:rsid w:val="00BC2D50"/>
    <w:rsid w:val="00BC5361"/>
    <w:rsid w:val="00BC5460"/>
    <w:rsid w:val="00BC6B50"/>
    <w:rsid w:val="00BD0E25"/>
    <w:rsid w:val="00BE3156"/>
    <w:rsid w:val="00BF5BD6"/>
    <w:rsid w:val="00C03E31"/>
    <w:rsid w:val="00C15DC1"/>
    <w:rsid w:val="00C33E72"/>
    <w:rsid w:val="00C354B2"/>
    <w:rsid w:val="00C35554"/>
    <w:rsid w:val="00C415EA"/>
    <w:rsid w:val="00C42709"/>
    <w:rsid w:val="00C533CC"/>
    <w:rsid w:val="00C5751C"/>
    <w:rsid w:val="00C61BFC"/>
    <w:rsid w:val="00C62B85"/>
    <w:rsid w:val="00C65438"/>
    <w:rsid w:val="00C8543F"/>
    <w:rsid w:val="00C87FD8"/>
    <w:rsid w:val="00C91381"/>
    <w:rsid w:val="00C91CBB"/>
    <w:rsid w:val="00C956F8"/>
    <w:rsid w:val="00CB4E70"/>
    <w:rsid w:val="00CC09B6"/>
    <w:rsid w:val="00CC666F"/>
    <w:rsid w:val="00CD1E3F"/>
    <w:rsid w:val="00CE44F6"/>
    <w:rsid w:val="00CE49DA"/>
    <w:rsid w:val="00CE7B61"/>
    <w:rsid w:val="00CF147E"/>
    <w:rsid w:val="00D00095"/>
    <w:rsid w:val="00D114F0"/>
    <w:rsid w:val="00D20620"/>
    <w:rsid w:val="00D254F7"/>
    <w:rsid w:val="00D26091"/>
    <w:rsid w:val="00D2685C"/>
    <w:rsid w:val="00D34E7C"/>
    <w:rsid w:val="00D35489"/>
    <w:rsid w:val="00D36AFE"/>
    <w:rsid w:val="00D51276"/>
    <w:rsid w:val="00D7035F"/>
    <w:rsid w:val="00D75A8E"/>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91C98"/>
    <w:rsid w:val="00E96137"/>
    <w:rsid w:val="00EA010F"/>
    <w:rsid w:val="00ED1B63"/>
    <w:rsid w:val="00ED3C1F"/>
    <w:rsid w:val="00ED4085"/>
    <w:rsid w:val="00ED420E"/>
    <w:rsid w:val="00ED6FBE"/>
    <w:rsid w:val="00EE2F57"/>
    <w:rsid w:val="00EF4C34"/>
    <w:rsid w:val="00EF77C6"/>
    <w:rsid w:val="00F03A8D"/>
    <w:rsid w:val="00F05438"/>
    <w:rsid w:val="00F1361C"/>
    <w:rsid w:val="00F156F0"/>
    <w:rsid w:val="00F160C7"/>
    <w:rsid w:val="00F17B3B"/>
    <w:rsid w:val="00F2408F"/>
    <w:rsid w:val="00F240E9"/>
    <w:rsid w:val="00F36D8F"/>
    <w:rsid w:val="00F417B1"/>
    <w:rsid w:val="00F45853"/>
    <w:rsid w:val="00F579C4"/>
    <w:rsid w:val="00F602DF"/>
    <w:rsid w:val="00F754A1"/>
    <w:rsid w:val="00F81FD9"/>
    <w:rsid w:val="00F83480"/>
    <w:rsid w:val="00F841AA"/>
    <w:rsid w:val="00F84A94"/>
    <w:rsid w:val="00F87E96"/>
    <w:rsid w:val="00FA23E8"/>
    <w:rsid w:val="00FD3CC1"/>
    <w:rsid w:val="00FD6F9A"/>
    <w:rsid w:val="00FF1E02"/>
    <w:rsid w:val="00FF30B4"/>
    <w:rsid w:val="012A5EC2"/>
    <w:rsid w:val="015975B8"/>
    <w:rsid w:val="01D152A8"/>
    <w:rsid w:val="02FEBE30"/>
    <w:rsid w:val="031B3B28"/>
    <w:rsid w:val="04916F1E"/>
    <w:rsid w:val="05EB4BE0"/>
    <w:rsid w:val="061E35DE"/>
    <w:rsid w:val="066E0107"/>
    <w:rsid w:val="07996F6E"/>
    <w:rsid w:val="07DFD8BA"/>
    <w:rsid w:val="09867E8F"/>
    <w:rsid w:val="0A2032A3"/>
    <w:rsid w:val="0A283A4C"/>
    <w:rsid w:val="0CA8290A"/>
    <w:rsid w:val="0D35B1ED"/>
    <w:rsid w:val="0E254B6B"/>
    <w:rsid w:val="0E547045"/>
    <w:rsid w:val="0F98263C"/>
    <w:rsid w:val="101860EC"/>
    <w:rsid w:val="101F47CC"/>
    <w:rsid w:val="10C055FF"/>
    <w:rsid w:val="11694EBD"/>
    <w:rsid w:val="11772AA4"/>
    <w:rsid w:val="118107EC"/>
    <w:rsid w:val="12E24EE2"/>
    <w:rsid w:val="131643F0"/>
    <w:rsid w:val="13D50BC4"/>
    <w:rsid w:val="14B17F78"/>
    <w:rsid w:val="14B922F8"/>
    <w:rsid w:val="157955E3"/>
    <w:rsid w:val="165E0673"/>
    <w:rsid w:val="16761AB0"/>
    <w:rsid w:val="16B831D5"/>
    <w:rsid w:val="16BB723D"/>
    <w:rsid w:val="17E50567"/>
    <w:rsid w:val="186504BB"/>
    <w:rsid w:val="18FE477D"/>
    <w:rsid w:val="19A445FC"/>
    <w:rsid w:val="1A357256"/>
    <w:rsid w:val="1BB95FD2"/>
    <w:rsid w:val="1BE8440E"/>
    <w:rsid w:val="1D155CEE"/>
    <w:rsid w:val="1D1638FE"/>
    <w:rsid w:val="1E312DEB"/>
    <w:rsid w:val="1E740ACF"/>
    <w:rsid w:val="1FF35744"/>
    <w:rsid w:val="1FF6BC77"/>
    <w:rsid w:val="2186353C"/>
    <w:rsid w:val="22C9175C"/>
    <w:rsid w:val="235A5E54"/>
    <w:rsid w:val="23860B96"/>
    <w:rsid w:val="240371BF"/>
    <w:rsid w:val="244F3473"/>
    <w:rsid w:val="24C97D99"/>
    <w:rsid w:val="25A718F0"/>
    <w:rsid w:val="25BB59F6"/>
    <w:rsid w:val="260F557C"/>
    <w:rsid w:val="264C2EC3"/>
    <w:rsid w:val="26970054"/>
    <w:rsid w:val="281408E2"/>
    <w:rsid w:val="29FD04D3"/>
    <w:rsid w:val="2A7879C7"/>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3FF7918"/>
    <w:rsid w:val="349D6851"/>
    <w:rsid w:val="360D2FB5"/>
    <w:rsid w:val="36AA5135"/>
    <w:rsid w:val="36BE0DA7"/>
    <w:rsid w:val="36EC7002"/>
    <w:rsid w:val="376B6AA6"/>
    <w:rsid w:val="376D39B2"/>
    <w:rsid w:val="37E16F03"/>
    <w:rsid w:val="37F53A3B"/>
    <w:rsid w:val="389B6C89"/>
    <w:rsid w:val="38D469F0"/>
    <w:rsid w:val="39627CCD"/>
    <w:rsid w:val="397BAF1F"/>
    <w:rsid w:val="39BD7AE1"/>
    <w:rsid w:val="3AB79AF3"/>
    <w:rsid w:val="3AE834C0"/>
    <w:rsid w:val="3B7EF35A"/>
    <w:rsid w:val="3B9FDB6C"/>
    <w:rsid w:val="3BAC5E63"/>
    <w:rsid w:val="3BF5BC2F"/>
    <w:rsid w:val="3CEBA265"/>
    <w:rsid w:val="3D98207C"/>
    <w:rsid w:val="3DEE7CF3"/>
    <w:rsid w:val="3E740A63"/>
    <w:rsid w:val="3E78745D"/>
    <w:rsid w:val="3EE17838"/>
    <w:rsid w:val="3F55381A"/>
    <w:rsid w:val="3F7F7599"/>
    <w:rsid w:val="3FF4CAE0"/>
    <w:rsid w:val="3FF7B227"/>
    <w:rsid w:val="44E268DA"/>
    <w:rsid w:val="450D13D7"/>
    <w:rsid w:val="45506656"/>
    <w:rsid w:val="46AB11F1"/>
    <w:rsid w:val="486A6C7A"/>
    <w:rsid w:val="48AB372A"/>
    <w:rsid w:val="4A627F82"/>
    <w:rsid w:val="4B0E749A"/>
    <w:rsid w:val="4B2477C4"/>
    <w:rsid w:val="4B4F25DA"/>
    <w:rsid w:val="4BE068DB"/>
    <w:rsid w:val="4D577224"/>
    <w:rsid w:val="4DBF1CEB"/>
    <w:rsid w:val="4DF0007C"/>
    <w:rsid w:val="4E6D3230"/>
    <w:rsid w:val="4EAB630A"/>
    <w:rsid w:val="4ECE2238"/>
    <w:rsid w:val="4F833267"/>
    <w:rsid w:val="4FE9BD67"/>
    <w:rsid w:val="4FFB052F"/>
    <w:rsid w:val="537E6D0A"/>
    <w:rsid w:val="53F74C96"/>
    <w:rsid w:val="543F57F9"/>
    <w:rsid w:val="55170BA8"/>
    <w:rsid w:val="553218C9"/>
    <w:rsid w:val="567E1AA5"/>
    <w:rsid w:val="56E47B74"/>
    <w:rsid w:val="57175D52"/>
    <w:rsid w:val="57BD3DD4"/>
    <w:rsid w:val="5AEB6640"/>
    <w:rsid w:val="5AF92295"/>
    <w:rsid w:val="5B250254"/>
    <w:rsid w:val="5B8B0DC1"/>
    <w:rsid w:val="5BDD79E6"/>
    <w:rsid w:val="5BF561CA"/>
    <w:rsid w:val="5BFF5DFC"/>
    <w:rsid w:val="5CD71FC4"/>
    <w:rsid w:val="5D1F11B5"/>
    <w:rsid w:val="5D695134"/>
    <w:rsid w:val="5DAE1B18"/>
    <w:rsid w:val="5DE7D9E5"/>
    <w:rsid w:val="5ECEC941"/>
    <w:rsid w:val="5FBF9FF3"/>
    <w:rsid w:val="5FCD4E2C"/>
    <w:rsid w:val="5FEF394A"/>
    <w:rsid w:val="5FF67715"/>
    <w:rsid w:val="62B27777"/>
    <w:rsid w:val="62BF3928"/>
    <w:rsid w:val="63B3701E"/>
    <w:rsid w:val="647F5392"/>
    <w:rsid w:val="65E66580"/>
    <w:rsid w:val="664B1D71"/>
    <w:rsid w:val="664B4E8E"/>
    <w:rsid w:val="67277B67"/>
    <w:rsid w:val="67AA3209"/>
    <w:rsid w:val="67C12E69"/>
    <w:rsid w:val="69203B5E"/>
    <w:rsid w:val="698D0931"/>
    <w:rsid w:val="6A7FE5F3"/>
    <w:rsid w:val="6A8F5714"/>
    <w:rsid w:val="6B053271"/>
    <w:rsid w:val="6BDD78B3"/>
    <w:rsid w:val="6C4A05C8"/>
    <w:rsid w:val="6C8742B8"/>
    <w:rsid w:val="6DBF5E93"/>
    <w:rsid w:val="6DFF077E"/>
    <w:rsid w:val="6E6C623F"/>
    <w:rsid w:val="6E714EF0"/>
    <w:rsid w:val="6E7E3605"/>
    <w:rsid w:val="6E7FDCC7"/>
    <w:rsid w:val="6ED6A62E"/>
    <w:rsid w:val="6EE00B15"/>
    <w:rsid w:val="6F6FB3EB"/>
    <w:rsid w:val="6F8731EA"/>
    <w:rsid w:val="6FCE6052"/>
    <w:rsid w:val="6FD57C00"/>
    <w:rsid w:val="6FEFFFD8"/>
    <w:rsid w:val="6FF5CC65"/>
    <w:rsid w:val="6FFB47EC"/>
    <w:rsid w:val="6FFF034A"/>
    <w:rsid w:val="701E27A3"/>
    <w:rsid w:val="703F522C"/>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B3E5C"/>
    <w:rsid w:val="74ED5379"/>
    <w:rsid w:val="752D047C"/>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181FC7"/>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5D06"/>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link w:val="37"/>
    <w:unhideWhenUsed/>
    <w:qFormat/>
    <w:uiPriority w:val="0"/>
    <w:rPr>
      <w:rFonts w:ascii="宋体" w:hAnsi="Courier New" w:eastAsia="仿宋_GB2312"/>
      <w:sz w:val="32"/>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rPr>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纯文本 Char"/>
    <w:basedOn w:val="18"/>
    <w:link w:val="10"/>
    <w:qFormat/>
    <w:uiPriority w:val="0"/>
    <w:rPr>
      <w:rFonts w:ascii="宋体" w:hAnsi="Courier New" w:eastAsia="仿宋_GB2312" w:cs="Times New Roman"/>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chart" Target="charts/chart7.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chart" Target="charts/chart1.xml"/><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484035168903"/>
          <c:y val="0.0384276455239015"/>
          <c:w val="0.860064784821842"/>
          <c:h val="0.85396325459318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2024年度收、支总计</c:v>
                </c:pt>
                <c:pt idx="1">
                  <c:v>2025年度收、支总计</c:v>
                </c:pt>
              </c:strCache>
            </c:strRef>
          </c:cat>
          <c:val>
            <c:numRef>
              <c:f>Sheet1!$B$2:$B$3</c:f>
              <c:numCache>
                <c:formatCode>General"万""元"</c:formatCode>
                <c:ptCount val="2"/>
                <c:pt idx="0">
                  <c:v>1930.08</c:v>
                </c:pt>
                <c:pt idx="1">
                  <c:v>2108.67</c:v>
                </c:pt>
              </c:numCache>
            </c:numRef>
          </c:val>
        </c:ser>
        <c:dLbls>
          <c:showLegendKey val="0"/>
          <c:showVal val="1"/>
          <c:showCatName val="0"/>
          <c:showSerName val="0"/>
          <c:showPercent val="0"/>
          <c:showBubbleSize val="0"/>
        </c:dLbls>
        <c:gapWidth val="219"/>
        <c:overlap val="-27"/>
        <c:axId val="108172416"/>
        <c:axId val="108180608"/>
      </c:barChart>
      <c:catAx>
        <c:axId val="108172416"/>
        <c:scaling>
          <c:orientation val="minMax"/>
        </c:scaling>
        <c:delete val="0"/>
        <c:axPos val="b"/>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180608"/>
        <c:crosses val="autoZero"/>
        <c:auto val="1"/>
        <c:lblAlgn val="ctr"/>
        <c:lblOffset val="100"/>
        <c:noMultiLvlLbl val="0"/>
      </c:catAx>
      <c:valAx>
        <c:axId val="108180608"/>
        <c:scaling>
          <c:orientation val="minMax"/>
          <c:max val="2200"/>
          <c:min val="1100"/>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olid"/>
              <a:round/>
            </a:ln>
            <a:effectLst/>
          </c:spPr>
        </c:majorGridlines>
        <c:numFmt formatCode="General&quot;万&quot;&quot;元&quot;" sourceLinked="1"/>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172416"/>
        <c:crosses val="autoZero"/>
        <c:crossBetween val="between"/>
        <c:majorUnit val="200"/>
      </c:valAx>
      <c:spPr>
        <a:noFill/>
        <a:ln>
          <a:noFill/>
        </a:ln>
        <a:effectLst/>
      </c:spPr>
    </c:plotArea>
    <c:plotVisOnly val="1"/>
    <c:dispBlanksAs val="gap"/>
    <c:showDLblsOverMax val="0"/>
    <c:extLst>
      <c:ext uri="{0b15fc19-7d7d-44ad-8c2d-2c3a37ce22c3}">
        <chartProps xmlns="https://web.wps.cn/et/2018/main" chartId="{5db58abd-f0d3-4527-ae82-1984c1e2d9f6}"/>
      </c:ext>
    </c:extLst>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explosion val="0"/>
          <c:dPt>
            <c:idx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General"万""元"</c:formatCode>
                <c:ptCount val="1"/>
                <c:pt idx="0">
                  <c:v>2108.67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92fefccf-db34-473e-bdd8-90ed40d74702}"/>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General"万""元"</c:formatCode>
                <c:ptCount val="2"/>
                <c:pt idx="0">
                  <c:v>1097.56</c:v>
                </c:pt>
                <c:pt idx="1">
                  <c:v>1011.11</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90ab1d1-7bef-47de-b974-61fc9041171d}"/>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484035168903"/>
          <c:y val="0.0384276455239016"/>
          <c:w val="0.860064784821842"/>
          <c:h val="0.853963254593182"/>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2024年度收、支总计</c:v>
                </c:pt>
                <c:pt idx="1">
                  <c:v>2025年度收、支总计</c:v>
                </c:pt>
              </c:strCache>
            </c:strRef>
          </c:cat>
          <c:val>
            <c:numRef>
              <c:f>Sheet1!$B$2:$B$3</c:f>
              <c:numCache>
                <c:formatCode>General"万""元"</c:formatCode>
                <c:ptCount val="2"/>
                <c:pt idx="0">
                  <c:v>1930.08</c:v>
                </c:pt>
                <c:pt idx="1">
                  <c:v>2108.67</c:v>
                </c:pt>
              </c:numCache>
            </c:numRef>
          </c:val>
        </c:ser>
        <c:dLbls>
          <c:showLegendKey val="0"/>
          <c:showVal val="1"/>
          <c:showCatName val="0"/>
          <c:showSerName val="0"/>
          <c:showPercent val="0"/>
          <c:showBubbleSize val="0"/>
        </c:dLbls>
        <c:gapWidth val="219"/>
        <c:overlap val="-27"/>
        <c:axId val="129237376"/>
        <c:axId val="129238912"/>
      </c:barChart>
      <c:catAx>
        <c:axId val="129237376"/>
        <c:scaling>
          <c:orientation val="minMax"/>
        </c:scaling>
        <c:delete val="0"/>
        <c:axPos val="b"/>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238912"/>
        <c:crosses val="autoZero"/>
        <c:auto val="1"/>
        <c:lblAlgn val="ctr"/>
        <c:lblOffset val="100"/>
        <c:noMultiLvlLbl val="0"/>
      </c:catAx>
      <c:valAx>
        <c:axId val="129238912"/>
        <c:scaling>
          <c:orientation val="minMax"/>
          <c:max val="2200"/>
          <c:min val="1200"/>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olid"/>
              <a:round/>
            </a:ln>
            <a:effectLst/>
          </c:spPr>
        </c:majorGridlines>
        <c:numFmt formatCode="General&quot;万&quot;&quot;元&quot;" sourceLinked="1"/>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237376"/>
        <c:crosses val="autoZero"/>
        <c:crossBetween val="between"/>
        <c:majorUnit val="200"/>
      </c:valAx>
      <c:spPr>
        <a:noFill/>
        <a:ln>
          <a:noFill/>
        </a:ln>
        <a:effectLst/>
      </c:spPr>
    </c:plotArea>
    <c:plotVisOnly val="1"/>
    <c:dispBlanksAs val="gap"/>
    <c:showDLblsOverMax val="0"/>
    <c:extLst>
      <c:ext uri="{0b15fc19-7d7d-44ad-8c2d-2c3a37ce22c3}">
        <chartProps xmlns="https://web.wps.cn/et/2018/main" chartId="{8be0fdce-6e7f-4752-945f-bc9913674db5}"/>
      </c:ext>
    </c:extLst>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484035168903"/>
          <c:y val="0.0584978918451523"/>
          <c:w val="0.860064784821842"/>
          <c:h val="0.852258365663478"/>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2024年度一般公共预算财政拨款支出</c:v>
                </c:pt>
                <c:pt idx="1">
                  <c:v>2025年度一般公共预算财政拨款支出</c:v>
                </c:pt>
              </c:strCache>
            </c:strRef>
          </c:cat>
          <c:val>
            <c:numRef>
              <c:f>Sheet1!$B$2:$B$3</c:f>
              <c:numCache>
                <c:formatCode>General"万""元"</c:formatCode>
                <c:ptCount val="2"/>
                <c:pt idx="0">
                  <c:v>1930.08</c:v>
                </c:pt>
                <c:pt idx="1">
                  <c:v>2108.67</c:v>
                </c:pt>
              </c:numCache>
            </c:numRef>
          </c:val>
        </c:ser>
        <c:dLbls>
          <c:showLegendKey val="0"/>
          <c:showVal val="1"/>
          <c:showCatName val="0"/>
          <c:showSerName val="0"/>
          <c:showPercent val="0"/>
          <c:showBubbleSize val="0"/>
        </c:dLbls>
        <c:gapWidth val="219"/>
        <c:overlap val="-27"/>
        <c:axId val="129519616"/>
        <c:axId val="129522688"/>
      </c:barChart>
      <c:catAx>
        <c:axId val="129519616"/>
        <c:scaling>
          <c:orientation val="minMax"/>
        </c:scaling>
        <c:delete val="0"/>
        <c:axPos val="b"/>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522688"/>
        <c:crosses val="autoZero"/>
        <c:auto val="1"/>
        <c:lblAlgn val="ctr"/>
        <c:lblOffset val="100"/>
        <c:noMultiLvlLbl val="0"/>
      </c:catAx>
      <c:valAx>
        <c:axId val="129522688"/>
        <c:scaling>
          <c:orientation val="minMax"/>
          <c:min val="1400"/>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olid"/>
              <a:round/>
            </a:ln>
            <a:effectLst/>
          </c:spPr>
        </c:majorGridlines>
        <c:numFmt formatCode="General&quot;万&quot;&quot;元&quot;" sourceLinked="1"/>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519616"/>
        <c:crosses val="autoZero"/>
        <c:crossBetween val="between"/>
        <c:majorUnit val="200"/>
      </c:valAx>
    </c:plotArea>
    <c:plotVisOnly val="1"/>
    <c:dispBlanksAs val="gap"/>
    <c:showDLblsOverMax val="0"/>
    <c:extLst>
      <c:ext uri="{0b15fc19-7d7d-44ad-8c2d-2c3a37ce22c3}">
        <chartProps xmlns="https://web.wps.cn/et/2018/main" chartId="{334ae056-090a-4429-93fc-0f0c0577aa93}"/>
      </c:ext>
    </c:extLst>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7336536976996"/>
          <c:y val="0.115832975423527"/>
          <c:w val="0.422717886367147"/>
          <c:h val="0.836212837031735"/>
        </c:manualLayout>
      </c:layout>
      <c:pieChart>
        <c:varyColors val="1"/>
        <c:ser>
          <c:idx val="0"/>
          <c:order val="0"/>
          <c:tx>
            <c:strRef>
              <c:f>Sheet1!$B$1</c:f>
              <c:strCache>
                <c:ptCount val="1"/>
                <c:pt idx="0">
                  <c:v>销售额</c:v>
                </c:pt>
              </c:strCache>
            </c:strRef>
          </c:tx>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社会保障和就业支出</c:v>
                </c:pt>
                <c:pt idx="1">
                  <c:v>卫生健康支出</c:v>
                </c:pt>
                <c:pt idx="2">
                  <c:v>住房保障支出</c:v>
                </c:pt>
              </c:strCache>
            </c:strRef>
          </c:cat>
          <c:val>
            <c:numRef>
              <c:f>Sheet1!$B$2:$B$4</c:f>
              <c:numCache>
                <c:formatCode>0.00"万""元"</c:formatCode>
                <c:ptCount val="3"/>
                <c:pt idx="0">
                  <c:v>262.89</c:v>
                </c:pt>
                <c:pt idx="1">
                  <c:v>1776.95</c:v>
                </c:pt>
                <c:pt idx="2">
                  <c:v>68.83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27f2d28-3a4c-4218-9e72-966a0a04f9f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71831094643"/>
          <c:y val="0.115832975423527"/>
          <c:w val="0.434972788327932"/>
          <c:h val="0.86045526127416"/>
        </c:manualLayout>
      </c:layout>
      <c:pieChart>
        <c:varyColors val="1"/>
        <c:ser>
          <c:idx val="0"/>
          <c:order val="0"/>
          <c:tx>
            <c:strRef>
              <c:f>Sheet1!$B$1</c:f>
              <c:strCache>
                <c:ptCount val="1"/>
                <c:pt idx="0">
                  <c:v>销售额</c:v>
                </c:pt>
              </c:strCache>
            </c:strRef>
          </c:tx>
          <c:explosion val="0"/>
          <c:dPt>
            <c:idx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c:f>
              <c:strCache>
                <c:ptCount val="1"/>
                <c:pt idx="0">
                  <c:v>公务用车购置及运行维护费支出决算</c:v>
                </c:pt>
              </c:strCache>
            </c:strRef>
          </c:cat>
          <c:val>
            <c:numRef>
              <c:f>Sheet1!$B$2</c:f>
              <c:numCache>
                <c:formatCode>0.00"万""元"</c:formatCode>
                <c:ptCount val="1"/>
                <c:pt idx="0">
                  <c:v>14.54</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66453447050462"/>
          <c:y val="0.350478159731197"/>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123c1e7-cad3-47ba-9f97-a3d41f96750d}"/>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A57AB7-C46A-46F1-8B9D-73FAF3EDD8F2}">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17</Pages>
  <Words>4645</Words>
  <Characters>5164</Characters>
  <Lines>35</Lines>
  <Paragraphs>10</Paragraphs>
  <TotalTime>86</TotalTime>
  <ScaleCrop>false</ScaleCrop>
  <LinksUpToDate>false</LinksUpToDate>
  <CharactersWithSpaces>5209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2025-08-08T01:17:00Z</dcterms:created>
  <dc:creator>曹颖</dc:creator>
  <cp:lastModifiedBy>user</cp:lastModifiedBy>
  <cp:lastPrinted>2025-08-07T01:34:00Z</cp:lastPrinted>
  <dcterms:modified xsi:type="dcterms:W3CDTF">2026-09-14T11:03:03Z</dcterms:modified>
  <dc:title>四川省***</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2967B298C2E34EA6BB296E4503045C5E_13</vt:lpwstr>
  </property>
  <property fmtid="{D5CDD505-2E9C-101B-9397-08002B2CF9AE}" pid="4" name="KSOTemplateDocerSaveRecord">
    <vt:lpwstr>eyJoZGlkIjoiNDQ1ODlhMmViZDI3ODYxYzU5OTcyMDExYjAxNjc5ZGIiLCJ1c2VySWQiOiIxNjU3NjM1NzUyIn0=</vt:lpwstr>
  </property>
</Properties>
</file>