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3B5E62">
      <w:pPr>
        <w:rPr>
          <w:rFonts w:ascii="Times New Roman" w:hAnsi="Times New Roman"/>
        </w:rPr>
      </w:pPr>
      <w:bookmarkStart w:id="0" w:name="_Toc15396475"/>
      <w:bookmarkStart w:id="1" w:name="_Toc15396597"/>
      <w:bookmarkStart w:id="2" w:name="_Toc15306267"/>
      <w:bookmarkStart w:id="3" w:name="_Toc15377193"/>
      <w:bookmarkStart w:id="4" w:name="_Toc15377425"/>
      <w:bookmarkStart w:id="5" w:name="_Toc15378441"/>
    </w:p>
    <w:p w14:paraId="39E33CC7">
      <w:pPr>
        <w:pStyle w:val="2"/>
        <w:jc w:val="both"/>
        <w:rPr>
          <w:rFonts w:hint="eastAsia" w:ascii="Times New Roman" w:hAnsi="Times New Roman" w:eastAsia="方正小标宋简体" w:cs="Times New Roman"/>
          <w:color w:val="auto"/>
          <w:kern w:val="2"/>
          <w:sz w:val="44"/>
          <w:szCs w:val="44"/>
          <w:highlight w:val="none"/>
          <w:lang w:val="en-US" w:eastAsia="zh-CN" w:bidi="ar-SA"/>
        </w:rPr>
      </w:pPr>
    </w:p>
    <w:p w14:paraId="7BFB0E82">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14:paraId="2DC241FD">
      <w:pPr>
        <w:pStyle w:val="2"/>
        <w:jc w:val="center"/>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202</w:t>
      </w:r>
      <w:r>
        <w:rPr>
          <w:rFonts w:hint="eastAsia" w:ascii="Times New Roman" w:eastAsia="方正小标宋简体" w:cs="Times New Roman"/>
          <w:color w:val="auto"/>
          <w:kern w:val="2"/>
          <w:sz w:val="44"/>
          <w:szCs w:val="44"/>
          <w:highlight w:val="none"/>
          <w:lang w:val="en-US" w:eastAsia="zh-CN" w:bidi="ar-SA"/>
        </w:rPr>
        <w:t>5</w:t>
      </w:r>
      <w:r>
        <w:rPr>
          <w:rFonts w:hint="default" w:ascii="Times New Roman" w:hAnsi="Times New Roman" w:eastAsia="方正小标宋简体" w:cs="Times New Roman"/>
          <w:color w:val="auto"/>
          <w:kern w:val="2"/>
          <w:sz w:val="44"/>
          <w:szCs w:val="44"/>
          <w:highlight w:val="none"/>
          <w:lang w:val="en-US" w:eastAsia="zh-CN" w:bidi="ar-SA"/>
        </w:rPr>
        <w:t>年度攀枝花市健康促进和卫生大数据中心决算公开</w:t>
      </w:r>
      <w:r>
        <w:rPr>
          <w:rFonts w:hint="eastAsia" w:ascii="Times New Roman" w:eastAsia="方正小标宋简体" w:cs="Times New Roman"/>
          <w:color w:val="auto"/>
          <w:kern w:val="2"/>
          <w:sz w:val="44"/>
          <w:szCs w:val="44"/>
          <w:highlight w:val="none"/>
          <w:lang w:val="en-US" w:eastAsia="zh-CN" w:bidi="ar-SA"/>
        </w:rPr>
        <w:t>编制</w:t>
      </w:r>
      <w:r>
        <w:rPr>
          <w:rFonts w:hint="default" w:ascii="Times New Roman" w:hAnsi="Times New Roman" w:eastAsia="方正小标宋简体" w:cs="Times New Roman"/>
          <w:color w:val="auto"/>
          <w:kern w:val="2"/>
          <w:sz w:val="44"/>
          <w:szCs w:val="44"/>
          <w:highlight w:val="none"/>
          <w:lang w:val="en-US" w:eastAsia="zh-CN" w:bidi="ar-SA"/>
        </w:rPr>
        <w:t>说明</w:t>
      </w:r>
    </w:p>
    <w:p w14:paraId="437C410A">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14:paraId="120957CE">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14:paraId="2A669B0B">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14:paraId="1E969B1A">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14:paraId="5856461A">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14:paraId="1C8782F8">
      <w:pPr>
        <w:pStyle w:val="2"/>
        <w:jc w:val="both"/>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7B811B6B">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6D81CCF4">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0E013A08">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17727ED0">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71CB0BC9">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7664C31A">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302D3042">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0AC56905">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6AB914B1">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3D18EC34">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5CE168E4">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527E6B6A">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sdt>
      <w:sdtPr>
        <w:rPr>
          <w:rFonts w:ascii="宋体" w:hAnsi="宋体" w:eastAsia="宋体" w:cs="Times New Roman"/>
          <w:kern w:val="2"/>
          <w:sz w:val="21"/>
          <w:szCs w:val="24"/>
          <w:lang w:val="en-US" w:eastAsia="zh-CN" w:bidi="ar-SA"/>
        </w:rPr>
        <w:id w:val="147467790"/>
        <w15:color w:val="DBDBDB"/>
        <w:docPartObj>
          <w:docPartGallery w:val="Table of Contents"/>
          <w:docPartUnique/>
        </w:docPartObj>
      </w:sdtPr>
      <w:sdtEndPr>
        <w:rPr>
          <w:rFonts w:ascii="Times New Roman" w:hAnsi="Times New Roman" w:eastAsia="黑体" w:cstheme="minorBidi"/>
          <w:color w:val="auto"/>
          <w:kern w:val="0"/>
          <w:sz w:val="30"/>
          <w:szCs w:val="28"/>
          <w:highlight w:val="none"/>
          <w:lang w:val="en-US" w:eastAsia="zh-CN" w:bidi="ar-SA"/>
        </w:rPr>
      </w:sdtEndPr>
      <w:sdtContent>
        <w:p w14:paraId="07864F61">
          <w:pPr>
            <w:spacing w:before="0" w:beforeLines="0" w:after="0" w:afterLines="0" w:line="240" w:lineRule="auto"/>
            <w:ind w:left="0" w:leftChars="0" w:right="0" w:rightChars="0" w:firstLine="0" w:firstLineChars="0"/>
            <w:jc w:val="center"/>
            <w:rPr>
              <w:lang w:val="en-US" w:eastAsia="zh-CN"/>
            </w:rPr>
          </w:pPr>
        </w:p>
        <w:p w14:paraId="7F23BA85">
          <w:pPr>
            <w:spacing w:before="0" w:beforeLines="0" w:after="0" w:afterLines="0" w:line="240" w:lineRule="auto"/>
            <w:ind w:left="0" w:leftChars="0" w:right="0" w:rightChars="0" w:firstLine="0" w:firstLineChars="0"/>
            <w:jc w:val="center"/>
            <w:rPr>
              <w:rFonts w:ascii="宋体" w:hAnsi="宋体" w:eastAsia="宋体"/>
              <w:sz w:val="44"/>
              <w:szCs w:val="44"/>
            </w:rPr>
          </w:pPr>
        </w:p>
        <w:p w14:paraId="28A7E137">
          <w:pPr>
            <w:spacing w:before="0" w:beforeLines="0" w:after="0" w:afterLines="0" w:line="240" w:lineRule="auto"/>
            <w:ind w:left="0" w:leftChars="0" w:right="0" w:rightChars="0" w:firstLine="0" w:firstLineChars="0"/>
            <w:jc w:val="center"/>
            <w:rPr>
              <w:rFonts w:ascii="宋体" w:hAnsi="宋体" w:eastAsia="宋体"/>
              <w:sz w:val="44"/>
              <w:szCs w:val="44"/>
            </w:rPr>
          </w:pPr>
          <w:r>
            <w:rPr>
              <w:rFonts w:ascii="宋体" w:hAnsi="宋体" w:eastAsia="宋体"/>
              <w:sz w:val="44"/>
              <w:szCs w:val="44"/>
            </w:rPr>
            <w:t>目</w:t>
          </w:r>
          <w:r>
            <w:rPr>
              <w:rFonts w:hint="eastAsia" w:ascii="宋体" w:hAnsi="宋体" w:eastAsia="宋体"/>
              <w:sz w:val="44"/>
              <w:szCs w:val="44"/>
              <w:lang w:val="en-US" w:eastAsia="zh-CN"/>
            </w:rPr>
            <w:t xml:space="preserve"> </w:t>
          </w:r>
          <w:r>
            <w:rPr>
              <w:rFonts w:ascii="宋体" w:hAnsi="宋体" w:eastAsia="宋体"/>
              <w:sz w:val="44"/>
              <w:szCs w:val="44"/>
            </w:rPr>
            <w:t>录</w:t>
          </w:r>
        </w:p>
        <w:p w14:paraId="12A02464">
          <w:pPr>
            <w:pStyle w:val="2"/>
            <w:jc w:val="center"/>
            <w:rPr>
              <w:rFonts w:hint="default" w:eastAsia="宋体"/>
              <w:sz w:val="21"/>
              <w:szCs w:val="21"/>
              <w:lang w:val="en-US" w:eastAsia="zh-CN"/>
            </w:rPr>
          </w:pPr>
          <w:r>
            <w:rPr>
              <w:rFonts w:hint="eastAsia" w:ascii="宋体" w:hAnsi="宋体" w:eastAsia="宋体"/>
              <w:sz w:val="21"/>
              <w:szCs w:val="21"/>
              <w:lang w:val="en-US" w:eastAsia="zh-CN"/>
            </w:rPr>
            <w:t>公开时间：</w:t>
          </w:r>
          <w:r>
            <w:rPr>
              <w:rFonts w:hint="default" w:ascii="Times New Roman" w:hAnsi="Times New Roman" w:eastAsia="宋体" w:cs="Times New Roman"/>
              <w:sz w:val="21"/>
              <w:szCs w:val="21"/>
              <w:lang w:val="en-US" w:eastAsia="zh-CN"/>
            </w:rPr>
            <w:t>2026年9月</w:t>
          </w:r>
          <w:r>
            <w:rPr>
              <w:rFonts w:hint="default" w:ascii="Times New Roman" w:eastAsia="宋体" w:cs="Times New Roman"/>
              <w:sz w:val="21"/>
              <w:szCs w:val="21"/>
              <w:lang w:val="en-US" w:eastAsia="zh-CN"/>
            </w:rPr>
            <w:t>14</w:t>
          </w:r>
          <w:r>
            <w:rPr>
              <w:rFonts w:hint="eastAsia" w:ascii="宋体" w:hAnsi="宋体" w:eastAsia="宋体"/>
              <w:sz w:val="21"/>
              <w:szCs w:val="21"/>
              <w:lang w:val="en-US" w:eastAsia="zh-CN"/>
            </w:rPr>
            <w:t>日</w:t>
          </w:r>
          <w:bookmarkStart w:id="160" w:name="_GoBack"/>
          <w:bookmarkEnd w:id="160"/>
        </w:p>
        <w:p w14:paraId="3262C76A">
          <w:pPr>
            <w:pStyle w:val="12"/>
            <w:tabs>
              <w:tab w:val="right" w:leader="dot" w:pos="8845"/>
              <w:tab w:val="clear" w:pos="8296"/>
            </w:tabs>
            <w:rPr>
              <w:sz w:val="24"/>
              <w:szCs w:val="24"/>
            </w:rPr>
          </w:pPr>
          <w:r>
            <w:rPr>
              <w:rFonts w:ascii="Times New Roman" w:hAnsi="Times New Roman" w:eastAsia="黑体" w:cstheme="minorBidi"/>
              <w:color w:val="auto"/>
              <w:sz w:val="28"/>
              <w:szCs w:val="28"/>
              <w:highlight w:val="none"/>
            </w:rPr>
            <w:fldChar w:fldCharType="begin"/>
          </w:r>
          <w:r>
            <w:rPr>
              <w:rFonts w:ascii="Times New Roman" w:hAnsi="Times New Roman" w:eastAsia="黑体" w:cstheme="minorBidi"/>
              <w:color w:val="auto"/>
              <w:sz w:val="28"/>
              <w:szCs w:val="28"/>
              <w:highlight w:val="none"/>
            </w:rPr>
            <w:instrText xml:space="preserve">TOC \o "1-2" \h \u </w:instrText>
          </w:r>
          <w:r>
            <w:rPr>
              <w:rFonts w:ascii="Times New Roman" w:hAnsi="Times New Roman" w:eastAsia="黑体" w:cstheme="minorBidi"/>
              <w:color w:val="auto"/>
              <w:sz w:val="28"/>
              <w:szCs w:val="28"/>
              <w:highlight w:val="none"/>
            </w:rPr>
            <w:fldChar w:fldCharType="separate"/>
          </w:r>
          <w:r>
            <w:rPr>
              <w:rFonts w:ascii="Times New Roman" w:hAnsi="Times New Roman" w:eastAsia="黑体" w:cstheme="minorBidi"/>
              <w:color w:val="auto"/>
              <w:sz w:val="32"/>
              <w:szCs w:val="32"/>
              <w:highlight w:val="none"/>
            </w:rPr>
            <w:fldChar w:fldCharType="begin"/>
          </w:r>
          <w:r>
            <w:rPr>
              <w:rFonts w:ascii="Times New Roman" w:hAnsi="Times New Roman" w:eastAsia="黑体" w:cstheme="minorBidi"/>
              <w:sz w:val="32"/>
              <w:szCs w:val="32"/>
              <w:highlight w:val="none"/>
            </w:rPr>
            <w:instrText xml:space="preserve"> HYPERLINK \l _Toc5121 </w:instrText>
          </w:r>
          <w:r>
            <w:rPr>
              <w:rFonts w:ascii="Times New Roman" w:hAnsi="Times New Roman" w:eastAsia="黑体" w:cstheme="minorBidi"/>
              <w:sz w:val="32"/>
              <w:szCs w:val="32"/>
              <w:highlight w:val="none"/>
            </w:rPr>
            <w:fldChar w:fldCharType="separate"/>
          </w:r>
          <w:r>
            <w:rPr>
              <w:rFonts w:hint="eastAsia"/>
              <w:sz w:val="32"/>
              <w:szCs w:val="32"/>
            </w:rPr>
            <w:t>第一部分</w:t>
          </w:r>
          <w:r>
            <w:rPr>
              <w:rFonts w:hint="eastAsia"/>
              <w:sz w:val="32"/>
              <w:szCs w:val="32"/>
              <w:lang w:val="en-US" w:eastAsia="zh-CN"/>
            </w:rPr>
            <w:t xml:space="preserve"> </w:t>
          </w:r>
          <w:r>
            <w:rPr>
              <w:rFonts w:hint="eastAsia"/>
              <w:sz w:val="32"/>
              <w:szCs w:val="32"/>
            </w:rPr>
            <w:t xml:space="preserve"> </w:t>
          </w:r>
          <w:r>
            <w:rPr>
              <w:rFonts w:hint="eastAsia"/>
              <w:sz w:val="32"/>
              <w:szCs w:val="32"/>
              <w:lang w:val="en-US" w:eastAsia="zh-CN"/>
            </w:rPr>
            <w:t>单位</w:t>
          </w:r>
          <w:r>
            <w:rPr>
              <w:rFonts w:hint="eastAsia"/>
              <w:sz w:val="32"/>
              <w:szCs w:val="32"/>
            </w:rPr>
            <w:t>概况</w:t>
          </w:r>
          <w:r>
            <w:rPr>
              <w:sz w:val="32"/>
              <w:szCs w:val="32"/>
            </w:rPr>
            <w:tab/>
          </w:r>
          <w:r>
            <w:rPr>
              <w:sz w:val="32"/>
              <w:szCs w:val="32"/>
            </w:rPr>
            <w:fldChar w:fldCharType="begin"/>
          </w:r>
          <w:r>
            <w:rPr>
              <w:sz w:val="32"/>
              <w:szCs w:val="32"/>
            </w:rPr>
            <w:instrText xml:space="preserve"> PAGEREF _Toc5121 \h </w:instrText>
          </w:r>
          <w:r>
            <w:rPr>
              <w:sz w:val="32"/>
              <w:szCs w:val="32"/>
            </w:rPr>
            <w:fldChar w:fldCharType="separate"/>
          </w:r>
          <w:r>
            <w:rPr>
              <w:sz w:val="32"/>
              <w:szCs w:val="32"/>
            </w:rPr>
            <w:t>3</w:t>
          </w:r>
          <w:r>
            <w:rPr>
              <w:sz w:val="32"/>
              <w:szCs w:val="32"/>
            </w:rPr>
            <w:fldChar w:fldCharType="end"/>
          </w:r>
          <w:r>
            <w:rPr>
              <w:rFonts w:ascii="Times New Roman" w:hAnsi="Times New Roman" w:eastAsia="黑体" w:cstheme="minorBidi"/>
              <w:color w:val="auto"/>
              <w:sz w:val="32"/>
              <w:szCs w:val="32"/>
              <w:highlight w:val="none"/>
            </w:rPr>
            <w:fldChar w:fldCharType="end"/>
          </w:r>
        </w:p>
        <w:p w14:paraId="29809B23">
          <w:pPr>
            <w:pStyle w:val="14"/>
            <w:tabs>
              <w:tab w:val="right" w:leader="dot" w:pos="8845"/>
              <w:tab w:val="clear" w:pos="8296"/>
            </w:tabs>
            <w:rPr>
              <w:rFonts w:hint="eastAsia" w:ascii="仿宋" w:hAnsi="仿宋" w:eastAsia="仿宋" w:cs="仿宋"/>
              <w:sz w:val="24"/>
              <w:szCs w:val="24"/>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_Toc927 </w:instrText>
          </w:r>
          <w:r>
            <w:rPr>
              <w:rFonts w:hint="eastAsia" w:ascii="仿宋" w:hAnsi="仿宋" w:eastAsia="仿宋" w:cs="仿宋"/>
              <w:sz w:val="24"/>
              <w:szCs w:val="24"/>
              <w:highlight w:val="none"/>
            </w:rPr>
            <w:fldChar w:fldCharType="separate"/>
          </w:r>
          <w:r>
            <w:rPr>
              <w:rFonts w:hint="eastAsia" w:ascii="仿宋" w:hAnsi="仿宋" w:eastAsia="仿宋" w:cs="仿宋"/>
              <w:bCs w:val="0"/>
              <w:sz w:val="24"/>
              <w:szCs w:val="24"/>
              <w:lang w:val="en-US" w:eastAsia="zh-CN"/>
            </w:rPr>
            <w:t>一、单位</w:t>
          </w:r>
          <w:r>
            <w:rPr>
              <w:rFonts w:hint="eastAsia" w:ascii="仿宋" w:hAnsi="仿宋" w:eastAsia="仿宋" w:cs="仿宋"/>
              <w:bCs w:val="0"/>
              <w:sz w:val="24"/>
              <w:szCs w:val="24"/>
              <w:lang w:eastAsia="zh-CN"/>
            </w:rPr>
            <w:t>职责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_Toc927 \h </w:instrText>
          </w:r>
          <w:r>
            <w:rPr>
              <w:rFonts w:hint="eastAsia" w:ascii="仿宋" w:hAnsi="仿宋" w:eastAsia="仿宋" w:cs="仿宋"/>
              <w:sz w:val="24"/>
              <w:szCs w:val="24"/>
            </w:rPr>
            <w:fldChar w:fldCharType="separate"/>
          </w:r>
          <w:r>
            <w:rPr>
              <w:rFonts w:hint="eastAsia" w:ascii="仿宋" w:hAnsi="仿宋" w:eastAsia="仿宋" w:cs="仿宋"/>
              <w:sz w:val="24"/>
              <w:szCs w:val="24"/>
            </w:rPr>
            <w:t>3</w:t>
          </w:r>
          <w:r>
            <w:rPr>
              <w:rFonts w:hint="eastAsia" w:ascii="仿宋" w:hAnsi="仿宋" w:eastAsia="仿宋" w:cs="仿宋"/>
              <w:sz w:val="24"/>
              <w:szCs w:val="24"/>
            </w:rPr>
            <w:fldChar w:fldCharType="end"/>
          </w:r>
          <w:r>
            <w:rPr>
              <w:rFonts w:hint="eastAsia" w:ascii="仿宋" w:hAnsi="仿宋" w:eastAsia="仿宋" w:cs="仿宋"/>
              <w:color w:val="auto"/>
              <w:sz w:val="24"/>
              <w:szCs w:val="24"/>
              <w:highlight w:val="none"/>
            </w:rPr>
            <w:fldChar w:fldCharType="end"/>
          </w:r>
        </w:p>
        <w:p w14:paraId="23CCF1B3">
          <w:pPr>
            <w:pStyle w:val="14"/>
            <w:tabs>
              <w:tab w:val="right" w:leader="dot" w:pos="8845"/>
              <w:tab w:val="clear" w:pos="8296"/>
            </w:tabs>
            <w:rPr>
              <w:sz w:val="24"/>
              <w:szCs w:val="24"/>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_Toc27139 </w:instrText>
          </w:r>
          <w:r>
            <w:rPr>
              <w:rFonts w:hint="eastAsia" w:ascii="仿宋" w:hAnsi="仿宋" w:eastAsia="仿宋" w:cs="仿宋"/>
              <w:sz w:val="24"/>
              <w:szCs w:val="24"/>
              <w:highlight w:val="none"/>
            </w:rPr>
            <w:fldChar w:fldCharType="separate"/>
          </w:r>
          <w:r>
            <w:rPr>
              <w:rFonts w:hint="eastAsia" w:ascii="仿宋" w:hAnsi="仿宋" w:eastAsia="仿宋" w:cs="仿宋"/>
              <w:bCs w:val="0"/>
              <w:sz w:val="24"/>
              <w:szCs w:val="24"/>
            </w:rPr>
            <w:t>二、机构设置</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_Toc27139 \h </w:instrText>
          </w:r>
          <w:r>
            <w:rPr>
              <w:rFonts w:hint="eastAsia" w:ascii="仿宋" w:hAnsi="仿宋" w:eastAsia="仿宋" w:cs="仿宋"/>
              <w:sz w:val="24"/>
              <w:szCs w:val="24"/>
            </w:rPr>
            <w:fldChar w:fldCharType="separate"/>
          </w:r>
          <w:r>
            <w:rPr>
              <w:rFonts w:hint="eastAsia" w:ascii="仿宋" w:hAnsi="仿宋" w:eastAsia="仿宋" w:cs="仿宋"/>
              <w:sz w:val="24"/>
              <w:szCs w:val="24"/>
            </w:rPr>
            <w:t>3</w:t>
          </w:r>
          <w:r>
            <w:rPr>
              <w:rFonts w:hint="eastAsia" w:ascii="仿宋" w:hAnsi="仿宋" w:eastAsia="仿宋" w:cs="仿宋"/>
              <w:sz w:val="24"/>
              <w:szCs w:val="24"/>
            </w:rPr>
            <w:fldChar w:fldCharType="end"/>
          </w:r>
          <w:r>
            <w:rPr>
              <w:rFonts w:hint="eastAsia" w:ascii="仿宋" w:hAnsi="仿宋" w:eastAsia="仿宋" w:cs="仿宋"/>
              <w:color w:val="auto"/>
              <w:sz w:val="24"/>
              <w:szCs w:val="24"/>
              <w:highlight w:val="none"/>
            </w:rPr>
            <w:fldChar w:fldCharType="end"/>
          </w:r>
        </w:p>
        <w:p w14:paraId="62228657">
          <w:pPr>
            <w:pStyle w:val="12"/>
            <w:tabs>
              <w:tab w:val="right" w:leader="dot" w:pos="8845"/>
              <w:tab w:val="clear" w:pos="8296"/>
            </w:tabs>
            <w:rPr>
              <w:sz w:val="24"/>
              <w:szCs w:val="24"/>
            </w:rPr>
          </w:pPr>
          <w:r>
            <w:rPr>
              <w:rFonts w:ascii="Times New Roman" w:hAnsi="Times New Roman" w:eastAsia="黑体" w:cstheme="minorBidi"/>
              <w:color w:val="auto"/>
              <w:sz w:val="24"/>
              <w:szCs w:val="24"/>
              <w:highlight w:val="none"/>
            </w:rPr>
            <w:fldChar w:fldCharType="begin"/>
          </w:r>
          <w:r>
            <w:rPr>
              <w:rFonts w:ascii="Times New Roman" w:hAnsi="Times New Roman" w:eastAsia="黑体" w:cstheme="minorBidi"/>
              <w:sz w:val="24"/>
              <w:szCs w:val="24"/>
              <w:highlight w:val="none"/>
            </w:rPr>
            <w:instrText xml:space="preserve"> HYPERLINK \l _Toc11857 </w:instrText>
          </w:r>
          <w:r>
            <w:rPr>
              <w:rFonts w:ascii="Times New Roman" w:hAnsi="Times New Roman" w:eastAsia="黑体" w:cstheme="minorBidi"/>
              <w:sz w:val="24"/>
              <w:szCs w:val="24"/>
              <w:highlight w:val="none"/>
            </w:rPr>
            <w:fldChar w:fldCharType="separate"/>
          </w:r>
          <w:r>
            <w:rPr>
              <w:rFonts w:hint="eastAsia"/>
              <w:sz w:val="32"/>
              <w:szCs w:val="32"/>
            </w:rPr>
            <w:t>第二部分</w:t>
          </w:r>
          <w:r>
            <w:rPr>
              <w:rFonts w:hint="eastAsia"/>
              <w:sz w:val="32"/>
              <w:szCs w:val="32"/>
              <w:lang w:val="en-US" w:eastAsia="zh-CN"/>
            </w:rPr>
            <w:t xml:space="preserve"> </w:t>
          </w:r>
          <w:r>
            <w:rPr>
              <w:rFonts w:hint="eastAsia"/>
              <w:sz w:val="32"/>
              <w:szCs w:val="32"/>
            </w:rPr>
            <w:t xml:space="preserve"> </w:t>
          </w:r>
          <w:r>
            <w:rPr>
              <w:rFonts w:hint="eastAsia"/>
              <w:sz w:val="32"/>
              <w:szCs w:val="32"/>
              <w:lang w:val="en-US" w:eastAsia="zh-CN"/>
            </w:rPr>
            <w:t>2025年度单位</w:t>
          </w:r>
          <w:r>
            <w:rPr>
              <w:rFonts w:hint="eastAsia"/>
              <w:sz w:val="32"/>
              <w:szCs w:val="32"/>
            </w:rPr>
            <w:t>决算情况说明</w:t>
          </w:r>
          <w:r>
            <w:rPr>
              <w:sz w:val="24"/>
              <w:szCs w:val="24"/>
            </w:rPr>
            <w:tab/>
          </w:r>
          <w:r>
            <w:rPr>
              <w:sz w:val="32"/>
              <w:szCs w:val="32"/>
            </w:rPr>
            <w:fldChar w:fldCharType="begin"/>
          </w:r>
          <w:r>
            <w:rPr>
              <w:sz w:val="32"/>
              <w:szCs w:val="32"/>
            </w:rPr>
            <w:instrText xml:space="preserve"> PAGEREF _Toc11857 \h </w:instrText>
          </w:r>
          <w:r>
            <w:rPr>
              <w:sz w:val="32"/>
              <w:szCs w:val="32"/>
            </w:rPr>
            <w:fldChar w:fldCharType="separate"/>
          </w:r>
          <w:r>
            <w:rPr>
              <w:sz w:val="32"/>
              <w:szCs w:val="32"/>
            </w:rPr>
            <w:t>4</w:t>
          </w:r>
          <w:r>
            <w:rPr>
              <w:sz w:val="32"/>
              <w:szCs w:val="32"/>
            </w:rPr>
            <w:fldChar w:fldCharType="end"/>
          </w:r>
          <w:r>
            <w:rPr>
              <w:rFonts w:ascii="Times New Roman" w:hAnsi="Times New Roman" w:eastAsia="黑体" w:cstheme="minorBidi"/>
              <w:color w:val="auto"/>
              <w:sz w:val="24"/>
              <w:szCs w:val="24"/>
              <w:highlight w:val="none"/>
            </w:rPr>
            <w:fldChar w:fldCharType="end"/>
          </w:r>
        </w:p>
        <w:p w14:paraId="7EAC7D7D">
          <w:pPr>
            <w:pStyle w:val="14"/>
            <w:tabs>
              <w:tab w:val="right" w:leader="dot" w:pos="8845"/>
              <w:tab w:val="clear" w:pos="8296"/>
            </w:tabs>
            <w:rPr>
              <w:rFonts w:hint="eastAsia" w:ascii="仿宋" w:hAnsi="仿宋" w:eastAsia="仿宋" w:cs="仿宋"/>
              <w:sz w:val="24"/>
              <w:szCs w:val="24"/>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_Toc30051 </w:instrText>
          </w:r>
          <w:r>
            <w:rPr>
              <w:rFonts w:hint="eastAsia" w:ascii="仿宋" w:hAnsi="仿宋" w:eastAsia="仿宋" w:cs="仿宋"/>
              <w:sz w:val="24"/>
              <w:szCs w:val="24"/>
              <w:highlight w:val="none"/>
            </w:rPr>
            <w:fldChar w:fldCharType="separate"/>
          </w:r>
          <w:r>
            <w:rPr>
              <w:rFonts w:hint="eastAsia" w:ascii="仿宋" w:hAnsi="仿宋" w:eastAsia="仿宋" w:cs="仿宋"/>
              <w:bCs w:val="0"/>
              <w:sz w:val="24"/>
              <w:szCs w:val="24"/>
              <w:lang w:eastAsia="zh-CN"/>
            </w:rPr>
            <w:t>一、</w:t>
          </w:r>
          <w:r>
            <w:rPr>
              <w:rFonts w:hint="eastAsia" w:ascii="仿宋" w:hAnsi="仿宋" w:eastAsia="仿宋" w:cs="仿宋"/>
              <w:bCs w:val="0"/>
              <w:sz w:val="24"/>
              <w:szCs w:val="24"/>
            </w:rPr>
            <w:t>收入支出决算总体情况说明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_Toc30051 \h </w:instrText>
          </w:r>
          <w:r>
            <w:rPr>
              <w:rFonts w:hint="eastAsia" w:ascii="仿宋" w:hAnsi="仿宋" w:eastAsia="仿宋" w:cs="仿宋"/>
              <w:sz w:val="24"/>
              <w:szCs w:val="24"/>
            </w:rPr>
            <w:fldChar w:fldCharType="separate"/>
          </w:r>
          <w:r>
            <w:rPr>
              <w:rFonts w:hint="eastAsia" w:ascii="仿宋" w:hAnsi="仿宋" w:eastAsia="仿宋" w:cs="仿宋"/>
              <w:sz w:val="24"/>
              <w:szCs w:val="24"/>
            </w:rPr>
            <w:t>4</w:t>
          </w:r>
          <w:r>
            <w:rPr>
              <w:rFonts w:hint="eastAsia" w:ascii="仿宋" w:hAnsi="仿宋" w:eastAsia="仿宋" w:cs="仿宋"/>
              <w:sz w:val="24"/>
              <w:szCs w:val="24"/>
            </w:rPr>
            <w:fldChar w:fldCharType="end"/>
          </w:r>
          <w:r>
            <w:rPr>
              <w:rFonts w:hint="eastAsia" w:ascii="仿宋" w:hAnsi="仿宋" w:eastAsia="仿宋" w:cs="仿宋"/>
              <w:color w:val="auto"/>
              <w:sz w:val="24"/>
              <w:szCs w:val="24"/>
              <w:highlight w:val="none"/>
            </w:rPr>
            <w:fldChar w:fldCharType="end"/>
          </w:r>
        </w:p>
        <w:p w14:paraId="629A90BD">
          <w:pPr>
            <w:pStyle w:val="14"/>
            <w:tabs>
              <w:tab w:val="right" w:leader="dot" w:pos="8845"/>
              <w:tab w:val="clear" w:pos="8296"/>
            </w:tabs>
            <w:rPr>
              <w:rFonts w:hint="eastAsia" w:ascii="仿宋" w:hAnsi="仿宋" w:eastAsia="仿宋" w:cs="仿宋"/>
              <w:sz w:val="24"/>
              <w:szCs w:val="24"/>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_Toc13544 </w:instrText>
          </w:r>
          <w:r>
            <w:rPr>
              <w:rFonts w:hint="eastAsia" w:ascii="仿宋" w:hAnsi="仿宋" w:eastAsia="仿宋" w:cs="仿宋"/>
              <w:sz w:val="24"/>
              <w:szCs w:val="24"/>
              <w:highlight w:val="none"/>
            </w:rPr>
            <w:fldChar w:fldCharType="separate"/>
          </w:r>
          <w:r>
            <w:rPr>
              <w:rFonts w:hint="eastAsia" w:ascii="仿宋" w:hAnsi="仿宋" w:eastAsia="仿宋" w:cs="仿宋"/>
              <w:bCs w:val="0"/>
              <w:sz w:val="24"/>
              <w:szCs w:val="24"/>
              <w:lang w:val="en-US" w:eastAsia="zh-CN"/>
            </w:rPr>
            <w:t>二、</w:t>
          </w:r>
          <w:r>
            <w:rPr>
              <w:rFonts w:hint="eastAsia" w:ascii="仿宋" w:hAnsi="仿宋" w:eastAsia="仿宋" w:cs="仿宋"/>
              <w:bCs w:val="0"/>
              <w:sz w:val="24"/>
              <w:szCs w:val="24"/>
              <w:lang w:eastAsia="zh-CN"/>
            </w:rPr>
            <w:t>收入决算情况说明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_Toc13544 \h </w:instrText>
          </w:r>
          <w:r>
            <w:rPr>
              <w:rFonts w:hint="eastAsia" w:ascii="仿宋" w:hAnsi="仿宋" w:eastAsia="仿宋" w:cs="仿宋"/>
              <w:sz w:val="24"/>
              <w:szCs w:val="24"/>
            </w:rPr>
            <w:fldChar w:fldCharType="separate"/>
          </w:r>
          <w:r>
            <w:rPr>
              <w:rFonts w:hint="eastAsia" w:ascii="仿宋" w:hAnsi="仿宋" w:eastAsia="仿宋" w:cs="仿宋"/>
              <w:sz w:val="24"/>
              <w:szCs w:val="24"/>
            </w:rPr>
            <w:t>5</w:t>
          </w:r>
          <w:r>
            <w:rPr>
              <w:rFonts w:hint="eastAsia" w:ascii="仿宋" w:hAnsi="仿宋" w:eastAsia="仿宋" w:cs="仿宋"/>
              <w:sz w:val="24"/>
              <w:szCs w:val="24"/>
            </w:rPr>
            <w:fldChar w:fldCharType="end"/>
          </w:r>
          <w:r>
            <w:rPr>
              <w:rFonts w:hint="eastAsia" w:ascii="仿宋" w:hAnsi="仿宋" w:eastAsia="仿宋" w:cs="仿宋"/>
              <w:color w:val="auto"/>
              <w:sz w:val="24"/>
              <w:szCs w:val="24"/>
              <w:highlight w:val="none"/>
            </w:rPr>
            <w:fldChar w:fldCharType="end"/>
          </w:r>
        </w:p>
        <w:p w14:paraId="666E95C0">
          <w:pPr>
            <w:pStyle w:val="14"/>
            <w:tabs>
              <w:tab w:val="right" w:leader="dot" w:pos="8845"/>
              <w:tab w:val="clear" w:pos="8296"/>
            </w:tabs>
            <w:rPr>
              <w:rFonts w:hint="eastAsia" w:ascii="仿宋" w:hAnsi="仿宋" w:eastAsia="仿宋" w:cs="仿宋"/>
              <w:sz w:val="24"/>
              <w:szCs w:val="24"/>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_Toc1562 </w:instrText>
          </w:r>
          <w:r>
            <w:rPr>
              <w:rFonts w:hint="eastAsia" w:ascii="仿宋" w:hAnsi="仿宋" w:eastAsia="仿宋" w:cs="仿宋"/>
              <w:sz w:val="24"/>
              <w:szCs w:val="24"/>
              <w:highlight w:val="none"/>
            </w:rPr>
            <w:fldChar w:fldCharType="separate"/>
          </w:r>
          <w:r>
            <w:rPr>
              <w:rFonts w:hint="eastAsia" w:ascii="仿宋" w:hAnsi="仿宋" w:eastAsia="仿宋" w:cs="仿宋"/>
              <w:bCs w:val="0"/>
              <w:sz w:val="24"/>
              <w:szCs w:val="24"/>
              <w:lang w:eastAsia="zh-CN"/>
            </w:rPr>
            <w:t>三、</w:t>
          </w:r>
          <w:r>
            <w:rPr>
              <w:rFonts w:hint="eastAsia" w:ascii="仿宋" w:hAnsi="仿宋" w:eastAsia="仿宋" w:cs="仿宋"/>
              <w:bCs w:val="0"/>
              <w:sz w:val="24"/>
              <w:szCs w:val="24"/>
            </w:rPr>
            <w:t>支出决算情况说明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_Toc1562 \h </w:instrText>
          </w:r>
          <w:r>
            <w:rPr>
              <w:rFonts w:hint="eastAsia" w:ascii="仿宋" w:hAnsi="仿宋" w:eastAsia="仿宋" w:cs="仿宋"/>
              <w:sz w:val="24"/>
              <w:szCs w:val="24"/>
            </w:rPr>
            <w:fldChar w:fldCharType="separate"/>
          </w:r>
          <w:r>
            <w:rPr>
              <w:rFonts w:hint="eastAsia" w:ascii="仿宋" w:hAnsi="仿宋" w:eastAsia="仿宋" w:cs="仿宋"/>
              <w:sz w:val="24"/>
              <w:szCs w:val="24"/>
            </w:rPr>
            <w:t>5</w:t>
          </w:r>
          <w:r>
            <w:rPr>
              <w:rFonts w:hint="eastAsia" w:ascii="仿宋" w:hAnsi="仿宋" w:eastAsia="仿宋" w:cs="仿宋"/>
              <w:sz w:val="24"/>
              <w:szCs w:val="24"/>
            </w:rPr>
            <w:fldChar w:fldCharType="end"/>
          </w:r>
          <w:r>
            <w:rPr>
              <w:rFonts w:hint="eastAsia" w:ascii="仿宋" w:hAnsi="仿宋" w:eastAsia="仿宋" w:cs="仿宋"/>
              <w:color w:val="auto"/>
              <w:sz w:val="24"/>
              <w:szCs w:val="24"/>
              <w:highlight w:val="none"/>
            </w:rPr>
            <w:fldChar w:fldCharType="end"/>
          </w:r>
        </w:p>
        <w:p w14:paraId="39490CD6">
          <w:pPr>
            <w:pStyle w:val="14"/>
            <w:tabs>
              <w:tab w:val="right" w:leader="dot" w:pos="8845"/>
              <w:tab w:val="clear" w:pos="8296"/>
            </w:tabs>
            <w:rPr>
              <w:rFonts w:hint="eastAsia" w:ascii="仿宋" w:hAnsi="仿宋" w:eastAsia="仿宋" w:cs="仿宋"/>
              <w:sz w:val="24"/>
              <w:szCs w:val="24"/>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_Toc14708 </w:instrText>
          </w:r>
          <w:r>
            <w:rPr>
              <w:rFonts w:hint="eastAsia" w:ascii="仿宋" w:hAnsi="仿宋" w:eastAsia="仿宋" w:cs="仿宋"/>
              <w:sz w:val="24"/>
              <w:szCs w:val="24"/>
              <w:highlight w:val="none"/>
            </w:rPr>
            <w:fldChar w:fldCharType="separate"/>
          </w:r>
          <w:r>
            <w:rPr>
              <w:rFonts w:hint="eastAsia" w:ascii="仿宋" w:hAnsi="仿宋" w:eastAsia="仿宋" w:cs="仿宋"/>
              <w:bCs w:val="0"/>
              <w:sz w:val="24"/>
              <w:szCs w:val="24"/>
            </w:rPr>
            <w:t>四、财政拨款收入支出决算总体情况说明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_Toc14708 \h </w:instrText>
          </w:r>
          <w:r>
            <w:rPr>
              <w:rFonts w:hint="eastAsia" w:ascii="仿宋" w:hAnsi="仿宋" w:eastAsia="仿宋" w:cs="仿宋"/>
              <w:sz w:val="24"/>
              <w:szCs w:val="24"/>
            </w:rPr>
            <w:fldChar w:fldCharType="separate"/>
          </w:r>
          <w:r>
            <w:rPr>
              <w:rFonts w:hint="eastAsia" w:ascii="仿宋" w:hAnsi="仿宋" w:eastAsia="仿宋" w:cs="仿宋"/>
              <w:sz w:val="24"/>
              <w:szCs w:val="24"/>
            </w:rPr>
            <w:t>6</w:t>
          </w:r>
          <w:r>
            <w:rPr>
              <w:rFonts w:hint="eastAsia" w:ascii="仿宋" w:hAnsi="仿宋" w:eastAsia="仿宋" w:cs="仿宋"/>
              <w:sz w:val="24"/>
              <w:szCs w:val="24"/>
            </w:rPr>
            <w:fldChar w:fldCharType="end"/>
          </w:r>
          <w:r>
            <w:rPr>
              <w:rFonts w:hint="eastAsia" w:ascii="仿宋" w:hAnsi="仿宋" w:eastAsia="仿宋" w:cs="仿宋"/>
              <w:color w:val="auto"/>
              <w:sz w:val="24"/>
              <w:szCs w:val="24"/>
              <w:highlight w:val="none"/>
            </w:rPr>
            <w:fldChar w:fldCharType="end"/>
          </w:r>
        </w:p>
        <w:p w14:paraId="1BA5103C">
          <w:pPr>
            <w:pStyle w:val="14"/>
            <w:tabs>
              <w:tab w:val="right" w:leader="dot" w:pos="8845"/>
              <w:tab w:val="clear" w:pos="8296"/>
            </w:tabs>
            <w:rPr>
              <w:rFonts w:hint="eastAsia" w:ascii="仿宋" w:hAnsi="仿宋" w:eastAsia="仿宋" w:cs="仿宋"/>
              <w:sz w:val="24"/>
              <w:szCs w:val="24"/>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_Toc26630 </w:instrText>
          </w:r>
          <w:r>
            <w:rPr>
              <w:rFonts w:hint="eastAsia" w:ascii="仿宋" w:hAnsi="仿宋" w:eastAsia="仿宋" w:cs="仿宋"/>
              <w:sz w:val="24"/>
              <w:szCs w:val="24"/>
              <w:highlight w:val="none"/>
            </w:rPr>
            <w:fldChar w:fldCharType="separate"/>
          </w:r>
          <w:r>
            <w:rPr>
              <w:rFonts w:hint="eastAsia" w:ascii="仿宋" w:hAnsi="仿宋" w:eastAsia="仿宋" w:cs="仿宋"/>
              <w:bCs w:val="0"/>
              <w:sz w:val="24"/>
              <w:szCs w:val="24"/>
            </w:rPr>
            <w:t>五、一般公共预算财政拨款支出决算情况说明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_Toc26630 \h </w:instrText>
          </w:r>
          <w:r>
            <w:rPr>
              <w:rFonts w:hint="eastAsia" w:ascii="仿宋" w:hAnsi="仿宋" w:eastAsia="仿宋" w:cs="仿宋"/>
              <w:sz w:val="24"/>
              <w:szCs w:val="24"/>
            </w:rPr>
            <w:fldChar w:fldCharType="separate"/>
          </w:r>
          <w:r>
            <w:rPr>
              <w:rFonts w:hint="eastAsia" w:ascii="仿宋" w:hAnsi="仿宋" w:eastAsia="仿宋" w:cs="仿宋"/>
              <w:sz w:val="24"/>
              <w:szCs w:val="24"/>
            </w:rPr>
            <w:t>7</w:t>
          </w:r>
          <w:r>
            <w:rPr>
              <w:rFonts w:hint="eastAsia" w:ascii="仿宋" w:hAnsi="仿宋" w:eastAsia="仿宋" w:cs="仿宋"/>
              <w:sz w:val="24"/>
              <w:szCs w:val="24"/>
            </w:rPr>
            <w:fldChar w:fldCharType="end"/>
          </w:r>
          <w:r>
            <w:rPr>
              <w:rFonts w:hint="eastAsia" w:ascii="仿宋" w:hAnsi="仿宋" w:eastAsia="仿宋" w:cs="仿宋"/>
              <w:color w:val="auto"/>
              <w:sz w:val="24"/>
              <w:szCs w:val="24"/>
              <w:highlight w:val="none"/>
            </w:rPr>
            <w:fldChar w:fldCharType="end"/>
          </w:r>
        </w:p>
        <w:p w14:paraId="2F8E80A8">
          <w:pPr>
            <w:pStyle w:val="14"/>
            <w:tabs>
              <w:tab w:val="right" w:leader="dot" w:pos="8845"/>
              <w:tab w:val="clear" w:pos="8296"/>
            </w:tabs>
            <w:rPr>
              <w:rFonts w:hint="eastAsia" w:ascii="仿宋" w:hAnsi="仿宋" w:eastAsia="仿宋" w:cs="仿宋"/>
              <w:sz w:val="24"/>
              <w:szCs w:val="24"/>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_Toc2597 </w:instrText>
          </w:r>
          <w:r>
            <w:rPr>
              <w:rFonts w:hint="eastAsia" w:ascii="仿宋" w:hAnsi="仿宋" w:eastAsia="仿宋" w:cs="仿宋"/>
              <w:sz w:val="24"/>
              <w:szCs w:val="24"/>
              <w:highlight w:val="none"/>
            </w:rPr>
            <w:fldChar w:fldCharType="separate"/>
          </w:r>
          <w:r>
            <w:rPr>
              <w:rFonts w:hint="eastAsia" w:ascii="仿宋" w:hAnsi="仿宋" w:eastAsia="仿宋" w:cs="仿宋"/>
              <w:bCs w:val="0"/>
              <w:sz w:val="24"/>
              <w:szCs w:val="24"/>
            </w:rPr>
            <w:t>六、一般公共预算财政拨款基本支出决算情况说明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_Toc2597 \h </w:instrText>
          </w:r>
          <w:r>
            <w:rPr>
              <w:rFonts w:hint="eastAsia" w:ascii="仿宋" w:hAnsi="仿宋" w:eastAsia="仿宋" w:cs="仿宋"/>
              <w:sz w:val="24"/>
              <w:szCs w:val="24"/>
            </w:rPr>
            <w:fldChar w:fldCharType="separate"/>
          </w:r>
          <w:r>
            <w:rPr>
              <w:rFonts w:hint="eastAsia" w:ascii="仿宋" w:hAnsi="仿宋" w:eastAsia="仿宋" w:cs="仿宋"/>
              <w:sz w:val="24"/>
              <w:szCs w:val="24"/>
            </w:rPr>
            <w:t>10</w:t>
          </w:r>
          <w:r>
            <w:rPr>
              <w:rFonts w:hint="eastAsia" w:ascii="仿宋" w:hAnsi="仿宋" w:eastAsia="仿宋" w:cs="仿宋"/>
              <w:sz w:val="24"/>
              <w:szCs w:val="24"/>
            </w:rPr>
            <w:fldChar w:fldCharType="end"/>
          </w:r>
          <w:r>
            <w:rPr>
              <w:rFonts w:hint="eastAsia" w:ascii="仿宋" w:hAnsi="仿宋" w:eastAsia="仿宋" w:cs="仿宋"/>
              <w:color w:val="auto"/>
              <w:sz w:val="24"/>
              <w:szCs w:val="24"/>
              <w:highlight w:val="none"/>
            </w:rPr>
            <w:fldChar w:fldCharType="end"/>
          </w:r>
        </w:p>
        <w:p w14:paraId="51E1E69F">
          <w:pPr>
            <w:pStyle w:val="14"/>
            <w:tabs>
              <w:tab w:val="right" w:leader="dot" w:pos="8845"/>
              <w:tab w:val="clear" w:pos="8296"/>
            </w:tabs>
            <w:rPr>
              <w:rFonts w:hint="eastAsia" w:ascii="仿宋" w:hAnsi="仿宋" w:eastAsia="仿宋" w:cs="仿宋"/>
              <w:sz w:val="24"/>
              <w:szCs w:val="24"/>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_Toc17207 </w:instrText>
          </w:r>
          <w:r>
            <w:rPr>
              <w:rFonts w:hint="eastAsia" w:ascii="仿宋" w:hAnsi="仿宋" w:eastAsia="仿宋" w:cs="仿宋"/>
              <w:sz w:val="24"/>
              <w:szCs w:val="24"/>
              <w:highlight w:val="none"/>
            </w:rPr>
            <w:fldChar w:fldCharType="separate"/>
          </w:r>
          <w:r>
            <w:rPr>
              <w:rFonts w:hint="eastAsia" w:ascii="仿宋" w:hAnsi="仿宋" w:eastAsia="仿宋" w:cs="仿宋"/>
              <w:bCs w:val="0"/>
              <w:sz w:val="24"/>
              <w:szCs w:val="24"/>
            </w:rPr>
            <w:t>七、财政拨款“三公”经费支出决算情况说明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_Toc17207 \h </w:instrText>
          </w:r>
          <w:r>
            <w:rPr>
              <w:rFonts w:hint="eastAsia" w:ascii="仿宋" w:hAnsi="仿宋" w:eastAsia="仿宋" w:cs="仿宋"/>
              <w:sz w:val="24"/>
              <w:szCs w:val="24"/>
            </w:rPr>
            <w:fldChar w:fldCharType="separate"/>
          </w:r>
          <w:r>
            <w:rPr>
              <w:rFonts w:hint="eastAsia" w:ascii="仿宋" w:hAnsi="仿宋" w:eastAsia="仿宋" w:cs="仿宋"/>
              <w:sz w:val="24"/>
              <w:szCs w:val="24"/>
            </w:rPr>
            <w:t>11</w:t>
          </w:r>
          <w:r>
            <w:rPr>
              <w:rFonts w:hint="eastAsia" w:ascii="仿宋" w:hAnsi="仿宋" w:eastAsia="仿宋" w:cs="仿宋"/>
              <w:sz w:val="24"/>
              <w:szCs w:val="24"/>
            </w:rPr>
            <w:fldChar w:fldCharType="end"/>
          </w:r>
          <w:r>
            <w:rPr>
              <w:rFonts w:hint="eastAsia" w:ascii="仿宋" w:hAnsi="仿宋" w:eastAsia="仿宋" w:cs="仿宋"/>
              <w:color w:val="auto"/>
              <w:sz w:val="24"/>
              <w:szCs w:val="24"/>
              <w:highlight w:val="none"/>
            </w:rPr>
            <w:fldChar w:fldCharType="end"/>
          </w:r>
        </w:p>
        <w:p w14:paraId="708B4846">
          <w:pPr>
            <w:pStyle w:val="14"/>
            <w:tabs>
              <w:tab w:val="right" w:leader="dot" w:pos="8845"/>
              <w:tab w:val="clear" w:pos="8296"/>
            </w:tabs>
            <w:rPr>
              <w:rFonts w:hint="eastAsia" w:ascii="仿宋" w:hAnsi="仿宋" w:eastAsia="仿宋" w:cs="仿宋"/>
              <w:sz w:val="24"/>
              <w:szCs w:val="24"/>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_Toc32482 </w:instrText>
          </w:r>
          <w:r>
            <w:rPr>
              <w:rFonts w:hint="eastAsia" w:ascii="仿宋" w:hAnsi="仿宋" w:eastAsia="仿宋" w:cs="仿宋"/>
              <w:sz w:val="24"/>
              <w:szCs w:val="24"/>
              <w:highlight w:val="none"/>
            </w:rPr>
            <w:fldChar w:fldCharType="separate"/>
          </w:r>
          <w:r>
            <w:rPr>
              <w:rFonts w:hint="eastAsia" w:ascii="仿宋" w:hAnsi="仿宋" w:eastAsia="仿宋" w:cs="仿宋"/>
              <w:bCs w:val="0"/>
              <w:sz w:val="24"/>
              <w:szCs w:val="24"/>
            </w:rPr>
            <w:t>八、政府性基金预算支出决算情况说明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_Toc32482 \h </w:instrText>
          </w:r>
          <w:r>
            <w:rPr>
              <w:rFonts w:hint="eastAsia" w:ascii="仿宋" w:hAnsi="仿宋" w:eastAsia="仿宋" w:cs="仿宋"/>
              <w:sz w:val="24"/>
              <w:szCs w:val="24"/>
            </w:rPr>
            <w:fldChar w:fldCharType="separate"/>
          </w:r>
          <w:r>
            <w:rPr>
              <w:rFonts w:hint="eastAsia" w:ascii="仿宋" w:hAnsi="仿宋" w:eastAsia="仿宋" w:cs="仿宋"/>
              <w:sz w:val="24"/>
              <w:szCs w:val="24"/>
            </w:rPr>
            <w:t>13</w:t>
          </w:r>
          <w:r>
            <w:rPr>
              <w:rFonts w:hint="eastAsia" w:ascii="仿宋" w:hAnsi="仿宋" w:eastAsia="仿宋" w:cs="仿宋"/>
              <w:sz w:val="24"/>
              <w:szCs w:val="24"/>
            </w:rPr>
            <w:fldChar w:fldCharType="end"/>
          </w:r>
          <w:r>
            <w:rPr>
              <w:rFonts w:hint="eastAsia" w:ascii="仿宋" w:hAnsi="仿宋" w:eastAsia="仿宋" w:cs="仿宋"/>
              <w:color w:val="auto"/>
              <w:sz w:val="24"/>
              <w:szCs w:val="24"/>
              <w:highlight w:val="none"/>
            </w:rPr>
            <w:fldChar w:fldCharType="end"/>
          </w:r>
        </w:p>
        <w:p w14:paraId="08244B97">
          <w:pPr>
            <w:pStyle w:val="14"/>
            <w:tabs>
              <w:tab w:val="right" w:leader="dot" w:pos="8845"/>
              <w:tab w:val="clear" w:pos="8296"/>
            </w:tabs>
            <w:rPr>
              <w:rFonts w:hint="eastAsia" w:ascii="仿宋" w:hAnsi="仿宋" w:eastAsia="仿宋" w:cs="仿宋"/>
              <w:sz w:val="24"/>
              <w:szCs w:val="24"/>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_Toc1965 </w:instrText>
          </w:r>
          <w:r>
            <w:rPr>
              <w:rFonts w:hint="eastAsia" w:ascii="仿宋" w:hAnsi="仿宋" w:eastAsia="仿宋" w:cs="仿宋"/>
              <w:sz w:val="24"/>
              <w:szCs w:val="24"/>
              <w:highlight w:val="none"/>
            </w:rPr>
            <w:fldChar w:fldCharType="separate"/>
          </w:r>
          <w:r>
            <w:rPr>
              <w:rFonts w:hint="eastAsia" w:ascii="仿宋" w:hAnsi="仿宋" w:eastAsia="仿宋" w:cs="仿宋"/>
              <w:bCs w:val="0"/>
              <w:sz w:val="24"/>
              <w:szCs w:val="24"/>
              <w:lang w:eastAsia="zh-CN"/>
            </w:rPr>
            <w:t>九、</w:t>
          </w:r>
          <w:r>
            <w:rPr>
              <w:rFonts w:hint="eastAsia" w:ascii="仿宋" w:hAnsi="仿宋" w:eastAsia="仿宋" w:cs="仿宋"/>
              <w:bCs w:val="0"/>
              <w:sz w:val="24"/>
              <w:szCs w:val="24"/>
            </w:rPr>
            <w:t>国有资本经营预算支出决算情况说明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_Toc1965 \h </w:instrText>
          </w:r>
          <w:r>
            <w:rPr>
              <w:rFonts w:hint="eastAsia" w:ascii="仿宋" w:hAnsi="仿宋" w:eastAsia="仿宋" w:cs="仿宋"/>
              <w:sz w:val="24"/>
              <w:szCs w:val="24"/>
            </w:rPr>
            <w:fldChar w:fldCharType="separate"/>
          </w:r>
          <w:r>
            <w:rPr>
              <w:rFonts w:hint="eastAsia" w:ascii="仿宋" w:hAnsi="仿宋" w:eastAsia="仿宋" w:cs="仿宋"/>
              <w:sz w:val="24"/>
              <w:szCs w:val="24"/>
            </w:rPr>
            <w:t>13</w:t>
          </w:r>
          <w:r>
            <w:rPr>
              <w:rFonts w:hint="eastAsia" w:ascii="仿宋" w:hAnsi="仿宋" w:eastAsia="仿宋" w:cs="仿宋"/>
              <w:sz w:val="24"/>
              <w:szCs w:val="24"/>
            </w:rPr>
            <w:fldChar w:fldCharType="end"/>
          </w:r>
          <w:r>
            <w:rPr>
              <w:rFonts w:hint="eastAsia" w:ascii="仿宋" w:hAnsi="仿宋" w:eastAsia="仿宋" w:cs="仿宋"/>
              <w:color w:val="auto"/>
              <w:sz w:val="24"/>
              <w:szCs w:val="24"/>
              <w:highlight w:val="none"/>
            </w:rPr>
            <w:fldChar w:fldCharType="end"/>
          </w:r>
        </w:p>
        <w:p w14:paraId="5CD7F001">
          <w:pPr>
            <w:pStyle w:val="14"/>
            <w:tabs>
              <w:tab w:val="right" w:leader="dot" w:pos="8845"/>
              <w:tab w:val="clear" w:pos="8296"/>
            </w:tabs>
            <w:rPr>
              <w:sz w:val="24"/>
              <w:szCs w:val="24"/>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_Toc10391 </w:instrText>
          </w:r>
          <w:r>
            <w:rPr>
              <w:rFonts w:hint="eastAsia" w:ascii="仿宋" w:hAnsi="仿宋" w:eastAsia="仿宋" w:cs="仿宋"/>
              <w:sz w:val="24"/>
              <w:szCs w:val="24"/>
              <w:highlight w:val="none"/>
            </w:rPr>
            <w:fldChar w:fldCharType="separate"/>
          </w:r>
          <w:r>
            <w:rPr>
              <w:rFonts w:hint="eastAsia" w:ascii="仿宋" w:hAnsi="仿宋" w:eastAsia="仿宋" w:cs="仿宋"/>
              <w:bCs w:val="0"/>
              <w:sz w:val="24"/>
              <w:szCs w:val="24"/>
              <w:lang w:eastAsia="zh-CN"/>
            </w:rPr>
            <w:t>十、</w:t>
          </w:r>
          <w:r>
            <w:rPr>
              <w:rFonts w:hint="eastAsia" w:ascii="仿宋" w:hAnsi="仿宋" w:eastAsia="仿宋" w:cs="仿宋"/>
              <w:bCs w:val="0"/>
              <w:sz w:val="24"/>
              <w:szCs w:val="24"/>
            </w:rPr>
            <w:t>其他重要事项的情况说明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_Toc10391 \h </w:instrText>
          </w:r>
          <w:r>
            <w:rPr>
              <w:rFonts w:hint="eastAsia" w:ascii="仿宋" w:hAnsi="仿宋" w:eastAsia="仿宋" w:cs="仿宋"/>
              <w:sz w:val="24"/>
              <w:szCs w:val="24"/>
            </w:rPr>
            <w:fldChar w:fldCharType="separate"/>
          </w:r>
          <w:r>
            <w:rPr>
              <w:rFonts w:hint="eastAsia" w:ascii="仿宋" w:hAnsi="仿宋" w:eastAsia="仿宋" w:cs="仿宋"/>
              <w:sz w:val="24"/>
              <w:szCs w:val="24"/>
            </w:rPr>
            <w:t>13</w:t>
          </w:r>
          <w:r>
            <w:rPr>
              <w:rFonts w:hint="eastAsia" w:ascii="仿宋" w:hAnsi="仿宋" w:eastAsia="仿宋" w:cs="仿宋"/>
              <w:sz w:val="24"/>
              <w:szCs w:val="24"/>
            </w:rPr>
            <w:fldChar w:fldCharType="end"/>
          </w:r>
          <w:r>
            <w:rPr>
              <w:rFonts w:hint="eastAsia" w:ascii="仿宋" w:hAnsi="仿宋" w:eastAsia="仿宋" w:cs="仿宋"/>
              <w:color w:val="auto"/>
              <w:sz w:val="24"/>
              <w:szCs w:val="24"/>
              <w:highlight w:val="none"/>
            </w:rPr>
            <w:fldChar w:fldCharType="end"/>
          </w:r>
        </w:p>
        <w:p w14:paraId="3BA5BFD1">
          <w:pPr>
            <w:pStyle w:val="12"/>
            <w:tabs>
              <w:tab w:val="right" w:leader="dot" w:pos="8845"/>
              <w:tab w:val="clear" w:pos="8296"/>
            </w:tabs>
            <w:rPr>
              <w:sz w:val="24"/>
              <w:szCs w:val="24"/>
            </w:rPr>
          </w:pPr>
          <w:r>
            <w:rPr>
              <w:rFonts w:ascii="Times New Roman" w:hAnsi="Times New Roman" w:eastAsia="黑体" w:cstheme="minorBidi"/>
              <w:color w:val="auto"/>
              <w:sz w:val="24"/>
              <w:szCs w:val="24"/>
              <w:highlight w:val="none"/>
            </w:rPr>
            <w:fldChar w:fldCharType="begin"/>
          </w:r>
          <w:r>
            <w:rPr>
              <w:rFonts w:ascii="Times New Roman" w:hAnsi="Times New Roman" w:eastAsia="黑体" w:cstheme="minorBidi"/>
              <w:sz w:val="24"/>
              <w:szCs w:val="24"/>
              <w:highlight w:val="none"/>
            </w:rPr>
            <w:instrText xml:space="preserve"> HYPERLINK \l _Toc2022 </w:instrText>
          </w:r>
          <w:r>
            <w:rPr>
              <w:rFonts w:ascii="Times New Roman" w:hAnsi="Times New Roman" w:eastAsia="黑体" w:cstheme="minorBidi"/>
              <w:sz w:val="24"/>
              <w:szCs w:val="24"/>
              <w:highlight w:val="none"/>
            </w:rPr>
            <w:fldChar w:fldCharType="separate"/>
          </w:r>
          <w:r>
            <w:rPr>
              <w:rFonts w:hint="eastAsia"/>
              <w:sz w:val="32"/>
              <w:szCs w:val="32"/>
            </w:rPr>
            <w:t>第</w:t>
          </w:r>
          <w:r>
            <w:rPr>
              <w:rFonts w:hint="eastAsia"/>
              <w:sz w:val="32"/>
              <w:szCs w:val="32"/>
              <w:lang w:eastAsia="zh-CN"/>
            </w:rPr>
            <w:t>三</w:t>
          </w:r>
          <w:r>
            <w:rPr>
              <w:rFonts w:hint="eastAsia"/>
              <w:sz w:val="32"/>
              <w:szCs w:val="32"/>
            </w:rPr>
            <w:t>部分</w:t>
          </w:r>
          <w:r>
            <w:rPr>
              <w:rFonts w:hint="eastAsia"/>
              <w:sz w:val="32"/>
              <w:szCs w:val="32"/>
              <w:lang w:val="en-US" w:eastAsia="zh-CN"/>
            </w:rPr>
            <w:t xml:space="preserve">  </w:t>
          </w:r>
          <w:r>
            <w:rPr>
              <w:rFonts w:hint="eastAsia"/>
              <w:sz w:val="32"/>
              <w:szCs w:val="32"/>
            </w:rPr>
            <w:t>名词解释</w:t>
          </w:r>
          <w:r>
            <w:rPr>
              <w:sz w:val="24"/>
              <w:szCs w:val="24"/>
            </w:rPr>
            <w:tab/>
          </w:r>
          <w:r>
            <w:rPr>
              <w:sz w:val="30"/>
              <w:szCs w:val="30"/>
            </w:rPr>
            <w:fldChar w:fldCharType="begin"/>
          </w:r>
          <w:r>
            <w:rPr>
              <w:sz w:val="30"/>
              <w:szCs w:val="30"/>
            </w:rPr>
            <w:instrText xml:space="preserve"> PAGEREF _Toc2022 \h </w:instrText>
          </w:r>
          <w:r>
            <w:rPr>
              <w:sz w:val="30"/>
              <w:szCs w:val="30"/>
            </w:rPr>
            <w:fldChar w:fldCharType="separate"/>
          </w:r>
          <w:r>
            <w:rPr>
              <w:sz w:val="30"/>
              <w:szCs w:val="30"/>
            </w:rPr>
            <w:t>16</w:t>
          </w:r>
          <w:r>
            <w:rPr>
              <w:sz w:val="30"/>
              <w:szCs w:val="30"/>
            </w:rPr>
            <w:fldChar w:fldCharType="end"/>
          </w:r>
          <w:r>
            <w:rPr>
              <w:rFonts w:ascii="Times New Roman" w:hAnsi="Times New Roman" w:eastAsia="黑体" w:cstheme="minorBidi"/>
              <w:color w:val="auto"/>
              <w:sz w:val="24"/>
              <w:szCs w:val="24"/>
              <w:highlight w:val="none"/>
            </w:rPr>
            <w:fldChar w:fldCharType="end"/>
          </w:r>
        </w:p>
        <w:p w14:paraId="0217CA19">
          <w:pPr>
            <w:pStyle w:val="12"/>
            <w:tabs>
              <w:tab w:val="right" w:leader="dot" w:pos="8845"/>
              <w:tab w:val="clear" w:pos="8296"/>
            </w:tabs>
            <w:rPr>
              <w:sz w:val="30"/>
              <w:szCs w:val="30"/>
            </w:rPr>
          </w:pPr>
          <w:r>
            <w:rPr>
              <w:rFonts w:ascii="Times New Roman" w:hAnsi="Times New Roman" w:eastAsia="黑体" w:cstheme="minorBidi"/>
              <w:color w:val="auto"/>
              <w:sz w:val="30"/>
              <w:szCs w:val="30"/>
              <w:highlight w:val="none"/>
            </w:rPr>
            <w:fldChar w:fldCharType="begin"/>
          </w:r>
          <w:r>
            <w:rPr>
              <w:rFonts w:ascii="Times New Roman" w:hAnsi="Times New Roman" w:eastAsia="黑体" w:cstheme="minorBidi"/>
              <w:sz w:val="30"/>
              <w:szCs w:val="30"/>
              <w:highlight w:val="none"/>
            </w:rPr>
            <w:instrText xml:space="preserve"> HYPERLINK \l _Toc2056 </w:instrText>
          </w:r>
          <w:r>
            <w:rPr>
              <w:rFonts w:ascii="Times New Roman" w:hAnsi="Times New Roman" w:eastAsia="黑体" w:cstheme="minorBidi"/>
              <w:sz w:val="30"/>
              <w:szCs w:val="30"/>
              <w:highlight w:val="none"/>
            </w:rPr>
            <w:fldChar w:fldCharType="separate"/>
          </w:r>
          <w:r>
            <w:rPr>
              <w:rFonts w:hint="eastAsia"/>
              <w:sz w:val="30"/>
              <w:szCs w:val="30"/>
              <w:lang w:val="en-US" w:eastAsia="zh-CN"/>
            </w:rPr>
            <w:t>第四部分</w:t>
          </w:r>
          <w:r>
            <w:rPr>
              <w:rFonts w:hint="eastAsia"/>
              <w:sz w:val="30"/>
              <w:szCs w:val="30"/>
            </w:rPr>
            <w:t xml:space="preserve"> 附件</w:t>
          </w:r>
          <w:r>
            <w:rPr>
              <w:sz w:val="30"/>
              <w:szCs w:val="30"/>
            </w:rPr>
            <w:tab/>
          </w:r>
          <w:r>
            <w:rPr>
              <w:sz w:val="30"/>
              <w:szCs w:val="30"/>
            </w:rPr>
            <w:fldChar w:fldCharType="begin"/>
          </w:r>
          <w:r>
            <w:rPr>
              <w:sz w:val="30"/>
              <w:szCs w:val="30"/>
            </w:rPr>
            <w:instrText xml:space="preserve"> PAGEREF _Toc2056 \h </w:instrText>
          </w:r>
          <w:r>
            <w:rPr>
              <w:sz w:val="30"/>
              <w:szCs w:val="30"/>
            </w:rPr>
            <w:fldChar w:fldCharType="separate"/>
          </w:r>
          <w:r>
            <w:rPr>
              <w:sz w:val="30"/>
              <w:szCs w:val="30"/>
            </w:rPr>
            <w:t>19</w:t>
          </w:r>
          <w:r>
            <w:rPr>
              <w:sz w:val="30"/>
              <w:szCs w:val="30"/>
            </w:rPr>
            <w:fldChar w:fldCharType="end"/>
          </w:r>
          <w:r>
            <w:rPr>
              <w:rFonts w:ascii="Times New Roman" w:hAnsi="Times New Roman" w:eastAsia="黑体" w:cstheme="minorBidi"/>
              <w:color w:val="auto"/>
              <w:sz w:val="30"/>
              <w:szCs w:val="30"/>
              <w:highlight w:val="none"/>
            </w:rPr>
            <w:fldChar w:fldCharType="end"/>
          </w:r>
        </w:p>
        <w:p w14:paraId="5DF21CAB">
          <w:pPr>
            <w:pStyle w:val="14"/>
            <w:tabs>
              <w:tab w:val="right" w:leader="dot" w:pos="8845"/>
              <w:tab w:val="clear" w:pos="8296"/>
            </w:tabs>
            <w:rPr>
              <w:sz w:val="24"/>
              <w:szCs w:val="24"/>
            </w:rPr>
          </w:pPr>
          <w:r>
            <w:rPr>
              <w:rFonts w:ascii="Times New Roman" w:hAnsi="Times New Roman" w:eastAsia="黑体" w:cstheme="minorBidi"/>
              <w:color w:val="auto"/>
              <w:sz w:val="24"/>
              <w:szCs w:val="24"/>
              <w:highlight w:val="none"/>
            </w:rPr>
            <w:fldChar w:fldCharType="begin"/>
          </w:r>
          <w:r>
            <w:rPr>
              <w:rFonts w:ascii="Times New Roman" w:hAnsi="Times New Roman" w:eastAsia="黑体" w:cstheme="minorBidi"/>
              <w:sz w:val="24"/>
              <w:szCs w:val="24"/>
              <w:highlight w:val="none"/>
            </w:rPr>
            <w:instrText xml:space="preserve"> HYPERLINK \l _Toc16614 </w:instrText>
          </w:r>
          <w:r>
            <w:rPr>
              <w:rFonts w:ascii="Times New Roman" w:hAnsi="Times New Roman" w:eastAsia="黑体" w:cstheme="minorBidi"/>
              <w:sz w:val="24"/>
              <w:szCs w:val="24"/>
              <w:highlight w:val="none"/>
            </w:rPr>
            <w:fldChar w:fldCharType="separate"/>
          </w:r>
          <w:r>
            <w:rPr>
              <w:rFonts w:hint="eastAsia" w:ascii="仿宋" w:hAnsi="仿宋" w:eastAsia="仿宋" w:cs="仿宋"/>
              <w:bCs w:val="0"/>
              <w:sz w:val="24"/>
              <w:szCs w:val="24"/>
            </w:rPr>
            <w:t>部门预算项目支出绩效自评表（202</w:t>
          </w:r>
          <w:r>
            <w:rPr>
              <w:rFonts w:hint="eastAsia" w:ascii="仿宋" w:hAnsi="仿宋" w:eastAsia="仿宋" w:cs="仿宋"/>
              <w:bCs w:val="0"/>
              <w:sz w:val="24"/>
              <w:szCs w:val="24"/>
              <w:lang w:val="en-US" w:eastAsia="zh-CN"/>
            </w:rPr>
            <w:t>5</w:t>
          </w:r>
          <w:r>
            <w:rPr>
              <w:rFonts w:hint="eastAsia" w:ascii="仿宋" w:hAnsi="仿宋" w:eastAsia="仿宋" w:cs="仿宋"/>
              <w:bCs w:val="0"/>
              <w:sz w:val="24"/>
              <w:szCs w:val="24"/>
            </w:rPr>
            <w:t>年度）</w:t>
          </w:r>
          <w:r>
            <w:rPr>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_Toc16614 \h </w:instrText>
          </w:r>
          <w:r>
            <w:rPr>
              <w:rFonts w:hint="eastAsia" w:ascii="仿宋" w:hAnsi="仿宋" w:eastAsia="仿宋" w:cs="仿宋"/>
              <w:sz w:val="24"/>
              <w:szCs w:val="24"/>
            </w:rPr>
            <w:fldChar w:fldCharType="separate"/>
          </w:r>
          <w:r>
            <w:rPr>
              <w:rFonts w:hint="eastAsia" w:ascii="仿宋" w:hAnsi="仿宋" w:eastAsia="仿宋" w:cs="仿宋"/>
              <w:sz w:val="24"/>
              <w:szCs w:val="24"/>
            </w:rPr>
            <w:t>19</w:t>
          </w:r>
          <w:r>
            <w:rPr>
              <w:rFonts w:hint="eastAsia" w:ascii="仿宋" w:hAnsi="仿宋" w:eastAsia="仿宋" w:cs="仿宋"/>
              <w:sz w:val="24"/>
              <w:szCs w:val="24"/>
            </w:rPr>
            <w:fldChar w:fldCharType="end"/>
          </w:r>
          <w:r>
            <w:rPr>
              <w:rFonts w:ascii="Times New Roman" w:hAnsi="Times New Roman" w:eastAsia="黑体" w:cstheme="minorBidi"/>
              <w:color w:val="auto"/>
              <w:sz w:val="24"/>
              <w:szCs w:val="24"/>
              <w:highlight w:val="none"/>
            </w:rPr>
            <w:fldChar w:fldCharType="end"/>
          </w:r>
        </w:p>
        <w:p w14:paraId="2C1AF25C">
          <w:pPr>
            <w:pStyle w:val="12"/>
            <w:tabs>
              <w:tab w:val="right" w:leader="dot" w:pos="8845"/>
              <w:tab w:val="clear" w:pos="8296"/>
            </w:tabs>
            <w:rPr>
              <w:sz w:val="24"/>
              <w:szCs w:val="24"/>
            </w:rPr>
          </w:pPr>
          <w:r>
            <w:rPr>
              <w:rFonts w:ascii="Times New Roman" w:hAnsi="Times New Roman" w:eastAsia="黑体" w:cstheme="minorBidi"/>
              <w:color w:val="auto"/>
              <w:sz w:val="24"/>
              <w:szCs w:val="24"/>
              <w:highlight w:val="none"/>
            </w:rPr>
            <w:fldChar w:fldCharType="begin"/>
          </w:r>
          <w:r>
            <w:rPr>
              <w:rFonts w:ascii="Times New Roman" w:hAnsi="Times New Roman" w:eastAsia="黑体" w:cstheme="minorBidi"/>
              <w:sz w:val="24"/>
              <w:szCs w:val="24"/>
              <w:highlight w:val="none"/>
            </w:rPr>
            <w:instrText xml:space="preserve"> HYPERLINK \l _Toc28714 </w:instrText>
          </w:r>
          <w:r>
            <w:rPr>
              <w:rFonts w:ascii="Times New Roman" w:hAnsi="Times New Roman" w:eastAsia="黑体" w:cstheme="minorBidi"/>
              <w:sz w:val="24"/>
              <w:szCs w:val="24"/>
              <w:highlight w:val="none"/>
            </w:rPr>
            <w:fldChar w:fldCharType="separate"/>
          </w:r>
          <w:r>
            <w:rPr>
              <w:rFonts w:hint="eastAsia"/>
              <w:sz w:val="32"/>
              <w:szCs w:val="32"/>
            </w:rPr>
            <w:t>第五部分 附表</w:t>
          </w:r>
          <w:r>
            <w:rPr>
              <w:sz w:val="24"/>
              <w:szCs w:val="24"/>
            </w:rPr>
            <w:tab/>
          </w:r>
          <w:r>
            <w:rPr>
              <w:sz w:val="30"/>
              <w:szCs w:val="30"/>
            </w:rPr>
            <w:fldChar w:fldCharType="begin"/>
          </w:r>
          <w:r>
            <w:rPr>
              <w:sz w:val="30"/>
              <w:szCs w:val="30"/>
            </w:rPr>
            <w:instrText xml:space="preserve"> PAGEREF _Toc28714 \h </w:instrText>
          </w:r>
          <w:r>
            <w:rPr>
              <w:sz w:val="30"/>
              <w:szCs w:val="30"/>
            </w:rPr>
            <w:fldChar w:fldCharType="separate"/>
          </w:r>
          <w:r>
            <w:rPr>
              <w:sz w:val="30"/>
              <w:szCs w:val="30"/>
            </w:rPr>
            <w:t>20</w:t>
          </w:r>
          <w:r>
            <w:rPr>
              <w:sz w:val="30"/>
              <w:szCs w:val="30"/>
            </w:rPr>
            <w:fldChar w:fldCharType="end"/>
          </w:r>
          <w:r>
            <w:rPr>
              <w:rFonts w:ascii="Times New Roman" w:hAnsi="Times New Roman" w:eastAsia="黑体" w:cstheme="minorBidi"/>
              <w:color w:val="auto"/>
              <w:sz w:val="24"/>
              <w:szCs w:val="24"/>
              <w:highlight w:val="none"/>
            </w:rPr>
            <w:fldChar w:fldCharType="end"/>
          </w:r>
        </w:p>
        <w:p w14:paraId="2BC020FA">
          <w:pPr>
            <w:pStyle w:val="14"/>
            <w:tabs>
              <w:tab w:val="right" w:leader="dot" w:pos="8845"/>
              <w:tab w:val="clear" w:pos="8296"/>
            </w:tabs>
            <w:rPr>
              <w:rFonts w:hint="eastAsia" w:ascii="仿宋" w:hAnsi="仿宋" w:eastAsia="仿宋" w:cs="仿宋"/>
              <w:sz w:val="24"/>
              <w:szCs w:val="24"/>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_Toc947 </w:instrText>
          </w:r>
          <w:r>
            <w:rPr>
              <w:rFonts w:hint="eastAsia" w:ascii="仿宋" w:hAnsi="仿宋" w:eastAsia="仿宋" w:cs="仿宋"/>
              <w:sz w:val="24"/>
              <w:szCs w:val="24"/>
              <w:highlight w:val="none"/>
            </w:rPr>
            <w:fldChar w:fldCharType="separate"/>
          </w:r>
          <w:r>
            <w:rPr>
              <w:rFonts w:hint="eastAsia" w:ascii="仿宋" w:hAnsi="仿宋" w:eastAsia="仿宋" w:cs="仿宋"/>
              <w:bCs w:val="0"/>
              <w:sz w:val="24"/>
              <w:szCs w:val="24"/>
            </w:rPr>
            <w:t>一、收入支出决算总表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_Toc947 \h </w:instrText>
          </w:r>
          <w:r>
            <w:rPr>
              <w:rFonts w:hint="eastAsia" w:ascii="仿宋" w:hAnsi="仿宋" w:eastAsia="仿宋" w:cs="仿宋"/>
              <w:sz w:val="24"/>
              <w:szCs w:val="24"/>
            </w:rPr>
            <w:fldChar w:fldCharType="separate"/>
          </w:r>
          <w:r>
            <w:rPr>
              <w:rFonts w:hint="eastAsia" w:ascii="仿宋" w:hAnsi="仿宋" w:eastAsia="仿宋" w:cs="仿宋"/>
              <w:sz w:val="24"/>
              <w:szCs w:val="24"/>
            </w:rPr>
            <w:t>20</w:t>
          </w:r>
          <w:r>
            <w:rPr>
              <w:rFonts w:hint="eastAsia" w:ascii="仿宋" w:hAnsi="仿宋" w:eastAsia="仿宋" w:cs="仿宋"/>
              <w:sz w:val="24"/>
              <w:szCs w:val="24"/>
            </w:rPr>
            <w:fldChar w:fldCharType="end"/>
          </w:r>
          <w:r>
            <w:rPr>
              <w:rFonts w:hint="eastAsia" w:ascii="仿宋" w:hAnsi="仿宋" w:eastAsia="仿宋" w:cs="仿宋"/>
              <w:color w:val="auto"/>
              <w:sz w:val="24"/>
              <w:szCs w:val="24"/>
              <w:highlight w:val="none"/>
            </w:rPr>
            <w:fldChar w:fldCharType="end"/>
          </w:r>
        </w:p>
        <w:p w14:paraId="20008461">
          <w:pPr>
            <w:pStyle w:val="14"/>
            <w:tabs>
              <w:tab w:val="right" w:leader="dot" w:pos="8845"/>
              <w:tab w:val="clear" w:pos="8296"/>
            </w:tabs>
            <w:rPr>
              <w:rFonts w:hint="eastAsia" w:ascii="仿宋" w:hAnsi="仿宋" w:eastAsia="仿宋" w:cs="仿宋"/>
              <w:sz w:val="24"/>
              <w:szCs w:val="24"/>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_Toc6222 </w:instrText>
          </w:r>
          <w:r>
            <w:rPr>
              <w:rFonts w:hint="eastAsia" w:ascii="仿宋" w:hAnsi="仿宋" w:eastAsia="仿宋" w:cs="仿宋"/>
              <w:sz w:val="24"/>
              <w:szCs w:val="24"/>
              <w:highlight w:val="none"/>
            </w:rPr>
            <w:fldChar w:fldCharType="separate"/>
          </w:r>
          <w:r>
            <w:rPr>
              <w:rFonts w:hint="eastAsia" w:ascii="仿宋" w:hAnsi="仿宋" w:eastAsia="仿宋" w:cs="仿宋"/>
              <w:bCs w:val="0"/>
              <w:sz w:val="24"/>
              <w:szCs w:val="24"/>
            </w:rPr>
            <w:t>二、收入决算表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_Toc6222 \h </w:instrText>
          </w:r>
          <w:r>
            <w:rPr>
              <w:rFonts w:hint="eastAsia" w:ascii="仿宋" w:hAnsi="仿宋" w:eastAsia="仿宋" w:cs="仿宋"/>
              <w:sz w:val="24"/>
              <w:szCs w:val="24"/>
            </w:rPr>
            <w:fldChar w:fldCharType="separate"/>
          </w:r>
          <w:r>
            <w:rPr>
              <w:rFonts w:hint="eastAsia" w:ascii="仿宋" w:hAnsi="仿宋" w:eastAsia="仿宋" w:cs="仿宋"/>
              <w:sz w:val="24"/>
              <w:szCs w:val="24"/>
            </w:rPr>
            <w:t>20</w:t>
          </w:r>
          <w:r>
            <w:rPr>
              <w:rFonts w:hint="eastAsia" w:ascii="仿宋" w:hAnsi="仿宋" w:eastAsia="仿宋" w:cs="仿宋"/>
              <w:sz w:val="24"/>
              <w:szCs w:val="24"/>
            </w:rPr>
            <w:fldChar w:fldCharType="end"/>
          </w:r>
          <w:r>
            <w:rPr>
              <w:rFonts w:hint="eastAsia" w:ascii="仿宋" w:hAnsi="仿宋" w:eastAsia="仿宋" w:cs="仿宋"/>
              <w:color w:val="auto"/>
              <w:sz w:val="24"/>
              <w:szCs w:val="24"/>
              <w:highlight w:val="none"/>
            </w:rPr>
            <w:fldChar w:fldCharType="end"/>
          </w:r>
        </w:p>
        <w:p w14:paraId="64CBDEC5">
          <w:pPr>
            <w:pStyle w:val="14"/>
            <w:tabs>
              <w:tab w:val="right" w:leader="dot" w:pos="8845"/>
              <w:tab w:val="clear" w:pos="8296"/>
            </w:tabs>
            <w:rPr>
              <w:rFonts w:hint="eastAsia" w:ascii="仿宋" w:hAnsi="仿宋" w:eastAsia="仿宋" w:cs="仿宋"/>
              <w:sz w:val="24"/>
              <w:szCs w:val="24"/>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_Toc4936 </w:instrText>
          </w:r>
          <w:r>
            <w:rPr>
              <w:rFonts w:hint="eastAsia" w:ascii="仿宋" w:hAnsi="仿宋" w:eastAsia="仿宋" w:cs="仿宋"/>
              <w:sz w:val="24"/>
              <w:szCs w:val="24"/>
              <w:highlight w:val="none"/>
            </w:rPr>
            <w:fldChar w:fldCharType="separate"/>
          </w:r>
          <w:r>
            <w:rPr>
              <w:rFonts w:hint="eastAsia" w:ascii="仿宋" w:hAnsi="仿宋" w:eastAsia="仿宋" w:cs="仿宋"/>
              <w:bCs w:val="0"/>
              <w:sz w:val="24"/>
              <w:szCs w:val="24"/>
            </w:rPr>
            <w:t>三、支出决算表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_Toc4936 \h </w:instrText>
          </w:r>
          <w:r>
            <w:rPr>
              <w:rFonts w:hint="eastAsia" w:ascii="仿宋" w:hAnsi="仿宋" w:eastAsia="仿宋" w:cs="仿宋"/>
              <w:sz w:val="24"/>
              <w:szCs w:val="24"/>
            </w:rPr>
            <w:fldChar w:fldCharType="separate"/>
          </w:r>
          <w:r>
            <w:rPr>
              <w:rFonts w:hint="eastAsia" w:ascii="仿宋" w:hAnsi="仿宋" w:eastAsia="仿宋" w:cs="仿宋"/>
              <w:sz w:val="24"/>
              <w:szCs w:val="24"/>
            </w:rPr>
            <w:t>20</w:t>
          </w:r>
          <w:r>
            <w:rPr>
              <w:rFonts w:hint="eastAsia" w:ascii="仿宋" w:hAnsi="仿宋" w:eastAsia="仿宋" w:cs="仿宋"/>
              <w:sz w:val="24"/>
              <w:szCs w:val="24"/>
            </w:rPr>
            <w:fldChar w:fldCharType="end"/>
          </w:r>
          <w:r>
            <w:rPr>
              <w:rFonts w:hint="eastAsia" w:ascii="仿宋" w:hAnsi="仿宋" w:eastAsia="仿宋" w:cs="仿宋"/>
              <w:color w:val="auto"/>
              <w:sz w:val="24"/>
              <w:szCs w:val="24"/>
              <w:highlight w:val="none"/>
            </w:rPr>
            <w:fldChar w:fldCharType="end"/>
          </w:r>
        </w:p>
        <w:p w14:paraId="727D4F72">
          <w:pPr>
            <w:pStyle w:val="14"/>
            <w:tabs>
              <w:tab w:val="right" w:leader="dot" w:pos="8845"/>
              <w:tab w:val="clear" w:pos="8296"/>
            </w:tabs>
            <w:rPr>
              <w:rFonts w:hint="eastAsia" w:ascii="仿宋" w:hAnsi="仿宋" w:eastAsia="仿宋" w:cs="仿宋"/>
              <w:sz w:val="24"/>
              <w:szCs w:val="24"/>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_Toc17575 </w:instrText>
          </w:r>
          <w:r>
            <w:rPr>
              <w:rFonts w:hint="eastAsia" w:ascii="仿宋" w:hAnsi="仿宋" w:eastAsia="仿宋" w:cs="仿宋"/>
              <w:sz w:val="24"/>
              <w:szCs w:val="24"/>
              <w:highlight w:val="none"/>
            </w:rPr>
            <w:fldChar w:fldCharType="separate"/>
          </w:r>
          <w:r>
            <w:rPr>
              <w:rFonts w:hint="eastAsia" w:ascii="仿宋" w:hAnsi="仿宋" w:eastAsia="仿宋" w:cs="仿宋"/>
              <w:bCs w:val="0"/>
              <w:sz w:val="24"/>
              <w:szCs w:val="24"/>
            </w:rPr>
            <w:t>四、财政拨款收入支出决算总表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_Toc17575 \h </w:instrText>
          </w:r>
          <w:r>
            <w:rPr>
              <w:rFonts w:hint="eastAsia" w:ascii="仿宋" w:hAnsi="仿宋" w:eastAsia="仿宋" w:cs="仿宋"/>
              <w:sz w:val="24"/>
              <w:szCs w:val="24"/>
            </w:rPr>
            <w:fldChar w:fldCharType="separate"/>
          </w:r>
          <w:r>
            <w:rPr>
              <w:rFonts w:hint="eastAsia" w:ascii="仿宋" w:hAnsi="仿宋" w:eastAsia="仿宋" w:cs="仿宋"/>
              <w:sz w:val="24"/>
              <w:szCs w:val="24"/>
            </w:rPr>
            <w:t>20</w:t>
          </w:r>
          <w:r>
            <w:rPr>
              <w:rFonts w:hint="eastAsia" w:ascii="仿宋" w:hAnsi="仿宋" w:eastAsia="仿宋" w:cs="仿宋"/>
              <w:sz w:val="24"/>
              <w:szCs w:val="24"/>
            </w:rPr>
            <w:fldChar w:fldCharType="end"/>
          </w:r>
          <w:r>
            <w:rPr>
              <w:rFonts w:hint="eastAsia" w:ascii="仿宋" w:hAnsi="仿宋" w:eastAsia="仿宋" w:cs="仿宋"/>
              <w:color w:val="auto"/>
              <w:sz w:val="24"/>
              <w:szCs w:val="24"/>
              <w:highlight w:val="none"/>
            </w:rPr>
            <w:fldChar w:fldCharType="end"/>
          </w:r>
        </w:p>
        <w:p w14:paraId="38AC9AE2">
          <w:pPr>
            <w:pStyle w:val="14"/>
            <w:tabs>
              <w:tab w:val="right" w:leader="dot" w:pos="8845"/>
              <w:tab w:val="clear" w:pos="8296"/>
            </w:tabs>
            <w:rPr>
              <w:rFonts w:hint="eastAsia" w:ascii="仿宋" w:hAnsi="仿宋" w:eastAsia="仿宋" w:cs="仿宋"/>
              <w:sz w:val="24"/>
              <w:szCs w:val="24"/>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_Toc9106 </w:instrText>
          </w:r>
          <w:r>
            <w:rPr>
              <w:rFonts w:hint="eastAsia" w:ascii="仿宋" w:hAnsi="仿宋" w:eastAsia="仿宋" w:cs="仿宋"/>
              <w:sz w:val="24"/>
              <w:szCs w:val="24"/>
              <w:highlight w:val="none"/>
            </w:rPr>
            <w:fldChar w:fldCharType="separate"/>
          </w:r>
          <w:r>
            <w:rPr>
              <w:rFonts w:hint="eastAsia" w:ascii="仿宋" w:hAnsi="仿宋" w:eastAsia="仿宋" w:cs="仿宋"/>
              <w:bCs w:val="0"/>
              <w:sz w:val="24"/>
              <w:szCs w:val="24"/>
            </w:rPr>
            <w:t>五、财政拨款支出决算明细表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_Toc9106 \h </w:instrText>
          </w:r>
          <w:r>
            <w:rPr>
              <w:rFonts w:hint="eastAsia" w:ascii="仿宋" w:hAnsi="仿宋" w:eastAsia="仿宋" w:cs="仿宋"/>
              <w:sz w:val="24"/>
              <w:szCs w:val="24"/>
            </w:rPr>
            <w:fldChar w:fldCharType="separate"/>
          </w:r>
          <w:r>
            <w:rPr>
              <w:rFonts w:hint="eastAsia" w:ascii="仿宋" w:hAnsi="仿宋" w:eastAsia="仿宋" w:cs="仿宋"/>
              <w:sz w:val="24"/>
              <w:szCs w:val="24"/>
            </w:rPr>
            <w:t>20</w:t>
          </w:r>
          <w:r>
            <w:rPr>
              <w:rFonts w:hint="eastAsia" w:ascii="仿宋" w:hAnsi="仿宋" w:eastAsia="仿宋" w:cs="仿宋"/>
              <w:sz w:val="24"/>
              <w:szCs w:val="24"/>
            </w:rPr>
            <w:fldChar w:fldCharType="end"/>
          </w:r>
          <w:r>
            <w:rPr>
              <w:rFonts w:hint="eastAsia" w:ascii="仿宋" w:hAnsi="仿宋" w:eastAsia="仿宋" w:cs="仿宋"/>
              <w:color w:val="auto"/>
              <w:sz w:val="24"/>
              <w:szCs w:val="24"/>
              <w:highlight w:val="none"/>
            </w:rPr>
            <w:fldChar w:fldCharType="end"/>
          </w:r>
        </w:p>
        <w:p w14:paraId="49F0DA09">
          <w:pPr>
            <w:pStyle w:val="14"/>
            <w:tabs>
              <w:tab w:val="right" w:leader="dot" w:pos="8845"/>
              <w:tab w:val="clear" w:pos="8296"/>
            </w:tabs>
            <w:rPr>
              <w:rFonts w:hint="eastAsia" w:ascii="仿宋" w:hAnsi="仿宋" w:eastAsia="仿宋" w:cs="仿宋"/>
              <w:sz w:val="24"/>
              <w:szCs w:val="24"/>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_Toc24557 </w:instrText>
          </w:r>
          <w:r>
            <w:rPr>
              <w:rFonts w:hint="eastAsia" w:ascii="仿宋" w:hAnsi="仿宋" w:eastAsia="仿宋" w:cs="仿宋"/>
              <w:sz w:val="24"/>
              <w:szCs w:val="24"/>
              <w:highlight w:val="none"/>
            </w:rPr>
            <w:fldChar w:fldCharType="separate"/>
          </w:r>
          <w:r>
            <w:rPr>
              <w:rFonts w:hint="eastAsia" w:ascii="仿宋" w:hAnsi="仿宋" w:eastAsia="仿宋" w:cs="仿宋"/>
              <w:bCs w:val="0"/>
              <w:sz w:val="24"/>
              <w:szCs w:val="24"/>
            </w:rPr>
            <w:t>六、一般公共预算财政拨款支出决算表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_Toc24557 \h </w:instrText>
          </w:r>
          <w:r>
            <w:rPr>
              <w:rFonts w:hint="eastAsia" w:ascii="仿宋" w:hAnsi="仿宋" w:eastAsia="仿宋" w:cs="仿宋"/>
              <w:sz w:val="24"/>
              <w:szCs w:val="24"/>
            </w:rPr>
            <w:fldChar w:fldCharType="separate"/>
          </w:r>
          <w:r>
            <w:rPr>
              <w:rFonts w:hint="eastAsia" w:ascii="仿宋" w:hAnsi="仿宋" w:eastAsia="仿宋" w:cs="仿宋"/>
              <w:sz w:val="24"/>
              <w:szCs w:val="24"/>
            </w:rPr>
            <w:t>20</w:t>
          </w:r>
          <w:r>
            <w:rPr>
              <w:rFonts w:hint="eastAsia" w:ascii="仿宋" w:hAnsi="仿宋" w:eastAsia="仿宋" w:cs="仿宋"/>
              <w:sz w:val="24"/>
              <w:szCs w:val="24"/>
            </w:rPr>
            <w:fldChar w:fldCharType="end"/>
          </w:r>
          <w:r>
            <w:rPr>
              <w:rFonts w:hint="eastAsia" w:ascii="仿宋" w:hAnsi="仿宋" w:eastAsia="仿宋" w:cs="仿宋"/>
              <w:color w:val="auto"/>
              <w:sz w:val="24"/>
              <w:szCs w:val="24"/>
              <w:highlight w:val="none"/>
            </w:rPr>
            <w:fldChar w:fldCharType="end"/>
          </w:r>
        </w:p>
        <w:p w14:paraId="15A24839">
          <w:pPr>
            <w:pStyle w:val="14"/>
            <w:tabs>
              <w:tab w:val="right" w:leader="dot" w:pos="8845"/>
              <w:tab w:val="clear" w:pos="8296"/>
            </w:tabs>
            <w:rPr>
              <w:rFonts w:hint="eastAsia" w:ascii="仿宋" w:hAnsi="仿宋" w:eastAsia="仿宋" w:cs="仿宋"/>
              <w:sz w:val="24"/>
              <w:szCs w:val="24"/>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_Toc18682 </w:instrText>
          </w:r>
          <w:r>
            <w:rPr>
              <w:rFonts w:hint="eastAsia" w:ascii="仿宋" w:hAnsi="仿宋" w:eastAsia="仿宋" w:cs="仿宋"/>
              <w:sz w:val="24"/>
              <w:szCs w:val="24"/>
              <w:highlight w:val="none"/>
            </w:rPr>
            <w:fldChar w:fldCharType="separate"/>
          </w:r>
          <w:r>
            <w:rPr>
              <w:rFonts w:hint="eastAsia" w:ascii="仿宋" w:hAnsi="仿宋" w:eastAsia="仿宋" w:cs="仿宋"/>
              <w:bCs w:val="0"/>
              <w:sz w:val="24"/>
              <w:szCs w:val="24"/>
            </w:rPr>
            <w:t>七、一般公共预算财政拨款支出决算明细表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_Toc18682 \h </w:instrText>
          </w:r>
          <w:r>
            <w:rPr>
              <w:rFonts w:hint="eastAsia" w:ascii="仿宋" w:hAnsi="仿宋" w:eastAsia="仿宋" w:cs="仿宋"/>
              <w:sz w:val="24"/>
              <w:szCs w:val="24"/>
            </w:rPr>
            <w:fldChar w:fldCharType="separate"/>
          </w:r>
          <w:r>
            <w:rPr>
              <w:rFonts w:hint="eastAsia" w:ascii="仿宋" w:hAnsi="仿宋" w:eastAsia="仿宋" w:cs="仿宋"/>
              <w:sz w:val="24"/>
              <w:szCs w:val="24"/>
            </w:rPr>
            <w:t>20</w:t>
          </w:r>
          <w:r>
            <w:rPr>
              <w:rFonts w:hint="eastAsia" w:ascii="仿宋" w:hAnsi="仿宋" w:eastAsia="仿宋" w:cs="仿宋"/>
              <w:sz w:val="24"/>
              <w:szCs w:val="24"/>
            </w:rPr>
            <w:fldChar w:fldCharType="end"/>
          </w:r>
          <w:r>
            <w:rPr>
              <w:rFonts w:hint="eastAsia" w:ascii="仿宋" w:hAnsi="仿宋" w:eastAsia="仿宋" w:cs="仿宋"/>
              <w:color w:val="auto"/>
              <w:sz w:val="24"/>
              <w:szCs w:val="24"/>
              <w:highlight w:val="none"/>
            </w:rPr>
            <w:fldChar w:fldCharType="end"/>
          </w:r>
        </w:p>
        <w:p w14:paraId="66AB0579">
          <w:pPr>
            <w:pStyle w:val="14"/>
            <w:tabs>
              <w:tab w:val="right" w:leader="dot" w:pos="8845"/>
              <w:tab w:val="clear" w:pos="8296"/>
            </w:tabs>
            <w:rPr>
              <w:rFonts w:hint="eastAsia" w:ascii="仿宋" w:hAnsi="仿宋" w:eastAsia="仿宋" w:cs="仿宋"/>
              <w:sz w:val="24"/>
              <w:szCs w:val="24"/>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_Toc30507 </w:instrText>
          </w:r>
          <w:r>
            <w:rPr>
              <w:rFonts w:hint="eastAsia" w:ascii="仿宋" w:hAnsi="仿宋" w:eastAsia="仿宋" w:cs="仿宋"/>
              <w:sz w:val="24"/>
              <w:szCs w:val="24"/>
              <w:highlight w:val="none"/>
            </w:rPr>
            <w:fldChar w:fldCharType="separate"/>
          </w:r>
          <w:r>
            <w:rPr>
              <w:rFonts w:hint="eastAsia" w:ascii="仿宋" w:hAnsi="仿宋" w:eastAsia="仿宋" w:cs="仿宋"/>
              <w:bCs w:val="0"/>
              <w:sz w:val="24"/>
              <w:szCs w:val="24"/>
            </w:rPr>
            <w:t>八、一般公共预算财政拨款基本支出决算表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_Toc30507 \h </w:instrText>
          </w:r>
          <w:r>
            <w:rPr>
              <w:rFonts w:hint="eastAsia" w:ascii="仿宋" w:hAnsi="仿宋" w:eastAsia="仿宋" w:cs="仿宋"/>
              <w:sz w:val="24"/>
              <w:szCs w:val="24"/>
            </w:rPr>
            <w:fldChar w:fldCharType="separate"/>
          </w:r>
          <w:r>
            <w:rPr>
              <w:rFonts w:hint="eastAsia" w:ascii="仿宋" w:hAnsi="仿宋" w:eastAsia="仿宋" w:cs="仿宋"/>
              <w:sz w:val="24"/>
              <w:szCs w:val="24"/>
            </w:rPr>
            <w:t>20</w:t>
          </w:r>
          <w:r>
            <w:rPr>
              <w:rFonts w:hint="eastAsia" w:ascii="仿宋" w:hAnsi="仿宋" w:eastAsia="仿宋" w:cs="仿宋"/>
              <w:sz w:val="24"/>
              <w:szCs w:val="24"/>
            </w:rPr>
            <w:fldChar w:fldCharType="end"/>
          </w:r>
          <w:r>
            <w:rPr>
              <w:rFonts w:hint="eastAsia" w:ascii="仿宋" w:hAnsi="仿宋" w:eastAsia="仿宋" w:cs="仿宋"/>
              <w:color w:val="auto"/>
              <w:sz w:val="24"/>
              <w:szCs w:val="24"/>
              <w:highlight w:val="none"/>
            </w:rPr>
            <w:fldChar w:fldCharType="end"/>
          </w:r>
        </w:p>
        <w:p w14:paraId="7FB6B7D6">
          <w:pPr>
            <w:pStyle w:val="14"/>
            <w:tabs>
              <w:tab w:val="right" w:leader="dot" w:pos="8845"/>
              <w:tab w:val="clear" w:pos="8296"/>
            </w:tabs>
            <w:rPr>
              <w:rFonts w:hint="eastAsia" w:ascii="仿宋" w:hAnsi="仿宋" w:eastAsia="仿宋" w:cs="仿宋"/>
              <w:sz w:val="24"/>
              <w:szCs w:val="24"/>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_Toc9598 </w:instrText>
          </w:r>
          <w:r>
            <w:rPr>
              <w:rFonts w:hint="eastAsia" w:ascii="仿宋" w:hAnsi="仿宋" w:eastAsia="仿宋" w:cs="仿宋"/>
              <w:sz w:val="24"/>
              <w:szCs w:val="24"/>
              <w:highlight w:val="none"/>
            </w:rPr>
            <w:fldChar w:fldCharType="separate"/>
          </w:r>
          <w:r>
            <w:rPr>
              <w:rFonts w:hint="eastAsia" w:ascii="仿宋" w:hAnsi="仿宋" w:eastAsia="仿宋" w:cs="仿宋"/>
              <w:bCs w:val="0"/>
              <w:sz w:val="24"/>
              <w:szCs w:val="24"/>
            </w:rPr>
            <w:t>九、一般公共预算财政拨款项目支出决算表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_Toc9598 \h </w:instrText>
          </w:r>
          <w:r>
            <w:rPr>
              <w:rFonts w:hint="eastAsia" w:ascii="仿宋" w:hAnsi="仿宋" w:eastAsia="仿宋" w:cs="仿宋"/>
              <w:sz w:val="24"/>
              <w:szCs w:val="24"/>
            </w:rPr>
            <w:fldChar w:fldCharType="separate"/>
          </w:r>
          <w:r>
            <w:rPr>
              <w:rFonts w:hint="eastAsia" w:ascii="仿宋" w:hAnsi="仿宋" w:eastAsia="仿宋" w:cs="仿宋"/>
              <w:sz w:val="24"/>
              <w:szCs w:val="24"/>
            </w:rPr>
            <w:t>20</w:t>
          </w:r>
          <w:r>
            <w:rPr>
              <w:rFonts w:hint="eastAsia" w:ascii="仿宋" w:hAnsi="仿宋" w:eastAsia="仿宋" w:cs="仿宋"/>
              <w:sz w:val="24"/>
              <w:szCs w:val="24"/>
            </w:rPr>
            <w:fldChar w:fldCharType="end"/>
          </w:r>
          <w:r>
            <w:rPr>
              <w:rFonts w:hint="eastAsia" w:ascii="仿宋" w:hAnsi="仿宋" w:eastAsia="仿宋" w:cs="仿宋"/>
              <w:color w:val="auto"/>
              <w:sz w:val="24"/>
              <w:szCs w:val="24"/>
              <w:highlight w:val="none"/>
            </w:rPr>
            <w:fldChar w:fldCharType="end"/>
          </w:r>
        </w:p>
        <w:p w14:paraId="49AFACAF">
          <w:pPr>
            <w:pStyle w:val="14"/>
            <w:tabs>
              <w:tab w:val="right" w:leader="dot" w:pos="8845"/>
              <w:tab w:val="clear" w:pos="8296"/>
            </w:tabs>
            <w:rPr>
              <w:rFonts w:hint="eastAsia" w:ascii="仿宋" w:hAnsi="仿宋" w:eastAsia="仿宋" w:cs="仿宋"/>
              <w:sz w:val="24"/>
              <w:szCs w:val="24"/>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_Toc20736 </w:instrText>
          </w:r>
          <w:r>
            <w:rPr>
              <w:rFonts w:hint="eastAsia" w:ascii="仿宋" w:hAnsi="仿宋" w:eastAsia="仿宋" w:cs="仿宋"/>
              <w:sz w:val="24"/>
              <w:szCs w:val="24"/>
              <w:highlight w:val="none"/>
            </w:rPr>
            <w:fldChar w:fldCharType="separate"/>
          </w:r>
          <w:r>
            <w:rPr>
              <w:rFonts w:hint="eastAsia" w:ascii="仿宋" w:hAnsi="仿宋" w:eastAsia="仿宋" w:cs="仿宋"/>
              <w:bCs w:val="0"/>
              <w:sz w:val="24"/>
              <w:szCs w:val="24"/>
            </w:rPr>
            <w:t>十、政府性基金预算财政拨款收入支出决算表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_Toc20736 \h </w:instrText>
          </w:r>
          <w:r>
            <w:rPr>
              <w:rFonts w:hint="eastAsia" w:ascii="仿宋" w:hAnsi="仿宋" w:eastAsia="仿宋" w:cs="仿宋"/>
              <w:sz w:val="24"/>
              <w:szCs w:val="24"/>
            </w:rPr>
            <w:fldChar w:fldCharType="separate"/>
          </w:r>
          <w:r>
            <w:rPr>
              <w:rFonts w:hint="eastAsia" w:ascii="仿宋" w:hAnsi="仿宋" w:eastAsia="仿宋" w:cs="仿宋"/>
              <w:sz w:val="24"/>
              <w:szCs w:val="24"/>
            </w:rPr>
            <w:t>20</w:t>
          </w:r>
          <w:r>
            <w:rPr>
              <w:rFonts w:hint="eastAsia" w:ascii="仿宋" w:hAnsi="仿宋" w:eastAsia="仿宋" w:cs="仿宋"/>
              <w:sz w:val="24"/>
              <w:szCs w:val="24"/>
            </w:rPr>
            <w:fldChar w:fldCharType="end"/>
          </w:r>
          <w:r>
            <w:rPr>
              <w:rFonts w:hint="eastAsia" w:ascii="仿宋" w:hAnsi="仿宋" w:eastAsia="仿宋" w:cs="仿宋"/>
              <w:color w:val="auto"/>
              <w:sz w:val="24"/>
              <w:szCs w:val="24"/>
              <w:highlight w:val="none"/>
            </w:rPr>
            <w:fldChar w:fldCharType="end"/>
          </w:r>
        </w:p>
        <w:p w14:paraId="3E150800">
          <w:pPr>
            <w:pStyle w:val="14"/>
            <w:tabs>
              <w:tab w:val="right" w:leader="dot" w:pos="8845"/>
              <w:tab w:val="clear" w:pos="8296"/>
            </w:tabs>
            <w:rPr>
              <w:rFonts w:hint="eastAsia" w:ascii="仿宋" w:hAnsi="仿宋" w:eastAsia="仿宋" w:cs="仿宋"/>
              <w:sz w:val="24"/>
              <w:szCs w:val="24"/>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_Toc18293 </w:instrText>
          </w:r>
          <w:r>
            <w:rPr>
              <w:rFonts w:hint="eastAsia" w:ascii="仿宋" w:hAnsi="仿宋" w:eastAsia="仿宋" w:cs="仿宋"/>
              <w:sz w:val="24"/>
              <w:szCs w:val="24"/>
              <w:highlight w:val="none"/>
            </w:rPr>
            <w:fldChar w:fldCharType="separate"/>
          </w:r>
          <w:r>
            <w:rPr>
              <w:rFonts w:hint="eastAsia" w:ascii="仿宋" w:hAnsi="仿宋" w:eastAsia="仿宋" w:cs="仿宋"/>
              <w:bCs w:val="0"/>
              <w:sz w:val="24"/>
              <w:szCs w:val="24"/>
            </w:rPr>
            <w:t>十一、国有资本经营预算</w:t>
          </w:r>
          <w:r>
            <w:rPr>
              <w:rFonts w:hint="eastAsia" w:ascii="仿宋" w:hAnsi="仿宋" w:eastAsia="仿宋" w:cs="仿宋"/>
              <w:bCs w:val="0"/>
              <w:sz w:val="24"/>
              <w:szCs w:val="24"/>
              <w:lang w:eastAsia="zh-CN"/>
            </w:rPr>
            <w:t>财政拨款收入</w:t>
          </w:r>
          <w:r>
            <w:rPr>
              <w:rFonts w:hint="eastAsia" w:ascii="仿宋" w:hAnsi="仿宋" w:eastAsia="仿宋" w:cs="仿宋"/>
              <w:bCs w:val="0"/>
              <w:sz w:val="24"/>
              <w:szCs w:val="24"/>
            </w:rPr>
            <w:t>支出决算</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_Toc18293 \h </w:instrText>
          </w:r>
          <w:r>
            <w:rPr>
              <w:rFonts w:hint="eastAsia" w:ascii="仿宋" w:hAnsi="仿宋" w:eastAsia="仿宋" w:cs="仿宋"/>
              <w:sz w:val="24"/>
              <w:szCs w:val="24"/>
            </w:rPr>
            <w:fldChar w:fldCharType="separate"/>
          </w:r>
          <w:r>
            <w:rPr>
              <w:rFonts w:hint="eastAsia" w:ascii="仿宋" w:hAnsi="仿宋" w:eastAsia="仿宋" w:cs="仿宋"/>
              <w:sz w:val="24"/>
              <w:szCs w:val="24"/>
            </w:rPr>
            <w:t>20</w:t>
          </w:r>
          <w:r>
            <w:rPr>
              <w:rFonts w:hint="eastAsia" w:ascii="仿宋" w:hAnsi="仿宋" w:eastAsia="仿宋" w:cs="仿宋"/>
              <w:sz w:val="24"/>
              <w:szCs w:val="24"/>
            </w:rPr>
            <w:fldChar w:fldCharType="end"/>
          </w:r>
          <w:r>
            <w:rPr>
              <w:rFonts w:hint="eastAsia" w:ascii="仿宋" w:hAnsi="仿宋" w:eastAsia="仿宋" w:cs="仿宋"/>
              <w:color w:val="auto"/>
              <w:sz w:val="24"/>
              <w:szCs w:val="24"/>
              <w:highlight w:val="none"/>
            </w:rPr>
            <w:fldChar w:fldCharType="end"/>
          </w:r>
        </w:p>
        <w:p w14:paraId="2614618E">
          <w:pPr>
            <w:pStyle w:val="14"/>
            <w:tabs>
              <w:tab w:val="right" w:leader="dot" w:pos="8845"/>
              <w:tab w:val="clear" w:pos="8296"/>
            </w:tabs>
            <w:rPr>
              <w:rFonts w:hint="eastAsia" w:ascii="仿宋" w:hAnsi="仿宋" w:eastAsia="仿宋" w:cs="仿宋"/>
              <w:sz w:val="24"/>
              <w:szCs w:val="24"/>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_Toc25560 </w:instrText>
          </w:r>
          <w:r>
            <w:rPr>
              <w:rFonts w:hint="eastAsia" w:ascii="仿宋" w:hAnsi="仿宋" w:eastAsia="仿宋" w:cs="仿宋"/>
              <w:sz w:val="24"/>
              <w:szCs w:val="24"/>
              <w:highlight w:val="none"/>
            </w:rPr>
            <w:fldChar w:fldCharType="separate"/>
          </w:r>
          <w:r>
            <w:rPr>
              <w:rFonts w:hint="eastAsia" w:ascii="仿宋" w:hAnsi="仿宋" w:eastAsia="仿宋" w:cs="仿宋"/>
              <w:bCs w:val="0"/>
              <w:sz w:val="24"/>
              <w:szCs w:val="24"/>
            </w:rPr>
            <w:t>十二、</w:t>
          </w:r>
          <w:r>
            <w:rPr>
              <w:rFonts w:hint="eastAsia" w:ascii="仿宋" w:hAnsi="仿宋" w:eastAsia="仿宋" w:cs="仿宋"/>
              <w:bCs w:val="0"/>
              <w:sz w:val="24"/>
              <w:szCs w:val="24"/>
              <w:lang w:eastAsia="zh-CN"/>
            </w:rPr>
            <w:t>国有资本经营预算财政拨款支出决算表</w:t>
          </w:r>
          <w:r>
            <w:rPr>
              <w:rFonts w:hint="eastAsia" w:ascii="仿宋" w:hAnsi="仿宋" w:eastAsia="仿宋" w:cs="仿宋"/>
              <w:bCs w:val="0"/>
              <w:sz w:val="24"/>
              <w:szCs w:val="24"/>
              <w:lang w:val="en-US" w:eastAsia="zh-CN"/>
            </w:rPr>
            <w:t xml:space="preserve"> </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_Toc25560 \h </w:instrText>
          </w:r>
          <w:r>
            <w:rPr>
              <w:rFonts w:hint="eastAsia" w:ascii="仿宋" w:hAnsi="仿宋" w:eastAsia="仿宋" w:cs="仿宋"/>
              <w:sz w:val="24"/>
              <w:szCs w:val="24"/>
            </w:rPr>
            <w:fldChar w:fldCharType="separate"/>
          </w:r>
          <w:r>
            <w:rPr>
              <w:rFonts w:hint="eastAsia" w:ascii="仿宋" w:hAnsi="仿宋" w:eastAsia="仿宋" w:cs="仿宋"/>
              <w:sz w:val="24"/>
              <w:szCs w:val="24"/>
            </w:rPr>
            <w:t>20</w:t>
          </w:r>
          <w:r>
            <w:rPr>
              <w:rFonts w:hint="eastAsia" w:ascii="仿宋" w:hAnsi="仿宋" w:eastAsia="仿宋" w:cs="仿宋"/>
              <w:sz w:val="24"/>
              <w:szCs w:val="24"/>
            </w:rPr>
            <w:fldChar w:fldCharType="end"/>
          </w:r>
          <w:r>
            <w:rPr>
              <w:rFonts w:hint="eastAsia" w:ascii="仿宋" w:hAnsi="仿宋" w:eastAsia="仿宋" w:cs="仿宋"/>
              <w:color w:val="auto"/>
              <w:sz w:val="24"/>
              <w:szCs w:val="24"/>
              <w:highlight w:val="none"/>
            </w:rPr>
            <w:fldChar w:fldCharType="end"/>
          </w:r>
        </w:p>
        <w:p w14:paraId="79BE4F1C">
          <w:pPr>
            <w:pStyle w:val="14"/>
            <w:tabs>
              <w:tab w:val="right" w:leader="dot" w:pos="8845"/>
              <w:tab w:val="clear" w:pos="8296"/>
            </w:tabs>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_Toc3937 </w:instrText>
          </w:r>
          <w:r>
            <w:rPr>
              <w:rFonts w:hint="eastAsia" w:ascii="仿宋" w:hAnsi="仿宋" w:eastAsia="仿宋" w:cs="仿宋"/>
              <w:sz w:val="24"/>
              <w:szCs w:val="24"/>
              <w:highlight w:val="none"/>
            </w:rPr>
            <w:fldChar w:fldCharType="separate"/>
          </w:r>
          <w:r>
            <w:rPr>
              <w:rFonts w:hint="eastAsia" w:ascii="仿宋" w:hAnsi="仿宋" w:eastAsia="仿宋" w:cs="仿宋"/>
              <w:bCs w:val="0"/>
              <w:sz w:val="24"/>
              <w:szCs w:val="24"/>
            </w:rPr>
            <w:t>十三、</w:t>
          </w:r>
          <w:r>
            <w:rPr>
              <w:rFonts w:hint="eastAsia" w:ascii="仿宋" w:hAnsi="仿宋" w:eastAsia="仿宋" w:cs="仿宋"/>
              <w:bCs w:val="0"/>
              <w:sz w:val="24"/>
              <w:szCs w:val="24"/>
              <w:lang w:eastAsia="zh-CN"/>
            </w:rPr>
            <w:t>财政拨款“三公”经费支出决算表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_Toc3937 \h </w:instrText>
          </w:r>
          <w:r>
            <w:rPr>
              <w:rFonts w:hint="eastAsia" w:ascii="仿宋" w:hAnsi="仿宋" w:eastAsia="仿宋" w:cs="仿宋"/>
              <w:sz w:val="24"/>
              <w:szCs w:val="24"/>
            </w:rPr>
            <w:fldChar w:fldCharType="separate"/>
          </w:r>
          <w:r>
            <w:rPr>
              <w:rFonts w:hint="eastAsia" w:ascii="仿宋" w:hAnsi="仿宋" w:eastAsia="仿宋" w:cs="仿宋"/>
              <w:sz w:val="24"/>
              <w:szCs w:val="24"/>
            </w:rPr>
            <w:t>20</w:t>
          </w:r>
          <w:r>
            <w:rPr>
              <w:rFonts w:hint="eastAsia" w:ascii="仿宋" w:hAnsi="仿宋" w:eastAsia="仿宋" w:cs="仿宋"/>
              <w:sz w:val="24"/>
              <w:szCs w:val="24"/>
            </w:rPr>
            <w:fldChar w:fldCharType="end"/>
          </w:r>
          <w:r>
            <w:rPr>
              <w:rFonts w:hint="eastAsia" w:ascii="仿宋" w:hAnsi="仿宋" w:eastAsia="仿宋" w:cs="仿宋"/>
              <w:color w:val="auto"/>
              <w:sz w:val="24"/>
              <w:szCs w:val="24"/>
              <w:highlight w:val="none"/>
            </w:rPr>
            <w:fldChar w:fldCharType="end"/>
          </w:r>
        </w:p>
        <w:p w14:paraId="4B01535B">
          <w:pPr>
            <w:pStyle w:val="2"/>
            <w:rPr>
              <w:rFonts w:ascii="Times New Roman" w:hAnsi="Times New Roman" w:eastAsia="黑体" w:cstheme="minorBidi"/>
              <w:color w:val="auto"/>
              <w:sz w:val="28"/>
              <w:szCs w:val="28"/>
              <w:highlight w:val="none"/>
            </w:rPr>
          </w:pPr>
          <w:r>
            <w:rPr>
              <w:rFonts w:ascii="Times New Roman" w:hAnsi="Times New Roman" w:eastAsia="黑体" w:cstheme="minorBidi"/>
              <w:color w:val="auto"/>
              <w:szCs w:val="28"/>
              <w:highlight w:val="none"/>
            </w:rPr>
            <w:fldChar w:fldCharType="end"/>
          </w:r>
        </w:p>
      </w:sdtContent>
    </w:sdt>
    <w:p w14:paraId="1DD74692">
      <w:pPr>
        <w:pStyle w:val="3"/>
        <w:bidi w:val="0"/>
        <w:jc w:val="center"/>
        <w:rPr>
          <w:rFonts w:hint="eastAsia"/>
        </w:rPr>
      </w:pPr>
      <w:bookmarkStart w:id="6" w:name="_Toc27386"/>
      <w:bookmarkStart w:id="7" w:name="_Toc5121"/>
      <w:bookmarkStart w:id="8" w:name="_Toc15396599"/>
      <w:bookmarkStart w:id="9" w:name="_Toc15377196"/>
      <w:bookmarkStart w:id="10" w:name="_Toc28542"/>
      <w:r>
        <w:rPr>
          <w:rFonts w:hint="eastAsia"/>
        </w:rPr>
        <w:t>第一部分</w:t>
      </w:r>
      <w:r>
        <w:rPr>
          <w:rFonts w:hint="eastAsia"/>
          <w:lang w:val="en-US" w:eastAsia="zh-CN"/>
        </w:rPr>
        <w:t xml:space="preserve"> </w:t>
      </w:r>
      <w:r>
        <w:rPr>
          <w:rFonts w:hint="eastAsia"/>
        </w:rPr>
        <w:t xml:space="preserve"> </w:t>
      </w:r>
      <w:r>
        <w:rPr>
          <w:rFonts w:hint="eastAsia"/>
          <w:lang w:val="en-US" w:eastAsia="zh-CN"/>
        </w:rPr>
        <w:t>单位</w:t>
      </w:r>
      <w:r>
        <w:rPr>
          <w:rFonts w:hint="eastAsia"/>
        </w:rPr>
        <w:t>概况</w:t>
      </w:r>
      <w:bookmarkEnd w:id="6"/>
      <w:bookmarkEnd w:id="7"/>
      <w:bookmarkEnd w:id="8"/>
      <w:bookmarkEnd w:id="9"/>
      <w:bookmarkEnd w:id="10"/>
    </w:p>
    <w:p w14:paraId="7B4AB8B3">
      <w:pPr>
        <w:widowControl/>
        <w:jc w:val="left"/>
        <w:rPr>
          <w:rFonts w:hint="eastAsia" w:ascii="黑体" w:hAnsi="黑体" w:eastAsia="黑体" w:cs="黑体"/>
          <w:color w:val="auto"/>
          <w:sz w:val="32"/>
          <w:szCs w:val="32"/>
          <w:highlight w:val="none"/>
        </w:rPr>
      </w:pPr>
    </w:p>
    <w:p w14:paraId="583E4866">
      <w:pPr>
        <w:pStyle w:val="4"/>
        <w:bidi w:val="0"/>
        <w:rPr>
          <w:rFonts w:hint="eastAsia" w:ascii="黑体" w:hAnsi="黑体" w:eastAsia="黑体" w:cs="黑体"/>
          <w:b w:val="0"/>
          <w:bCs w:val="0"/>
          <w:lang w:eastAsia="zh-CN"/>
        </w:rPr>
      </w:pPr>
      <w:bookmarkStart w:id="11" w:name="_Toc21529"/>
      <w:bookmarkStart w:id="12" w:name="_Toc927"/>
      <w:bookmarkStart w:id="13" w:name="_Toc10840"/>
      <w:r>
        <w:rPr>
          <w:rFonts w:hint="eastAsia" w:ascii="黑体" w:hAnsi="黑体" w:eastAsia="黑体" w:cs="黑体"/>
          <w:b w:val="0"/>
          <w:bCs w:val="0"/>
          <w:lang w:val="en-US" w:eastAsia="zh-CN"/>
        </w:rPr>
        <w:t>一、单位</w:t>
      </w:r>
      <w:r>
        <w:rPr>
          <w:rFonts w:hint="eastAsia" w:ascii="黑体" w:hAnsi="黑体" w:eastAsia="黑体" w:cs="黑体"/>
          <w:b w:val="0"/>
          <w:bCs w:val="0"/>
          <w:lang w:eastAsia="zh-CN"/>
        </w:rPr>
        <w:t>职责</w:t>
      </w:r>
      <w:bookmarkEnd w:id="11"/>
      <w:bookmarkEnd w:id="12"/>
      <w:bookmarkEnd w:id="13"/>
    </w:p>
    <w:p w14:paraId="6D43E97E">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本单位承担</w:t>
      </w:r>
      <w:r>
        <w:rPr>
          <w:rFonts w:hint="eastAsia" w:eastAsia="仿宋" w:cs="Times New Roman"/>
          <w:sz w:val="32"/>
          <w:szCs w:val="32"/>
          <w:lang w:val="en-US" w:eastAsia="zh-CN"/>
        </w:rPr>
        <w:t>着</w:t>
      </w:r>
      <w:r>
        <w:rPr>
          <w:rFonts w:hint="default" w:ascii="Times New Roman" w:hAnsi="Times New Roman" w:eastAsia="仿宋" w:cs="Times New Roman"/>
          <w:sz w:val="32"/>
          <w:szCs w:val="32"/>
        </w:rPr>
        <w:t>全市卫生健康与促进、人才项目实施、继续医学教育、人才专业评价、行业资格考试等服务工作；负责卫生健康信息化、健康医疗大数据产业发展、卫生统计等工作；开展医学情报分析、研究，为有关医疗卫生机构、市医学会</w:t>
      </w:r>
      <w:r>
        <w:rPr>
          <w:rFonts w:hint="eastAsia" w:eastAsia="仿宋" w:cs="Times New Roman"/>
          <w:sz w:val="32"/>
          <w:szCs w:val="32"/>
          <w:lang w:val="en-US" w:eastAsia="zh-CN"/>
        </w:rPr>
        <w:t>等</w:t>
      </w:r>
      <w:r>
        <w:rPr>
          <w:rFonts w:hint="default" w:ascii="Times New Roman" w:hAnsi="Times New Roman" w:eastAsia="仿宋" w:cs="Times New Roman"/>
          <w:sz w:val="32"/>
          <w:szCs w:val="32"/>
        </w:rPr>
        <w:t>提供医疗技术评审服务工作。</w:t>
      </w:r>
    </w:p>
    <w:p w14:paraId="0034B1B9">
      <w:pPr>
        <w:numPr>
          <w:ilvl w:val="0"/>
          <w:numId w:val="0"/>
        </w:numPr>
        <w:rPr>
          <w:rFonts w:hint="eastAsia"/>
          <w:lang w:eastAsia="zh-CN"/>
        </w:rPr>
      </w:pPr>
    </w:p>
    <w:p w14:paraId="47914139">
      <w:pPr>
        <w:pStyle w:val="4"/>
        <w:bidi w:val="0"/>
        <w:rPr>
          <w:rFonts w:hint="eastAsia" w:ascii="黑体" w:hAnsi="黑体" w:eastAsia="黑体" w:cs="黑体"/>
          <w:b w:val="0"/>
          <w:bCs w:val="0"/>
        </w:rPr>
      </w:pPr>
      <w:bookmarkStart w:id="14" w:name="_Toc22098"/>
      <w:bookmarkStart w:id="15" w:name="_Toc27139"/>
      <w:bookmarkStart w:id="16" w:name="_Toc15377200"/>
      <w:bookmarkStart w:id="17" w:name="_Toc15396601"/>
      <w:bookmarkStart w:id="18" w:name="_Toc24156"/>
      <w:r>
        <w:rPr>
          <w:rFonts w:hint="eastAsia" w:ascii="黑体" w:hAnsi="黑体" w:eastAsia="黑体" w:cs="黑体"/>
          <w:b w:val="0"/>
          <w:bCs w:val="0"/>
        </w:rPr>
        <w:t>二、机构设置</w:t>
      </w:r>
      <w:bookmarkEnd w:id="14"/>
      <w:bookmarkEnd w:id="15"/>
      <w:bookmarkEnd w:id="16"/>
      <w:bookmarkEnd w:id="17"/>
      <w:bookmarkEnd w:id="18"/>
    </w:p>
    <w:p w14:paraId="6760903A">
      <w:pPr>
        <w:snapToGrid w:val="0"/>
        <w:spacing w:line="520" w:lineRule="exact"/>
        <w:ind w:firstLine="640" w:firstLineChars="200"/>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rPr>
        <w:t>本单位为攀枝花市卫生健康委员会所属二级预算单位。</w:t>
      </w:r>
      <w:r>
        <w:rPr>
          <w:rFonts w:hint="default" w:ascii="Times New Roman" w:hAnsi="Times New Roman" w:eastAsia="仿宋" w:cs="Times New Roman"/>
          <w:sz w:val="32"/>
          <w:szCs w:val="32"/>
          <w:lang w:eastAsia="zh-CN"/>
        </w:rPr>
        <w:t>内设机构</w:t>
      </w:r>
      <w:r>
        <w:rPr>
          <w:rFonts w:hint="default" w:ascii="Times New Roman" w:hAnsi="Times New Roman" w:eastAsia="仿宋" w:cs="Times New Roman"/>
          <w:sz w:val="32"/>
          <w:szCs w:val="32"/>
          <w:lang w:val="en-US" w:eastAsia="zh-CN"/>
        </w:rPr>
        <w:t>2个，分别为办公室和综合室。办公室职责：负责行政工作综合协调、安全生产、信访稳定、财务、工会、后勤保障、作风建设、科教服务、医疗技术评审服务，承担市医学会日常管理；综合室职责：负责党建、党风廉政建设、组织人事、档案、卫生健康信息化建设、卫生健康统计、健康医疗大数据产业发展。</w:t>
      </w:r>
      <w:r>
        <w:rPr>
          <w:rFonts w:hint="eastAsia" w:eastAsia="仿宋" w:cs="Times New Roman"/>
          <w:sz w:val="32"/>
          <w:szCs w:val="32"/>
          <w:lang w:val="en-US" w:eastAsia="zh-CN"/>
        </w:rPr>
        <w:t>本单位</w:t>
      </w:r>
      <w:r>
        <w:rPr>
          <w:rFonts w:hint="default" w:ascii="Times New Roman" w:hAnsi="Times New Roman" w:eastAsia="仿宋" w:cs="Times New Roman"/>
          <w:sz w:val="32"/>
          <w:szCs w:val="32"/>
          <w:lang w:val="en-US" w:eastAsia="zh-CN"/>
        </w:rPr>
        <w:t>现有在编人员1</w:t>
      </w:r>
      <w:r>
        <w:rPr>
          <w:rFonts w:hint="eastAsia" w:eastAsia="仿宋" w:cs="Times New Roman"/>
          <w:sz w:val="32"/>
          <w:szCs w:val="32"/>
          <w:lang w:val="en-US" w:eastAsia="zh-CN"/>
        </w:rPr>
        <w:t>5</w:t>
      </w:r>
      <w:r>
        <w:rPr>
          <w:rFonts w:hint="default" w:ascii="Times New Roman" w:hAnsi="Times New Roman" w:eastAsia="仿宋" w:cs="Times New Roman"/>
          <w:sz w:val="32"/>
          <w:szCs w:val="32"/>
          <w:lang w:val="en-US" w:eastAsia="zh-CN"/>
        </w:rPr>
        <w:t>人</w:t>
      </w:r>
      <w:r>
        <w:rPr>
          <w:rFonts w:hint="eastAsia" w:eastAsia="仿宋" w:cs="Times New Roman"/>
          <w:sz w:val="32"/>
          <w:szCs w:val="32"/>
          <w:lang w:val="en-US" w:eastAsia="zh-CN"/>
        </w:rPr>
        <w:t>，临聘人员3人。</w:t>
      </w:r>
    </w:p>
    <w:p w14:paraId="1C515AF6">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284606AC">
      <w:pPr>
        <w:pStyle w:val="3"/>
        <w:bidi w:val="0"/>
        <w:jc w:val="center"/>
        <w:rPr>
          <w:rFonts w:hint="eastAsia"/>
        </w:rPr>
      </w:pPr>
      <w:bookmarkStart w:id="19" w:name="_Toc5485"/>
      <w:bookmarkStart w:id="20" w:name="_Toc11857"/>
      <w:bookmarkStart w:id="21" w:name="_Toc15396602"/>
      <w:bookmarkStart w:id="22" w:name="_Toc31864"/>
      <w:bookmarkStart w:id="23" w:name="_Toc15377204"/>
      <w:r>
        <w:rPr>
          <w:rFonts w:hint="eastAsia"/>
        </w:rPr>
        <w:t>第二部分</w:t>
      </w:r>
      <w:r>
        <w:rPr>
          <w:rFonts w:hint="eastAsia"/>
          <w:lang w:val="en-US" w:eastAsia="zh-CN"/>
        </w:rPr>
        <w:t xml:space="preserve"> </w:t>
      </w:r>
      <w:r>
        <w:rPr>
          <w:rFonts w:hint="eastAsia"/>
        </w:rPr>
        <w:t xml:space="preserve"> </w:t>
      </w:r>
      <w:r>
        <w:rPr>
          <w:rFonts w:hint="eastAsia"/>
          <w:lang w:val="en-US" w:eastAsia="zh-CN"/>
        </w:rPr>
        <w:t>2025年度单位</w:t>
      </w:r>
      <w:r>
        <w:rPr>
          <w:rFonts w:hint="eastAsia"/>
        </w:rPr>
        <w:t>决算情况说明</w:t>
      </w:r>
      <w:bookmarkEnd w:id="19"/>
      <w:bookmarkEnd w:id="20"/>
      <w:bookmarkEnd w:id="21"/>
      <w:bookmarkEnd w:id="22"/>
      <w:bookmarkEnd w:id="23"/>
    </w:p>
    <w:p w14:paraId="2D8186CA">
      <w:pPr>
        <w:rPr>
          <w:rFonts w:ascii="Times New Roman" w:hAnsi="Times New Roman"/>
          <w:color w:val="auto"/>
          <w:highlight w:val="none"/>
        </w:rPr>
      </w:pPr>
    </w:p>
    <w:p w14:paraId="7797428B">
      <w:pPr>
        <w:pStyle w:val="4"/>
        <w:bidi w:val="0"/>
        <w:rPr>
          <w:rFonts w:hint="eastAsia" w:ascii="黑体" w:hAnsi="黑体" w:eastAsia="黑体" w:cs="黑体"/>
          <w:b w:val="0"/>
          <w:bCs w:val="0"/>
        </w:rPr>
      </w:pPr>
      <w:bookmarkStart w:id="24" w:name="_Toc15396603"/>
      <w:bookmarkStart w:id="25" w:name="_Toc3270"/>
      <w:bookmarkStart w:id="26" w:name="_Toc30051"/>
      <w:bookmarkStart w:id="27" w:name="_Toc15377205"/>
      <w:bookmarkStart w:id="28" w:name="_Toc14993"/>
      <w:r>
        <w:rPr>
          <w:rFonts w:hint="eastAsia" w:ascii="黑体" w:hAnsi="黑体" w:eastAsia="黑体" w:cs="黑体"/>
          <w:b w:val="0"/>
          <w:bCs w:val="0"/>
          <w:lang w:eastAsia="zh-CN"/>
        </w:rPr>
        <w:t>一、</w:t>
      </w:r>
      <w:r>
        <w:rPr>
          <w:rFonts w:hint="eastAsia" w:ascii="黑体" w:hAnsi="黑体" w:eastAsia="黑体" w:cs="黑体"/>
          <w:b w:val="0"/>
          <w:bCs w:val="0"/>
        </w:rPr>
        <w:t>收入支出决算总体情况说明</w:t>
      </w:r>
      <w:bookmarkEnd w:id="24"/>
      <w:bookmarkEnd w:id="25"/>
      <w:bookmarkEnd w:id="26"/>
      <w:bookmarkEnd w:id="27"/>
      <w:bookmarkEnd w:id="28"/>
    </w:p>
    <w:p w14:paraId="6B6494E1">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eastAsia="zh-CN"/>
        </w:rPr>
        <w:t>2025年度收入</w:t>
      </w:r>
      <w:r>
        <w:rPr>
          <w:rFonts w:hint="default" w:ascii="Times New Roman" w:hAnsi="Times New Roman" w:cs="Times New Roman"/>
          <w:sz w:val="32"/>
          <w:szCs w:val="32"/>
        </w:rPr>
        <w:t>、</w:t>
      </w:r>
      <w:r>
        <w:rPr>
          <w:rFonts w:hint="default" w:ascii="Times New Roman" w:hAnsi="Times New Roman" w:cs="Times New Roman"/>
          <w:sz w:val="32"/>
          <w:szCs w:val="32"/>
          <w:lang w:eastAsia="zh-CN"/>
        </w:rPr>
        <w:t>支出</w:t>
      </w:r>
      <w:r>
        <w:rPr>
          <w:rFonts w:hint="default" w:ascii="Times New Roman" w:hAnsi="Times New Roman" w:cs="Times New Roman"/>
          <w:sz w:val="32"/>
          <w:szCs w:val="32"/>
        </w:rPr>
        <w:t>总计</w:t>
      </w:r>
      <w:r>
        <w:rPr>
          <w:rFonts w:hint="default" w:ascii="Times New Roman" w:hAnsi="Times New Roman" w:cs="Times New Roman"/>
          <w:sz w:val="32"/>
          <w:szCs w:val="32"/>
          <w:lang w:eastAsia="zh-CN"/>
        </w:rPr>
        <w:t>均为</w:t>
      </w:r>
      <w:r>
        <w:rPr>
          <w:rFonts w:hint="default" w:ascii="Times New Roman" w:hAnsi="Times New Roman" w:cs="Times New Roman"/>
          <w:sz w:val="32"/>
          <w:szCs w:val="32"/>
        </w:rPr>
        <w:t>536.49万元。与</w:t>
      </w:r>
      <w:r>
        <w:rPr>
          <w:rFonts w:hint="default" w:ascii="Times New Roman" w:hAnsi="Times New Roman" w:cs="Times New Roman"/>
          <w:sz w:val="32"/>
          <w:szCs w:val="32"/>
          <w:lang w:eastAsia="zh-CN"/>
        </w:rPr>
        <w:t>上</w:t>
      </w:r>
      <w:r>
        <w:rPr>
          <w:rFonts w:hint="default" w:ascii="Times New Roman" w:hAnsi="Times New Roman" w:cs="Times New Roman"/>
          <w:sz w:val="32"/>
          <w:szCs w:val="32"/>
        </w:rPr>
        <w:t>年</w:t>
      </w:r>
      <w:r>
        <w:rPr>
          <w:rFonts w:hint="default" w:ascii="Times New Roman" w:hAnsi="Times New Roman" w:cs="Times New Roman"/>
          <w:sz w:val="32"/>
          <w:szCs w:val="32"/>
          <w:lang w:eastAsia="zh-CN"/>
        </w:rPr>
        <w:t>度</w:t>
      </w:r>
      <w:r>
        <w:rPr>
          <w:rFonts w:hint="default" w:ascii="Times New Roman" w:hAnsi="Times New Roman" w:cs="Times New Roman"/>
          <w:sz w:val="32"/>
          <w:szCs w:val="32"/>
        </w:rPr>
        <w:t>相比，</w:t>
      </w:r>
      <w:r>
        <w:rPr>
          <w:rFonts w:hint="default" w:ascii="Times New Roman" w:hAnsi="Times New Roman" w:cs="Times New Roman"/>
          <w:sz w:val="32"/>
          <w:szCs w:val="32"/>
          <w:lang w:eastAsia="zh-CN"/>
        </w:rPr>
        <w:t>收入</w:t>
      </w:r>
      <w:r>
        <w:rPr>
          <w:rFonts w:hint="default" w:ascii="Times New Roman" w:hAnsi="Times New Roman" w:cs="Times New Roman"/>
          <w:sz w:val="32"/>
          <w:szCs w:val="32"/>
        </w:rPr>
        <w:t>、</w:t>
      </w:r>
      <w:r>
        <w:rPr>
          <w:rFonts w:hint="default" w:ascii="Times New Roman" w:hAnsi="Times New Roman" w:cs="Times New Roman"/>
          <w:sz w:val="32"/>
          <w:szCs w:val="32"/>
          <w:lang w:eastAsia="zh-CN"/>
        </w:rPr>
        <w:t>支出</w:t>
      </w:r>
      <w:r>
        <w:rPr>
          <w:rFonts w:hint="default" w:ascii="Times New Roman" w:hAnsi="Times New Roman" w:cs="Times New Roman"/>
          <w:sz w:val="32"/>
          <w:szCs w:val="32"/>
        </w:rPr>
        <w:t>总计各增加</w:t>
      </w:r>
      <w:r>
        <w:rPr>
          <w:rFonts w:hint="default" w:ascii="Times New Roman" w:hAnsi="Times New Roman" w:cs="Times New Roman"/>
          <w:sz w:val="32"/>
          <w:szCs w:val="32"/>
          <w:lang w:val="en-US" w:eastAsia="zh-CN"/>
        </w:rPr>
        <w:t>67.91</w:t>
      </w:r>
      <w:r>
        <w:rPr>
          <w:rFonts w:hint="default" w:ascii="Times New Roman" w:hAnsi="Times New Roman" w:cs="Times New Roman"/>
          <w:sz w:val="32"/>
          <w:szCs w:val="32"/>
        </w:rPr>
        <w:t>万元，增长</w:t>
      </w:r>
      <w:r>
        <w:rPr>
          <w:rFonts w:hint="default" w:ascii="Times New Roman" w:hAnsi="Times New Roman" w:cs="Times New Roman"/>
          <w:sz w:val="32"/>
          <w:szCs w:val="32"/>
          <w:lang w:val="en-US" w:eastAsia="zh-CN"/>
        </w:rPr>
        <w:t>14.</w:t>
      </w:r>
      <w:r>
        <w:rPr>
          <w:rFonts w:hint="eastAsia" w:ascii="Times New Roman" w:cs="Times New Roman"/>
          <w:sz w:val="32"/>
          <w:szCs w:val="32"/>
          <w:lang w:val="en-US" w:eastAsia="zh-CN"/>
        </w:rPr>
        <w:t>5</w:t>
      </w:r>
      <w:r>
        <w:rPr>
          <w:rFonts w:hint="default" w:ascii="Times New Roman" w:hAnsi="Times New Roman" w:cs="Times New Roman"/>
          <w:sz w:val="32"/>
          <w:szCs w:val="32"/>
        </w:rPr>
        <w:t>%。主要变动原因是</w:t>
      </w:r>
      <w:r>
        <w:rPr>
          <w:rFonts w:hint="default" w:ascii="Times New Roman" w:hAnsi="Times New Roman" w:cs="Times New Roman"/>
          <w:sz w:val="32"/>
          <w:szCs w:val="32"/>
          <w:lang w:val="en-US" w:eastAsia="zh-CN"/>
        </w:rPr>
        <w:t>2025年新招录了2名工作人员，并支付了部分以前年度项目欠款，人员经费和项目经费增加，导致收入</w:t>
      </w:r>
      <w:r>
        <w:rPr>
          <w:rFonts w:hint="eastAsia" w:ascii="Times New Roman" w:cs="Times New Roman"/>
          <w:sz w:val="32"/>
          <w:szCs w:val="32"/>
          <w:lang w:val="en-US" w:eastAsia="zh-CN"/>
        </w:rPr>
        <w:t>、</w:t>
      </w:r>
      <w:r>
        <w:rPr>
          <w:rFonts w:hint="default" w:ascii="Times New Roman" w:hAnsi="Times New Roman" w:cs="Times New Roman"/>
          <w:sz w:val="32"/>
          <w:szCs w:val="32"/>
          <w:lang w:val="en-US" w:eastAsia="zh-CN"/>
        </w:rPr>
        <w:t>支出均有所增加。</w:t>
      </w:r>
    </w:p>
    <w:p w14:paraId="5B5247BB">
      <w:pPr>
        <w:keepNext w:val="0"/>
        <w:keepLines w:val="0"/>
        <w:pageBreakBefore w:val="0"/>
        <w:widowControl w:val="0"/>
        <w:kinsoku/>
        <w:wordWrap/>
        <w:overflowPunct/>
        <w:topLinePunct w:val="0"/>
        <w:autoSpaceDE/>
        <w:autoSpaceDN/>
        <w:bidi w:val="0"/>
        <w:adjustRightInd/>
        <w:snapToGrid/>
        <w:textAlignment w:val="auto"/>
        <w:rPr>
          <w:rFonts w:hint="eastAsia" w:eastAsia="宋体"/>
          <w:lang w:eastAsia="zh-CN"/>
        </w:rPr>
      </w:pPr>
      <w:r>
        <w:rPr>
          <w:rFonts w:hint="eastAsia"/>
          <w:lang w:val="en-US" w:eastAsia="zh-CN"/>
        </w:rPr>
        <w:t xml:space="preserve">  </w:t>
      </w:r>
      <w:r>
        <w:rPr>
          <w:rFonts w:hint="eastAsia" w:eastAsia="宋体"/>
          <w:lang w:eastAsia="zh-CN"/>
        </w:rPr>
        <w:drawing>
          <wp:inline distT="0" distB="0" distL="114300" distR="114300">
            <wp:extent cx="5271770" cy="2633345"/>
            <wp:effectExtent l="0" t="0" r="5080" b="14605"/>
            <wp:docPr id="10" name="图片 10"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
                    <pic:cNvPicPr>
                      <a:picLocks noChangeAspect="1"/>
                    </pic:cNvPicPr>
                  </pic:nvPicPr>
                  <pic:blipFill>
                    <a:blip r:embed="rId7"/>
                    <a:stretch>
                      <a:fillRect/>
                    </a:stretch>
                  </pic:blipFill>
                  <pic:spPr>
                    <a:xfrm>
                      <a:off x="0" y="0"/>
                      <a:ext cx="5271770" cy="2633345"/>
                    </a:xfrm>
                    <a:prstGeom prst="rect">
                      <a:avLst/>
                    </a:prstGeom>
                  </pic:spPr>
                </pic:pic>
              </a:graphicData>
            </a:graphic>
          </wp:inline>
        </w:drawing>
      </w:r>
    </w:p>
    <w:p w14:paraId="2E27BCF7">
      <w:pPr>
        <w:pStyle w:val="2"/>
        <w:bidi w:val="0"/>
        <w:ind w:firstLine="640" w:firstLineChars="200"/>
        <w:rPr>
          <w:rFonts w:hint="default" w:ascii="Times New Roman" w:hAnsi="Times New Roman" w:cs="Times New Roman"/>
          <w:sz w:val="32"/>
          <w:szCs w:val="32"/>
        </w:rPr>
      </w:pPr>
      <w:r>
        <w:rPr>
          <w:rFonts w:hint="default" w:ascii="Times New Roman" w:hAnsi="Times New Roman" w:cs="Times New Roman"/>
          <w:sz w:val="32"/>
          <w:szCs w:val="32"/>
        </w:rPr>
        <w:t>（图1：</w:t>
      </w:r>
      <w:r>
        <w:rPr>
          <w:rFonts w:hint="default" w:ascii="Times New Roman" w:hAnsi="Times New Roman" w:cs="Times New Roman"/>
          <w:sz w:val="32"/>
          <w:szCs w:val="32"/>
          <w:lang w:eastAsia="zh-CN"/>
        </w:rPr>
        <w:t>收入</w:t>
      </w:r>
      <w:r>
        <w:rPr>
          <w:rFonts w:hint="default" w:ascii="Times New Roman" w:hAnsi="Times New Roman" w:cs="Times New Roman"/>
          <w:sz w:val="32"/>
          <w:szCs w:val="32"/>
        </w:rPr>
        <w:t>、</w:t>
      </w:r>
      <w:r>
        <w:rPr>
          <w:rFonts w:hint="default" w:ascii="Times New Roman" w:hAnsi="Times New Roman" w:cs="Times New Roman"/>
          <w:sz w:val="32"/>
          <w:szCs w:val="32"/>
          <w:lang w:eastAsia="zh-CN"/>
        </w:rPr>
        <w:t>支出</w:t>
      </w:r>
      <w:r>
        <w:rPr>
          <w:rFonts w:hint="default" w:ascii="Times New Roman" w:hAnsi="Times New Roman" w:cs="Times New Roman"/>
          <w:sz w:val="32"/>
          <w:szCs w:val="32"/>
        </w:rPr>
        <w:t>决算总计变动情况图）（柱状图）</w:t>
      </w:r>
    </w:p>
    <w:p w14:paraId="1E2A377A">
      <w:pPr>
        <w:pStyle w:val="4"/>
        <w:bidi w:val="0"/>
        <w:rPr>
          <w:rFonts w:hint="eastAsia" w:ascii="黑体" w:hAnsi="黑体" w:eastAsia="黑体" w:cs="黑体"/>
          <w:b w:val="0"/>
          <w:bCs w:val="0"/>
        </w:rPr>
      </w:pPr>
    </w:p>
    <w:p w14:paraId="6D92939F">
      <w:pPr>
        <w:pStyle w:val="4"/>
        <w:bidi w:val="0"/>
        <w:rPr>
          <w:rFonts w:hint="eastAsia" w:ascii="黑体" w:hAnsi="黑体" w:eastAsia="黑体" w:cs="黑体"/>
          <w:b w:val="0"/>
          <w:bCs w:val="0"/>
          <w:lang w:eastAsia="zh-CN"/>
        </w:rPr>
      </w:pPr>
      <w:bookmarkStart w:id="29" w:name="_Toc15377206"/>
      <w:bookmarkStart w:id="30" w:name="_Toc24843"/>
      <w:bookmarkStart w:id="31" w:name="_Toc30737"/>
      <w:bookmarkStart w:id="32" w:name="_Toc13544"/>
      <w:bookmarkStart w:id="33" w:name="_Toc15396604"/>
      <w:r>
        <w:rPr>
          <w:rFonts w:hint="eastAsia" w:ascii="黑体" w:hAnsi="黑体" w:eastAsia="黑体" w:cs="黑体"/>
          <w:b w:val="0"/>
          <w:bCs w:val="0"/>
          <w:lang w:val="en-US" w:eastAsia="zh-CN"/>
        </w:rPr>
        <w:t>二、</w:t>
      </w:r>
      <w:r>
        <w:rPr>
          <w:rFonts w:hint="eastAsia" w:ascii="黑体" w:hAnsi="黑体" w:eastAsia="黑体" w:cs="黑体"/>
          <w:b w:val="0"/>
          <w:bCs w:val="0"/>
          <w:lang w:eastAsia="zh-CN"/>
        </w:rPr>
        <w:t>收入决算情况说明</w:t>
      </w:r>
      <w:bookmarkEnd w:id="29"/>
      <w:bookmarkEnd w:id="30"/>
      <w:bookmarkEnd w:id="31"/>
      <w:bookmarkEnd w:id="32"/>
      <w:bookmarkEnd w:id="33"/>
    </w:p>
    <w:p w14:paraId="01DE052C">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eastAsia="zh-CN"/>
        </w:rPr>
        <w:t>2025年度本年收入合计536.49万元，其中：一般公共预算财政拨款收入536.49万元，占100%。</w:t>
      </w:r>
    </w:p>
    <w:p w14:paraId="4FD06C88">
      <w:pPr>
        <w:ind w:firstLine="525" w:firstLineChars="250"/>
      </w:pPr>
      <w:r>
        <w:rPr>
          <w:rFonts w:hint="eastAsia"/>
          <w:lang w:val="en-US" w:eastAsia="zh-CN"/>
        </w:rPr>
        <w:t xml:space="preserve">      </w:t>
      </w:r>
      <w:r>
        <w:drawing>
          <wp:inline distT="0" distB="0" distL="114300" distR="114300">
            <wp:extent cx="3846195" cy="2759075"/>
            <wp:effectExtent l="4445" t="4445" r="16510" b="17780"/>
            <wp:docPr id="1234"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4B4C2C5">
      <w:pPr>
        <w:pStyle w:val="2"/>
        <w:bidi w:val="0"/>
        <w:ind w:firstLine="1600" w:firstLineChars="500"/>
        <w:rPr>
          <w:rFonts w:hint="default" w:ascii="Times New Roman" w:hAnsi="Times New Roman" w:cs="Times New Roman"/>
          <w:sz w:val="32"/>
          <w:szCs w:val="32"/>
          <w:lang w:eastAsia="zh-CN"/>
        </w:rPr>
      </w:pPr>
      <w:r>
        <w:rPr>
          <w:rFonts w:hint="default" w:ascii="Times New Roman" w:hAnsi="Times New Roman" w:cs="Times New Roman"/>
          <w:sz w:val="32"/>
          <w:szCs w:val="32"/>
          <w:lang w:eastAsia="zh-CN"/>
        </w:rPr>
        <w:t>（图2：收入决算结构图）（饼状图）</w:t>
      </w:r>
    </w:p>
    <w:p w14:paraId="67D37D2E">
      <w:pPr>
        <w:pStyle w:val="4"/>
        <w:bidi w:val="0"/>
        <w:rPr>
          <w:rFonts w:hint="eastAsia" w:ascii="黑体" w:hAnsi="黑体" w:eastAsia="黑体" w:cs="黑体"/>
          <w:b w:val="0"/>
          <w:bCs w:val="0"/>
          <w:lang w:eastAsia="zh-CN"/>
        </w:rPr>
      </w:pPr>
    </w:p>
    <w:p w14:paraId="678889CC">
      <w:pPr>
        <w:pStyle w:val="4"/>
        <w:bidi w:val="0"/>
        <w:rPr>
          <w:rFonts w:hint="eastAsia" w:ascii="黑体" w:hAnsi="黑体" w:eastAsia="黑体" w:cs="黑体"/>
          <w:b w:val="0"/>
          <w:bCs w:val="0"/>
        </w:rPr>
      </w:pPr>
      <w:bookmarkStart w:id="34" w:name="_Toc15396605"/>
      <w:bookmarkStart w:id="35" w:name="_Toc13376"/>
      <w:bookmarkStart w:id="36" w:name="_Toc3354"/>
      <w:bookmarkStart w:id="37" w:name="_Toc15377207"/>
      <w:bookmarkStart w:id="38" w:name="_Toc1562"/>
      <w:r>
        <w:rPr>
          <w:rFonts w:hint="eastAsia" w:ascii="黑体" w:hAnsi="黑体" w:eastAsia="黑体" w:cs="黑体"/>
          <w:b w:val="0"/>
          <w:bCs w:val="0"/>
          <w:lang w:eastAsia="zh-CN"/>
        </w:rPr>
        <w:t>三、</w:t>
      </w:r>
      <w:r>
        <w:rPr>
          <w:rFonts w:hint="eastAsia" w:ascii="黑体" w:hAnsi="黑体" w:eastAsia="黑体" w:cs="黑体"/>
          <w:b w:val="0"/>
          <w:bCs w:val="0"/>
        </w:rPr>
        <w:t>支出决算情况说明</w:t>
      </w:r>
      <w:bookmarkEnd w:id="34"/>
      <w:bookmarkEnd w:id="35"/>
      <w:bookmarkEnd w:id="36"/>
      <w:bookmarkEnd w:id="37"/>
      <w:bookmarkEnd w:id="38"/>
    </w:p>
    <w:p w14:paraId="3BC6377F">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cs="Times New Roman"/>
          <w:sz w:val="32"/>
          <w:szCs w:val="32"/>
          <w:lang w:eastAsia="zh-CN"/>
        </w:rPr>
        <w:t>2025年度本年支出合计536.49万元，其中：基本支出313.79万元，占58.</w:t>
      </w:r>
      <w:r>
        <w:rPr>
          <w:rFonts w:hint="eastAsia" w:ascii="Times New Roman" w:cs="Times New Roman"/>
          <w:sz w:val="32"/>
          <w:szCs w:val="32"/>
          <w:lang w:val="en-US" w:eastAsia="zh-CN"/>
        </w:rPr>
        <w:t>5</w:t>
      </w:r>
      <w:r>
        <w:rPr>
          <w:rFonts w:hint="default" w:ascii="Times New Roman" w:hAnsi="Times New Roman" w:cs="Times New Roman"/>
          <w:sz w:val="32"/>
          <w:szCs w:val="32"/>
          <w:lang w:eastAsia="zh-CN"/>
        </w:rPr>
        <w:t>%；项目支出222.7万元，占41.5%；</w:t>
      </w:r>
    </w:p>
    <w:p w14:paraId="4CB6F2DA">
      <w:pPr>
        <w:pStyle w:val="2"/>
        <w:bidi w:val="0"/>
        <w:rPr>
          <w:rFonts w:hint="eastAsia"/>
          <w:lang w:eastAsia="zh-CN"/>
        </w:rPr>
      </w:pPr>
      <w:bookmarkStart w:id="39" w:name="_Toc18151"/>
      <w:bookmarkStart w:id="40" w:name="_Toc19824"/>
      <w:bookmarkStart w:id="41" w:name="_Toc16809"/>
      <w:r>
        <w:rPr>
          <w:rFonts w:hint="eastAsia"/>
          <w:lang w:eastAsia="zh-CN"/>
        </w:rPr>
        <w:drawing>
          <wp:inline distT="0" distB="0" distL="114300" distR="114300">
            <wp:extent cx="5271135" cy="2696210"/>
            <wp:effectExtent l="0" t="0" r="5715" b="8890"/>
            <wp:docPr id="5" name="图片 5"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1"/>
                    <pic:cNvPicPr>
                      <a:picLocks noChangeAspect="1"/>
                    </pic:cNvPicPr>
                  </pic:nvPicPr>
                  <pic:blipFill>
                    <a:blip r:embed="rId9"/>
                    <a:stretch>
                      <a:fillRect/>
                    </a:stretch>
                  </pic:blipFill>
                  <pic:spPr>
                    <a:xfrm>
                      <a:off x="0" y="0"/>
                      <a:ext cx="5271135" cy="2696210"/>
                    </a:xfrm>
                    <a:prstGeom prst="rect">
                      <a:avLst/>
                    </a:prstGeom>
                  </pic:spPr>
                </pic:pic>
              </a:graphicData>
            </a:graphic>
          </wp:inline>
        </w:drawing>
      </w:r>
      <w:bookmarkEnd w:id="39"/>
      <w:bookmarkEnd w:id="40"/>
      <w:bookmarkEnd w:id="41"/>
    </w:p>
    <w:p w14:paraId="797125CD">
      <w:pPr>
        <w:pStyle w:val="2"/>
        <w:bidi w:val="0"/>
        <w:ind w:firstLine="1600" w:firstLineChars="500"/>
        <w:rPr>
          <w:rFonts w:hint="default" w:ascii="Times New Roman" w:hAnsi="Times New Roman" w:cs="Times New Roman"/>
          <w:sz w:val="32"/>
          <w:szCs w:val="32"/>
          <w:lang w:eastAsia="zh-CN"/>
        </w:rPr>
      </w:pPr>
      <w:r>
        <w:rPr>
          <w:rFonts w:hint="default" w:ascii="Times New Roman" w:hAnsi="Times New Roman" w:cs="Times New Roman"/>
          <w:sz w:val="32"/>
          <w:szCs w:val="32"/>
          <w:lang w:eastAsia="zh-CN"/>
        </w:rPr>
        <w:t>（图3：支出决算结构图）（饼状图）</w:t>
      </w:r>
    </w:p>
    <w:p w14:paraId="5B28A3C7">
      <w:pPr>
        <w:pStyle w:val="4"/>
        <w:bidi w:val="0"/>
        <w:rPr>
          <w:rFonts w:hint="eastAsia" w:ascii="黑体" w:hAnsi="黑体" w:eastAsia="黑体" w:cs="黑体"/>
          <w:b w:val="0"/>
          <w:bCs w:val="0"/>
          <w:lang w:eastAsia="zh-CN"/>
        </w:rPr>
      </w:pPr>
    </w:p>
    <w:p w14:paraId="21D1B5AD">
      <w:pPr>
        <w:pStyle w:val="4"/>
        <w:bidi w:val="0"/>
        <w:rPr>
          <w:rFonts w:hint="eastAsia" w:ascii="黑体" w:hAnsi="黑体" w:eastAsia="黑体" w:cs="黑体"/>
          <w:b w:val="0"/>
          <w:bCs w:val="0"/>
        </w:rPr>
      </w:pPr>
      <w:bookmarkStart w:id="42" w:name="_Toc219"/>
      <w:bookmarkStart w:id="43" w:name="_Toc15377208"/>
      <w:bookmarkStart w:id="44" w:name="_Toc14708"/>
      <w:bookmarkStart w:id="45" w:name="_Toc19009"/>
      <w:bookmarkStart w:id="46" w:name="_Toc15396606"/>
      <w:r>
        <w:rPr>
          <w:rFonts w:hint="eastAsia" w:ascii="黑体" w:hAnsi="黑体" w:eastAsia="黑体" w:cs="黑体"/>
          <w:b w:val="0"/>
          <w:bCs w:val="0"/>
        </w:rPr>
        <w:t>四、财政拨款收入支出决算总体情况说明</w:t>
      </w:r>
      <w:bookmarkEnd w:id="42"/>
      <w:bookmarkEnd w:id="43"/>
      <w:bookmarkEnd w:id="44"/>
      <w:bookmarkEnd w:id="45"/>
      <w:bookmarkEnd w:id="46"/>
    </w:p>
    <w:p w14:paraId="6ED424C4">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eastAsia="仿宋_GB2312" w:cs="Times New Roman"/>
          <w:kern w:val="0"/>
          <w:sz w:val="32"/>
          <w:szCs w:val="32"/>
          <w:lang w:val="en-US" w:eastAsia="zh-CN" w:bidi="ar-SA"/>
        </w:rPr>
        <w:t>2025年度收入、支出总计均为536.49万元。与上年度相比，收入、支出总计各增加67.91万元，增长14.</w:t>
      </w:r>
      <w:r>
        <w:rPr>
          <w:rFonts w:hint="eastAsia" w:ascii="Times New Roman" w:cs="Times New Roman"/>
          <w:kern w:val="0"/>
          <w:sz w:val="32"/>
          <w:szCs w:val="32"/>
          <w:lang w:val="en-US" w:eastAsia="zh-CN" w:bidi="ar-SA"/>
        </w:rPr>
        <w:t>5</w:t>
      </w:r>
      <w:r>
        <w:rPr>
          <w:rFonts w:hint="default" w:ascii="Times New Roman" w:hAnsi="Times New Roman" w:eastAsia="仿宋_GB2312" w:cs="Times New Roman"/>
          <w:kern w:val="0"/>
          <w:sz w:val="32"/>
          <w:szCs w:val="32"/>
          <w:lang w:val="en-US" w:eastAsia="zh-CN" w:bidi="ar-SA"/>
        </w:rPr>
        <w:t>%。主要变动原因是2025年新招录了2名工作人员，并支付了部分以前年度项目欠款，导致</w:t>
      </w:r>
      <w:r>
        <w:rPr>
          <w:rFonts w:hint="eastAsia" w:ascii="Times New Roman" w:hAnsi="Times New Roman" w:eastAsia="仿宋_GB2312" w:cs="Times New Roman"/>
          <w:kern w:val="0"/>
          <w:sz w:val="32"/>
          <w:szCs w:val="32"/>
          <w:lang w:val="en-US" w:eastAsia="zh-CN" w:bidi="ar-SA"/>
        </w:rPr>
        <w:t>财政拨款收入及支出</w:t>
      </w:r>
      <w:r>
        <w:rPr>
          <w:rFonts w:hint="default" w:ascii="Times New Roman" w:hAnsi="Times New Roman" w:eastAsia="仿宋_GB2312" w:cs="Times New Roman"/>
          <w:kern w:val="0"/>
          <w:sz w:val="32"/>
          <w:szCs w:val="32"/>
          <w:lang w:val="en-US" w:eastAsia="zh-CN" w:bidi="ar-SA"/>
        </w:rPr>
        <w:t>增加。</w:t>
      </w:r>
    </w:p>
    <w:p w14:paraId="5346E38D">
      <w:pPr>
        <w:pStyle w:val="2"/>
        <w:rPr>
          <w:rFonts w:hint="eastAsia"/>
          <w:lang w:val="en-US" w:eastAsia="zh-CN"/>
        </w:rPr>
      </w:pPr>
      <w:r>
        <w:rPr>
          <w:rFonts w:hint="eastAsia"/>
          <w:lang w:val="en-US" w:eastAsia="zh-CN"/>
        </w:rPr>
        <w:t xml:space="preserve">  </w:t>
      </w:r>
      <w:r>
        <w:rPr>
          <w:rFonts w:hint="eastAsia"/>
          <w:lang w:val="en-US" w:eastAsia="zh-CN"/>
        </w:rPr>
        <w:drawing>
          <wp:inline distT="0" distB="0" distL="114300" distR="114300">
            <wp:extent cx="5271135" cy="2715260"/>
            <wp:effectExtent l="0" t="0" r="5715" b="8890"/>
            <wp:docPr id="7" name="图片 7"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2"/>
                    <pic:cNvPicPr>
                      <a:picLocks noChangeAspect="1"/>
                    </pic:cNvPicPr>
                  </pic:nvPicPr>
                  <pic:blipFill>
                    <a:blip r:embed="rId10"/>
                    <a:stretch>
                      <a:fillRect/>
                    </a:stretch>
                  </pic:blipFill>
                  <pic:spPr>
                    <a:xfrm>
                      <a:off x="0" y="0"/>
                      <a:ext cx="5271135" cy="2715260"/>
                    </a:xfrm>
                    <a:prstGeom prst="rect">
                      <a:avLst/>
                    </a:prstGeom>
                  </pic:spPr>
                </pic:pic>
              </a:graphicData>
            </a:graphic>
          </wp:inline>
        </w:drawing>
      </w:r>
    </w:p>
    <w:p w14:paraId="3AF6F261">
      <w:pPr>
        <w:pStyle w:val="2"/>
        <w:bidi w:val="0"/>
        <w:ind w:firstLine="640" w:firstLineChars="200"/>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（图4：财政拨款收、支决算总计变动情况）（柱状图）</w:t>
      </w:r>
    </w:p>
    <w:p w14:paraId="5115BB49">
      <w:pPr>
        <w:pStyle w:val="2"/>
        <w:bidi w:val="0"/>
        <w:ind w:firstLine="1600" w:firstLineChars="500"/>
        <w:rPr>
          <w:rFonts w:hint="default" w:ascii="Times New Roman" w:hAnsi="Times New Roman" w:cs="Times New Roman"/>
          <w:sz w:val="32"/>
          <w:szCs w:val="32"/>
          <w:lang w:val="en-US" w:eastAsia="zh-CN"/>
        </w:rPr>
      </w:pPr>
    </w:p>
    <w:p w14:paraId="1E59F8BC">
      <w:pPr>
        <w:pStyle w:val="4"/>
        <w:bidi w:val="0"/>
        <w:rPr>
          <w:rFonts w:hint="eastAsia" w:ascii="黑体" w:hAnsi="黑体" w:eastAsia="黑体" w:cs="黑体"/>
          <w:b w:val="0"/>
          <w:bCs w:val="0"/>
        </w:rPr>
      </w:pPr>
      <w:bookmarkStart w:id="47" w:name="_Toc26630"/>
      <w:bookmarkStart w:id="48" w:name="_Toc15377209"/>
      <w:bookmarkStart w:id="49" w:name="_Toc15396607"/>
      <w:bookmarkStart w:id="50" w:name="_Toc11748"/>
      <w:bookmarkStart w:id="51" w:name="_Toc28952"/>
      <w:r>
        <w:rPr>
          <w:rFonts w:hint="eastAsia" w:ascii="黑体" w:hAnsi="黑体" w:eastAsia="黑体" w:cs="黑体"/>
          <w:b w:val="0"/>
          <w:bCs w:val="0"/>
        </w:rPr>
        <w:t>五、一般公共预算财政拨款支出决算情况说明</w:t>
      </w:r>
      <w:bookmarkEnd w:id="47"/>
      <w:bookmarkEnd w:id="48"/>
      <w:bookmarkEnd w:id="49"/>
      <w:bookmarkEnd w:id="50"/>
      <w:bookmarkEnd w:id="51"/>
    </w:p>
    <w:p w14:paraId="6D36460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52"/>
    </w:p>
    <w:p w14:paraId="00612675">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2025年度一般公共预算财政拨款支出536.49万元，占本年支出合计的100%。与上年度相比，一般公共预算财政拨款支出增加</w:t>
      </w:r>
      <w:r>
        <w:rPr>
          <w:rFonts w:hint="eastAsia" w:ascii="Times New Roman" w:hAnsi="Times New Roman" w:eastAsia="仿宋_GB2312" w:cs="Times New Roman"/>
          <w:kern w:val="0"/>
          <w:sz w:val="32"/>
          <w:szCs w:val="32"/>
          <w:lang w:val="en-US" w:eastAsia="zh-CN" w:bidi="ar-SA"/>
        </w:rPr>
        <w:t>143.91</w:t>
      </w:r>
      <w:r>
        <w:rPr>
          <w:rFonts w:hint="default" w:ascii="Times New Roman" w:hAnsi="Times New Roman" w:eastAsia="仿宋_GB2312" w:cs="Times New Roman"/>
          <w:kern w:val="0"/>
          <w:sz w:val="32"/>
          <w:szCs w:val="32"/>
          <w:lang w:val="en-US" w:eastAsia="zh-CN" w:bidi="ar-SA"/>
        </w:rPr>
        <w:t>万元，增长</w:t>
      </w:r>
      <w:r>
        <w:rPr>
          <w:rFonts w:hint="eastAsia" w:ascii="Times New Roman" w:hAnsi="Times New Roman" w:eastAsia="仿宋_GB2312" w:cs="Times New Roman"/>
          <w:kern w:val="0"/>
          <w:sz w:val="32"/>
          <w:szCs w:val="32"/>
          <w:lang w:val="en-US" w:eastAsia="zh-CN" w:bidi="ar-SA"/>
        </w:rPr>
        <w:t>36.</w:t>
      </w:r>
      <w:r>
        <w:rPr>
          <w:rFonts w:hint="eastAsia" w:ascii="Times New Roman" w:cs="Times New Roman"/>
          <w:kern w:val="0"/>
          <w:sz w:val="32"/>
          <w:szCs w:val="32"/>
          <w:lang w:val="en-US" w:eastAsia="zh-CN" w:bidi="ar-SA"/>
        </w:rPr>
        <w:t>7</w:t>
      </w:r>
      <w:r>
        <w:rPr>
          <w:rFonts w:hint="default" w:ascii="Times New Roman" w:hAnsi="Times New Roman" w:eastAsia="仿宋_GB2312" w:cs="Times New Roman"/>
          <w:kern w:val="0"/>
          <w:sz w:val="32"/>
          <w:szCs w:val="32"/>
          <w:lang w:val="en-US" w:eastAsia="zh-CN" w:bidi="ar-SA"/>
        </w:rPr>
        <w:t>%。主要变动原因是2025年新招录了2名工作人员，并支付了部分以前年度项目欠款，导致一般公共预算财政拨款支出增加</w:t>
      </w:r>
      <w:r>
        <w:rPr>
          <w:rFonts w:hint="eastAsia" w:ascii="Times New Roman" w:hAnsi="Times New Roman" w:eastAsia="仿宋_GB2312" w:cs="Times New Roman"/>
          <w:kern w:val="0"/>
          <w:sz w:val="32"/>
          <w:szCs w:val="32"/>
          <w:lang w:val="en-US" w:eastAsia="zh-CN" w:bidi="ar-SA"/>
        </w:rPr>
        <w:t>；且2025年度</w:t>
      </w:r>
      <w:r>
        <w:rPr>
          <w:rFonts w:hint="eastAsia" w:ascii="Times New Roman" w:cs="Times New Roman"/>
          <w:kern w:val="0"/>
          <w:sz w:val="32"/>
          <w:szCs w:val="32"/>
          <w:lang w:val="en-US" w:eastAsia="zh-CN" w:bidi="ar-SA"/>
        </w:rPr>
        <w:t>我单位所有</w:t>
      </w:r>
      <w:r>
        <w:rPr>
          <w:rFonts w:hint="eastAsia" w:ascii="Times New Roman" w:hAnsi="Times New Roman" w:eastAsia="仿宋_GB2312" w:cs="Times New Roman"/>
          <w:kern w:val="0"/>
          <w:sz w:val="32"/>
          <w:szCs w:val="32"/>
          <w:lang w:val="en-US" w:eastAsia="zh-CN" w:bidi="ar-SA"/>
        </w:rPr>
        <w:t xml:space="preserve">支出均为一般公共预算财政拨款支出，导致一般公共预算财政拨款支出增长幅度较大。 </w:t>
      </w:r>
    </w:p>
    <w:p w14:paraId="4D7AAF7E">
      <w:pPr>
        <w:pStyle w:val="2"/>
      </w:pPr>
      <w:r>
        <w:rPr>
          <w:rFonts w:hint="eastAsia"/>
          <w:lang w:val="en-US" w:eastAsia="zh-CN"/>
        </w:rPr>
        <w:t xml:space="preserve">         </w:t>
      </w:r>
      <w:r>
        <w:drawing>
          <wp:inline distT="0" distB="0" distL="114300" distR="114300">
            <wp:extent cx="3656965" cy="2658110"/>
            <wp:effectExtent l="4445" t="4445" r="15240" b="23495"/>
            <wp:docPr id="123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F10F50F">
      <w:pPr>
        <w:pStyle w:val="2"/>
        <w:rPr>
          <w:rFonts w:hint="default" w:ascii="Times New Roman" w:hAnsi="Times New Roman" w:cs="Times New Roman"/>
          <w:sz w:val="30"/>
          <w:szCs w:val="30"/>
          <w:lang w:val="en-US" w:eastAsia="zh-CN"/>
        </w:rPr>
      </w:pPr>
      <w:r>
        <w:rPr>
          <w:rFonts w:hint="default" w:ascii="Times New Roman" w:hAnsi="Times New Roman" w:cs="Times New Roman"/>
          <w:sz w:val="30"/>
          <w:szCs w:val="30"/>
          <w:lang w:val="en-US" w:eastAsia="zh-CN"/>
        </w:rPr>
        <w:t>（图5：一般公共预算财政拨款支出决算变动情况）（柱状图）</w:t>
      </w:r>
    </w:p>
    <w:p w14:paraId="6608AEB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53"/>
    </w:p>
    <w:p w14:paraId="3A167024">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sz w:val="32"/>
          <w:szCs w:val="32"/>
        </w:rPr>
        <w:t>536.49</w:t>
      </w:r>
      <w:r>
        <w:rPr>
          <w:rFonts w:hint="default" w:ascii="Times New Roman" w:hAnsi="Times New Roman" w:eastAsia="仿宋_GB2312" w:cs="Times New Roman"/>
          <w:color w:val="auto"/>
          <w:kern w:val="2"/>
          <w:sz w:val="32"/>
          <w:szCs w:val="32"/>
          <w:highlight w:val="none"/>
          <w:lang w:val="en-US" w:eastAsia="zh-CN" w:bidi="ar-SA"/>
        </w:rPr>
        <w:t>万元，主要用于以下方面：社会保障和就业支出62.11万元，占</w:t>
      </w:r>
      <w:r>
        <w:rPr>
          <w:rFonts w:hint="eastAsia" w:ascii="Times New Roman" w:hAnsi="Times New Roman" w:cs="Times New Roman"/>
          <w:color w:val="auto"/>
          <w:kern w:val="2"/>
          <w:sz w:val="32"/>
          <w:szCs w:val="32"/>
          <w:highlight w:val="none"/>
          <w:lang w:val="en-US" w:eastAsia="zh-CN" w:bidi="ar-SA"/>
        </w:rPr>
        <w:t>11.</w:t>
      </w:r>
      <w:r>
        <w:rPr>
          <w:rFonts w:hint="eastAsia" w:ascii="Times New Roman" w:cs="Times New Roman"/>
          <w:color w:val="auto"/>
          <w:kern w:val="2"/>
          <w:sz w:val="32"/>
          <w:szCs w:val="32"/>
          <w:highlight w:val="none"/>
          <w:lang w:val="en-US" w:eastAsia="zh-CN" w:bidi="ar-SA"/>
        </w:rPr>
        <w:t>6</w:t>
      </w:r>
      <w:r>
        <w:rPr>
          <w:rFonts w:hint="default" w:ascii="Times New Roman" w:hAnsi="Times New Roman" w:eastAsia="仿宋_GB2312" w:cs="Times New Roman"/>
          <w:color w:val="auto"/>
          <w:kern w:val="2"/>
          <w:sz w:val="32"/>
          <w:szCs w:val="32"/>
          <w:highlight w:val="none"/>
          <w:lang w:val="en-US" w:eastAsia="zh-CN" w:bidi="ar-SA"/>
        </w:rPr>
        <w:t>%；卫生健康支出454.49万元，占</w:t>
      </w:r>
      <w:r>
        <w:rPr>
          <w:rFonts w:hint="eastAsia" w:ascii="Times New Roman" w:hAnsi="Times New Roman" w:cs="Times New Roman"/>
          <w:color w:val="auto"/>
          <w:kern w:val="2"/>
          <w:sz w:val="32"/>
          <w:szCs w:val="32"/>
          <w:highlight w:val="none"/>
          <w:lang w:val="en-US" w:eastAsia="zh-CN" w:bidi="ar-SA"/>
        </w:rPr>
        <w:t>84.7</w:t>
      </w:r>
      <w:r>
        <w:rPr>
          <w:rFonts w:hint="default" w:ascii="Times New Roman" w:hAnsi="Times New Roman" w:eastAsia="仿宋_GB2312" w:cs="Times New Roman"/>
          <w:color w:val="auto"/>
          <w:kern w:val="2"/>
          <w:sz w:val="32"/>
          <w:szCs w:val="32"/>
          <w:highlight w:val="none"/>
          <w:lang w:val="en-US" w:eastAsia="zh-CN" w:bidi="ar-SA"/>
        </w:rPr>
        <w:t>%；住房保障支出19.89万元，占</w:t>
      </w:r>
      <w:r>
        <w:rPr>
          <w:rFonts w:hint="eastAsia" w:ascii="Times New Roman" w:hAnsi="Times New Roman" w:cs="Times New Roman"/>
          <w:color w:val="auto"/>
          <w:kern w:val="2"/>
          <w:sz w:val="32"/>
          <w:szCs w:val="32"/>
          <w:highlight w:val="none"/>
          <w:lang w:val="en-US" w:eastAsia="zh-CN" w:bidi="ar-SA"/>
        </w:rPr>
        <w:t>3.7</w:t>
      </w:r>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cs="Times New Roman"/>
          <w:color w:val="auto"/>
          <w:kern w:val="2"/>
          <w:sz w:val="32"/>
          <w:szCs w:val="32"/>
          <w:highlight w:val="none"/>
          <w:lang w:val="en-US" w:eastAsia="zh-CN" w:bidi="ar-SA"/>
        </w:rPr>
        <w:t>。</w:t>
      </w:r>
    </w:p>
    <w:p w14:paraId="6F7AD397">
      <w:pPr>
        <w:pStyle w:val="2"/>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cs="仿宋_GB2312"/>
          <w:b/>
          <w:bCs/>
          <w:color w:val="auto"/>
          <w:kern w:val="2"/>
          <w:sz w:val="32"/>
          <w:szCs w:val="32"/>
          <w:highlight w:val="none"/>
          <w:lang w:val="en-US" w:eastAsia="zh-CN" w:bidi="ar-SA"/>
        </w:rPr>
        <w:t xml:space="preserve">       </w:t>
      </w:r>
      <w:r>
        <w:rPr>
          <w:rFonts w:hint="eastAsia" w:ascii="Times New Roman" w:hAnsi="Times New Roman" w:eastAsia="仿宋_GB2312" w:cs="仿宋_GB2312"/>
          <w:b/>
          <w:bCs/>
          <w:color w:val="auto"/>
          <w:kern w:val="2"/>
          <w:sz w:val="32"/>
          <w:szCs w:val="32"/>
          <w:highlight w:val="none"/>
          <w:lang w:val="en-US" w:eastAsia="zh-CN" w:bidi="ar-SA"/>
        </w:rPr>
        <w:drawing>
          <wp:inline distT="0" distB="0" distL="114300" distR="114300">
            <wp:extent cx="4161155" cy="2575560"/>
            <wp:effectExtent l="0" t="0" r="10795" b="15240"/>
            <wp:docPr id="9" name="图片 9"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3"/>
                    <pic:cNvPicPr>
                      <a:picLocks noChangeAspect="1"/>
                    </pic:cNvPicPr>
                  </pic:nvPicPr>
                  <pic:blipFill>
                    <a:blip r:embed="rId12"/>
                    <a:stretch>
                      <a:fillRect/>
                    </a:stretch>
                  </pic:blipFill>
                  <pic:spPr>
                    <a:xfrm>
                      <a:off x="0" y="0"/>
                      <a:ext cx="4161155" cy="2575560"/>
                    </a:xfrm>
                    <a:prstGeom prst="rect">
                      <a:avLst/>
                    </a:prstGeom>
                  </pic:spPr>
                </pic:pic>
              </a:graphicData>
            </a:graphic>
          </wp:inline>
        </w:drawing>
      </w:r>
    </w:p>
    <w:p w14:paraId="2F891BAD">
      <w:pPr>
        <w:spacing w:line="600" w:lineRule="exact"/>
        <w:ind w:firstLine="320" w:firstLineChars="1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（图6：一般公共预算财政拨款支出决算结构）（饼状图）</w:t>
      </w:r>
    </w:p>
    <w:p w14:paraId="099B4C5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54"/>
    </w:p>
    <w:p w14:paraId="05D1CB4C">
      <w:p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bookmarkStart w:id="55" w:name="_Toc15378460"/>
      <w:bookmarkStart w:id="56" w:name="_Toc15377213"/>
      <w:bookmarkStart w:id="57" w:name="_Toc15377444"/>
      <w:r>
        <w:rPr>
          <w:rFonts w:hint="default" w:ascii="Times New Roman" w:hAnsi="Times New Roman" w:eastAsia="仿宋_GB2312" w:cs="Times New Roman"/>
          <w:color w:val="auto"/>
          <w:kern w:val="2"/>
          <w:sz w:val="32"/>
          <w:szCs w:val="32"/>
          <w:highlight w:val="none"/>
          <w:lang w:val="en-US" w:eastAsia="zh-CN" w:bidi="ar-SA"/>
        </w:rPr>
        <w:t>2025年度一般公共预算支出决算数为</w:t>
      </w:r>
      <w:r>
        <w:rPr>
          <w:rFonts w:hint="default" w:ascii="Times New Roman" w:hAnsi="Times New Roman" w:eastAsia="仿宋_GB2312" w:cs="Times New Roman"/>
          <w:sz w:val="32"/>
          <w:szCs w:val="32"/>
        </w:rPr>
        <w:t>536.49</w:t>
      </w:r>
      <w:r>
        <w:rPr>
          <w:rFonts w:hint="eastAsia" w:eastAsia="仿宋_GB2312" w:cs="Times New Roman"/>
          <w:sz w:val="32"/>
          <w:szCs w:val="32"/>
          <w:lang w:val="en-US" w:eastAsia="zh-CN"/>
        </w:rPr>
        <w:t>万元</w:t>
      </w:r>
      <w:r>
        <w:rPr>
          <w:rFonts w:hint="default" w:ascii="Times New Roman" w:hAnsi="Times New Roman" w:eastAsia="仿宋_GB2312" w:cs="Times New Roman"/>
          <w:color w:val="auto"/>
          <w:kern w:val="2"/>
          <w:sz w:val="32"/>
          <w:szCs w:val="32"/>
          <w:highlight w:val="none"/>
          <w:lang w:val="en-US" w:eastAsia="zh-CN" w:bidi="ar-SA"/>
        </w:rPr>
        <w:t>，完成预算</w:t>
      </w:r>
      <w:r>
        <w:rPr>
          <w:rFonts w:hint="eastAsia" w:ascii="Times New Roman" w:hAnsi="Times New Roman" w:eastAsia="仿宋_GB2312" w:cs="Times New Roman"/>
          <w:color w:val="auto"/>
          <w:kern w:val="2"/>
          <w:sz w:val="32"/>
          <w:szCs w:val="32"/>
          <w:highlight w:val="none"/>
          <w:lang w:val="en-US" w:eastAsia="zh-CN" w:bidi="ar-SA"/>
        </w:rPr>
        <w:t>100</w:t>
      </w:r>
      <w:r>
        <w:rPr>
          <w:rFonts w:hint="default" w:ascii="Times New Roman" w:hAnsi="Times New Roman" w:eastAsia="仿宋_GB2312" w:cs="Times New Roman"/>
          <w:color w:val="auto"/>
          <w:kern w:val="2"/>
          <w:sz w:val="32"/>
          <w:szCs w:val="32"/>
          <w:highlight w:val="none"/>
          <w:lang w:val="en-US" w:eastAsia="zh-CN" w:bidi="ar-SA"/>
        </w:rPr>
        <w:t>%。其中：</w:t>
      </w:r>
      <w:bookmarkEnd w:id="55"/>
      <w:bookmarkEnd w:id="56"/>
      <w:bookmarkEnd w:id="57"/>
    </w:p>
    <w:p w14:paraId="6F717324">
      <w:pPr>
        <w:spacing w:line="600" w:lineRule="exact"/>
        <w:ind w:firstLine="643" w:firstLineChars="200"/>
        <w:rPr>
          <w:rStyle w:val="17"/>
          <w:rFonts w:hint="default" w:ascii="Times New Roman" w:hAnsi="Times New Roman" w:eastAsia="仿宋" w:cs="Times New Roman"/>
          <w:b w:val="0"/>
          <w:bCs w:val="0"/>
          <w:color w:val="FF0000"/>
          <w:sz w:val="32"/>
          <w:szCs w:val="32"/>
        </w:rPr>
      </w:pPr>
      <w:r>
        <w:rPr>
          <w:rStyle w:val="17"/>
          <w:rFonts w:hint="default" w:ascii="Times New Roman" w:hAnsi="Times New Roman" w:eastAsia="仿宋" w:cs="Times New Roman"/>
          <w:sz w:val="32"/>
          <w:szCs w:val="32"/>
        </w:rPr>
        <w:t>1.社会保障和就业（类）行政事业单位养老支出（款）事业单位离退休（项）:</w:t>
      </w:r>
      <w:r>
        <w:rPr>
          <w:rStyle w:val="17"/>
          <w:rFonts w:hint="default" w:ascii="Times New Roman" w:hAnsi="Times New Roman" w:eastAsia="仿宋" w:cs="Times New Roman"/>
          <w:b w:val="0"/>
          <w:bCs w:val="0"/>
          <w:sz w:val="32"/>
          <w:szCs w:val="32"/>
        </w:rPr>
        <w:t>支出决算为</w:t>
      </w:r>
      <w:r>
        <w:rPr>
          <w:rStyle w:val="17"/>
          <w:rFonts w:hint="eastAsia" w:eastAsia="仿宋" w:cs="Times New Roman"/>
          <w:b w:val="0"/>
          <w:bCs w:val="0"/>
          <w:sz w:val="32"/>
          <w:szCs w:val="32"/>
          <w:lang w:val="en-US" w:eastAsia="zh-CN"/>
        </w:rPr>
        <w:t>26.07</w:t>
      </w:r>
      <w:r>
        <w:rPr>
          <w:rStyle w:val="17"/>
          <w:rFonts w:hint="default" w:ascii="Times New Roman" w:hAnsi="Times New Roman" w:eastAsia="仿宋" w:cs="Times New Roman"/>
          <w:b w:val="0"/>
          <w:bCs w:val="0"/>
          <w:sz w:val="32"/>
          <w:szCs w:val="32"/>
        </w:rPr>
        <w:t>万元，完成预算</w:t>
      </w:r>
      <w:r>
        <w:rPr>
          <w:rFonts w:hint="default" w:ascii="Times New Roman" w:hAnsi="Times New Roman" w:eastAsia="仿宋_GB2312" w:cs="Times New Roman"/>
          <w:color w:val="auto"/>
          <w:kern w:val="2"/>
          <w:sz w:val="32"/>
          <w:szCs w:val="32"/>
          <w:highlight w:val="none"/>
          <w:lang w:val="en-US" w:eastAsia="zh-CN" w:bidi="ar-SA"/>
        </w:rPr>
        <w:t>100%</w:t>
      </w:r>
      <w:r>
        <w:rPr>
          <w:rStyle w:val="17"/>
          <w:rFonts w:hint="default" w:ascii="Times New Roman" w:hAnsi="Times New Roman" w:eastAsia="仿宋" w:cs="Times New Roman"/>
          <w:b w:val="0"/>
          <w:bCs w:val="0"/>
          <w:sz w:val="32"/>
          <w:szCs w:val="32"/>
        </w:rPr>
        <w:t>。</w:t>
      </w:r>
    </w:p>
    <w:p w14:paraId="0A7886C6">
      <w:pPr>
        <w:spacing w:line="600" w:lineRule="exact"/>
        <w:ind w:firstLine="643" w:firstLineChars="200"/>
        <w:rPr>
          <w:rStyle w:val="17"/>
          <w:rFonts w:hint="default" w:ascii="Times New Roman" w:hAnsi="Times New Roman" w:eastAsia="仿宋" w:cs="Times New Roman"/>
          <w:b w:val="0"/>
          <w:bCs w:val="0"/>
          <w:sz w:val="32"/>
          <w:szCs w:val="32"/>
        </w:rPr>
      </w:pPr>
      <w:r>
        <w:rPr>
          <w:rStyle w:val="17"/>
          <w:rFonts w:hint="default" w:ascii="Times New Roman" w:hAnsi="Times New Roman" w:eastAsia="仿宋" w:cs="Times New Roman"/>
          <w:sz w:val="32"/>
          <w:szCs w:val="32"/>
        </w:rPr>
        <w:t>2.社会保障和就业（类）行政事业单位养老支出（款）机关事业单位基本养老保险缴费支出（项）:</w:t>
      </w:r>
      <w:r>
        <w:rPr>
          <w:rStyle w:val="17"/>
          <w:rFonts w:hint="default" w:ascii="Times New Roman" w:hAnsi="Times New Roman" w:eastAsia="仿宋" w:cs="Times New Roman"/>
          <w:b w:val="0"/>
          <w:bCs w:val="0"/>
          <w:sz w:val="32"/>
          <w:szCs w:val="32"/>
        </w:rPr>
        <w:t>支出决算为</w:t>
      </w:r>
      <w:r>
        <w:rPr>
          <w:rFonts w:hint="eastAsia" w:eastAsia="仿宋_GB2312" w:cs="Times New Roman"/>
          <w:color w:val="auto"/>
          <w:kern w:val="2"/>
          <w:sz w:val="32"/>
          <w:szCs w:val="32"/>
          <w:highlight w:val="none"/>
          <w:lang w:val="en-US" w:eastAsia="zh-CN" w:bidi="ar-SA"/>
        </w:rPr>
        <w:t>27.01</w:t>
      </w:r>
      <w:r>
        <w:rPr>
          <w:rStyle w:val="17"/>
          <w:rFonts w:hint="default" w:ascii="Times New Roman" w:hAnsi="Times New Roman" w:eastAsia="仿宋" w:cs="Times New Roman"/>
          <w:b w:val="0"/>
          <w:bCs w:val="0"/>
          <w:sz w:val="32"/>
          <w:szCs w:val="32"/>
        </w:rPr>
        <w:t>万元，完成预算</w:t>
      </w:r>
      <w:r>
        <w:rPr>
          <w:rFonts w:hint="default" w:ascii="Times New Roman" w:hAnsi="Times New Roman" w:eastAsia="仿宋_GB2312" w:cs="Times New Roman"/>
          <w:color w:val="auto"/>
          <w:kern w:val="2"/>
          <w:sz w:val="32"/>
          <w:szCs w:val="32"/>
          <w:highlight w:val="none"/>
          <w:lang w:val="en-US" w:eastAsia="zh-CN" w:bidi="ar-SA"/>
        </w:rPr>
        <w:t>100%</w:t>
      </w:r>
      <w:r>
        <w:rPr>
          <w:rStyle w:val="17"/>
          <w:rFonts w:hint="default" w:ascii="Times New Roman" w:hAnsi="Times New Roman" w:eastAsia="仿宋" w:cs="Times New Roman"/>
          <w:b w:val="0"/>
          <w:bCs w:val="0"/>
          <w:sz w:val="32"/>
          <w:szCs w:val="32"/>
        </w:rPr>
        <w:t>。</w:t>
      </w:r>
    </w:p>
    <w:p w14:paraId="6DF432C7">
      <w:pPr>
        <w:spacing w:line="600" w:lineRule="exact"/>
        <w:ind w:firstLine="643" w:firstLineChars="200"/>
        <w:rPr>
          <w:rFonts w:hint="default" w:eastAsia="仿宋"/>
          <w:lang w:val="en-US" w:eastAsia="zh-CN"/>
        </w:rPr>
      </w:pPr>
      <w:r>
        <w:rPr>
          <w:rStyle w:val="17"/>
          <w:rFonts w:hint="eastAsia" w:ascii="Times New Roman" w:eastAsia="仿宋" w:cs="Times New Roman"/>
          <w:sz w:val="32"/>
          <w:szCs w:val="32"/>
          <w:lang w:val="en-US" w:eastAsia="zh-CN"/>
        </w:rPr>
        <w:t>3.</w:t>
      </w:r>
      <w:r>
        <w:rPr>
          <w:rStyle w:val="17"/>
          <w:rFonts w:hint="default" w:ascii="Times New Roman" w:hAnsi="Times New Roman" w:eastAsia="仿宋" w:cs="Times New Roman"/>
          <w:sz w:val="32"/>
          <w:szCs w:val="32"/>
        </w:rPr>
        <w:t>社会保障和就业（类）行政事业单位养老支出（款）机关事业单位职业年金缴费支出（项）:</w:t>
      </w:r>
      <w:r>
        <w:rPr>
          <w:rStyle w:val="17"/>
          <w:rFonts w:hint="default" w:ascii="Times New Roman" w:hAnsi="Times New Roman" w:eastAsia="仿宋" w:cs="Times New Roman"/>
          <w:b w:val="0"/>
          <w:bCs w:val="0"/>
          <w:sz w:val="32"/>
          <w:szCs w:val="32"/>
        </w:rPr>
        <w:t>支出决算为</w:t>
      </w:r>
      <w:r>
        <w:rPr>
          <w:rStyle w:val="17"/>
          <w:rFonts w:hint="eastAsia" w:eastAsia="仿宋" w:cs="Times New Roman"/>
          <w:b w:val="0"/>
          <w:bCs w:val="0"/>
          <w:sz w:val="32"/>
          <w:szCs w:val="32"/>
          <w:lang w:val="en-US" w:eastAsia="zh-CN"/>
        </w:rPr>
        <w:t>9.03</w:t>
      </w:r>
      <w:r>
        <w:rPr>
          <w:rStyle w:val="17"/>
          <w:rFonts w:hint="default" w:ascii="Times New Roman" w:hAnsi="Times New Roman" w:eastAsia="仿宋" w:cs="Times New Roman"/>
          <w:b w:val="0"/>
          <w:bCs w:val="0"/>
          <w:sz w:val="32"/>
          <w:szCs w:val="32"/>
        </w:rPr>
        <w:t>万元，完成预算</w:t>
      </w:r>
      <w:r>
        <w:rPr>
          <w:rFonts w:hint="default" w:ascii="Times New Roman" w:hAnsi="Times New Roman" w:eastAsia="仿宋_GB2312" w:cs="Times New Roman"/>
          <w:color w:val="auto"/>
          <w:kern w:val="2"/>
          <w:sz w:val="32"/>
          <w:szCs w:val="32"/>
          <w:highlight w:val="none"/>
          <w:lang w:val="en-US" w:eastAsia="zh-CN" w:bidi="ar-SA"/>
        </w:rPr>
        <w:t>100%</w:t>
      </w:r>
      <w:r>
        <w:rPr>
          <w:rStyle w:val="17"/>
          <w:rFonts w:hint="default" w:ascii="Times New Roman" w:hAnsi="Times New Roman" w:eastAsia="仿宋" w:cs="Times New Roman"/>
          <w:b w:val="0"/>
          <w:bCs w:val="0"/>
          <w:sz w:val="32"/>
          <w:szCs w:val="32"/>
        </w:rPr>
        <w:t>。</w:t>
      </w:r>
    </w:p>
    <w:p w14:paraId="7EA3D97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Style w:val="17"/>
          <w:rFonts w:hint="default" w:ascii="Times New Roman" w:hAnsi="Times New Roman" w:eastAsia="仿宋" w:cs="Times New Roman"/>
          <w:b w:val="0"/>
          <w:bCs w:val="0"/>
          <w:sz w:val="32"/>
          <w:szCs w:val="32"/>
        </w:rPr>
      </w:pPr>
      <w:r>
        <w:rPr>
          <w:rStyle w:val="17"/>
          <w:rFonts w:hint="default" w:ascii="Times New Roman" w:hAnsi="Times New Roman" w:eastAsia="仿宋" w:cs="Times New Roman"/>
          <w:sz w:val="32"/>
          <w:szCs w:val="32"/>
          <w:lang w:val="en-US" w:eastAsia="zh-CN"/>
        </w:rPr>
        <w:t>4</w:t>
      </w:r>
      <w:r>
        <w:rPr>
          <w:rStyle w:val="17"/>
          <w:rFonts w:hint="default" w:ascii="Times New Roman" w:hAnsi="Times New Roman" w:eastAsia="仿宋" w:cs="Times New Roman"/>
          <w:sz w:val="32"/>
          <w:szCs w:val="32"/>
        </w:rPr>
        <w:t>.</w:t>
      </w:r>
      <w:r>
        <w:rPr>
          <w:rFonts w:hint="default" w:ascii="Times New Roman" w:hAnsi="Times New Roman" w:eastAsia="仿宋" w:cs="Times New Roman"/>
          <w:b/>
          <w:bCs/>
          <w:sz w:val="32"/>
          <w:szCs w:val="32"/>
        </w:rPr>
        <w:t>卫生健康</w:t>
      </w:r>
      <w:r>
        <w:rPr>
          <w:rStyle w:val="17"/>
          <w:rFonts w:hint="default" w:ascii="Times New Roman" w:hAnsi="Times New Roman" w:eastAsia="仿宋" w:cs="Times New Roman"/>
          <w:sz w:val="32"/>
          <w:szCs w:val="32"/>
        </w:rPr>
        <w:t>（类）公立医院（款）其他公立医院支出（项）:</w:t>
      </w:r>
      <w:r>
        <w:rPr>
          <w:rStyle w:val="17"/>
          <w:rFonts w:hint="default" w:ascii="Times New Roman" w:hAnsi="Times New Roman" w:eastAsia="仿宋" w:cs="Times New Roman"/>
          <w:b w:val="0"/>
          <w:bCs w:val="0"/>
          <w:sz w:val="32"/>
          <w:szCs w:val="32"/>
        </w:rPr>
        <w:t>支出决算为</w:t>
      </w:r>
      <w:r>
        <w:rPr>
          <w:rFonts w:hint="eastAsia" w:eastAsia="仿宋_GB2312" w:cs="Times New Roman"/>
          <w:color w:val="auto"/>
          <w:kern w:val="2"/>
          <w:sz w:val="32"/>
          <w:szCs w:val="32"/>
          <w:highlight w:val="none"/>
          <w:lang w:val="en-US" w:eastAsia="zh-CN" w:bidi="ar-SA"/>
        </w:rPr>
        <w:t>25</w:t>
      </w:r>
      <w:r>
        <w:rPr>
          <w:rStyle w:val="17"/>
          <w:rFonts w:hint="default" w:ascii="Times New Roman" w:hAnsi="Times New Roman" w:eastAsia="仿宋" w:cs="Times New Roman"/>
          <w:b w:val="0"/>
          <w:bCs w:val="0"/>
          <w:sz w:val="32"/>
          <w:szCs w:val="32"/>
        </w:rPr>
        <w:t>万元，完成预算</w:t>
      </w:r>
      <w:r>
        <w:rPr>
          <w:rFonts w:hint="default" w:ascii="Times New Roman" w:hAnsi="Times New Roman" w:eastAsia="仿宋_GB2312" w:cs="Times New Roman"/>
          <w:color w:val="auto"/>
          <w:kern w:val="2"/>
          <w:sz w:val="32"/>
          <w:szCs w:val="32"/>
          <w:highlight w:val="none"/>
          <w:lang w:val="en-US" w:eastAsia="zh-CN" w:bidi="ar-SA"/>
        </w:rPr>
        <w:t>100%</w:t>
      </w:r>
      <w:r>
        <w:rPr>
          <w:rStyle w:val="17"/>
          <w:rFonts w:hint="default" w:ascii="Times New Roman" w:hAnsi="Times New Roman" w:eastAsia="仿宋" w:cs="Times New Roman"/>
          <w:b w:val="0"/>
          <w:bCs w:val="0"/>
          <w:sz w:val="32"/>
          <w:szCs w:val="32"/>
        </w:rPr>
        <w:t>。</w:t>
      </w:r>
    </w:p>
    <w:p w14:paraId="762028D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Style w:val="17"/>
          <w:rFonts w:hint="default" w:ascii="Times New Roman" w:hAnsi="Times New Roman" w:eastAsia="仿宋" w:cs="Times New Roman"/>
          <w:b w:val="0"/>
          <w:bCs w:val="0"/>
          <w:sz w:val="32"/>
          <w:szCs w:val="32"/>
        </w:rPr>
      </w:pPr>
      <w:r>
        <w:rPr>
          <w:rFonts w:hint="eastAsia" w:eastAsia="仿宋" w:cs="Times New Roman"/>
          <w:b/>
          <w:bCs/>
          <w:sz w:val="32"/>
          <w:szCs w:val="32"/>
          <w:lang w:val="en-US" w:eastAsia="zh-CN"/>
        </w:rPr>
        <w:t>5.</w:t>
      </w:r>
      <w:r>
        <w:rPr>
          <w:rFonts w:hint="default" w:ascii="Times New Roman" w:hAnsi="Times New Roman" w:eastAsia="仿宋" w:cs="Times New Roman"/>
          <w:b/>
          <w:bCs/>
          <w:sz w:val="32"/>
          <w:szCs w:val="32"/>
        </w:rPr>
        <w:t>卫生健康</w:t>
      </w:r>
      <w:r>
        <w:rPr>
          <w:rStyle w:val="17"/>
          <w:rFonts w:hint="default" w:ascii="Times New Roman" w:hAnsi="Times New Roman" w:eastAsia="仿宋" w:cs="Times New Roman"/>
          <w:sz w:val="32"/>
          <w:szCs w:val="32"/>
        </w:rPr>
        <w:t>（类）行政事业单位医疗（款）事业单位医疗（项）:</w:t>
      </w:r>
      <w:r>
        <w:rPr>
          <w:rStyle w:val="17"/>
          <w:rFonts w:hint="default" w:ascii="Times New Roman" w:hAnsi="Times New Roman" w:eastAsia="仿宋" w:cs="Times New Roman"/>
          <w:b w:val="0"/>
          <w:bCs w:val="0"/>
          <w:sz w:val="32"/>
          <w:szCs w:val="32"/>
        </w:rPr>
        <w:t>支出决算为</w:t>
      </w:r>
      <w:r>
        <w:rPr>
          <w:rFonts w:hint="eastAsia" w:eastAsia="仿宋_GB2312" w:cs="Times New Roman"/>
          <w:color w:val="auto"/>
          <w:kern w:val="2"/>
          <w:sz w:val="32"/>
          <w:szCs w:val="32"/>
          <w:highlight w:val="none"/>
          <w:lang w:val="en-US" w:eastAsia="zh-CN" w:bidi="ar-SA"/>
        </w:rPr>
        <w:t>13.09</w:t>
      </w:r>
      <w:r>
        <w:rPr>
          <w:rStyle w:val="17"/>
          <w:rFonts w:hint="default" w:ascii="Times New Roman" w:hAnsi="Times New Roman" w:eastAsia="仿宋" w:cs="Times New Roman"/>
          <w:b w:val="0"/>
          <w:bCs w:val="0"/>
          <w:sz w:val="32"/>
          <w:szCs w:val="32"/>
        </w:rPr>
        <w:t>万元，完成预算</w:t>
      </w:r>
      <w:r>
        <w:rPr>
          <w:rFonts w:hint="default" w:ascii="Times New Roman" w:hAnsi="Times New Roman" w:eastAsia="仿宋_GB2312" w:cs="Times New Roman"/>
          <w:color w:val="auto"/>
          <w:kern w:val="2"/>
          <w:sz w:val="32"/>
          <w:szCs w:val="32"/>
          <w:highlight w:val="none"/>
          <w:lang w:val="en-US" w:eastAsia="zh-CN" w:bidi="ar-SA"/>
        </w:rPr>
        <w:t>100%</w:t>
      </w:r>
      <w:r>
        <w:rPr>
          <w:rStyle w:val="17"/>
          <w:rFonts w:hint="default" w:ascii="Times New Roman" w:hAnsi="Times New Roman" w:eastAsia="仿宋" w:cs="Times New Roman"/>
          <w:b w:val="0"/>
          <w:bCs w:val="0"/>
          <w:sz w:val="32"/>
          <w:szCs w:val="32"/>
        </w:rPr>
        <w:t>。</w:t>
      </w:r>
    </w:p>
    <w:p w14:paraId="6173D96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Style w:val="17"/>
          <w:rFonts w:hint="default" w:ascii="Times New Roman" w:hAnsi="Times New Roman" w:eastAsia="仿宋" w:cs="Times New Roman"/>
          <w:b w:val="0"/>
          <w:bCs w:val="0"/>
          <w:sz w:val="32"/>
          <w:szCs w:val="32"/>
        </w:rPr>
      </w:pPr>
      <w:r>
        <w:rPr>
          <w:rStyle w:val="17"/>
          <w:rFonts w:hint="eastAsia" w:eastAsia="仿宋" w:cs="Times New Roman"/>
          <w:sz w:val="32"/>
          <w:szCs w:val="32"/>
          <w:lang w:val="en-US" w:eastAsia="zh-CN"/>
        </w:rPr>
        <w:t>6</w:t>
      </w:r>
      <w:r>
        <w:rPr>
          <w:rStyle w:val="17"/>
          <w:rFonts w:hint="default" w:ascii="Times New Roman" w:hAnsi="Times New Roman" w:eastAsia="仿宋" w:cs="Times New Roman"/>
          <w:sz w:val="32"/>
          <w:szCs w:val="32"/>
        </w:rPr>
        <w:t>.</w:t>
      </w:r>
      <w:r>
        <w:rPr>
          <w:rFonts w:hint="default" w:ascii="Times New Roman" w:hAnsi="Times New Roman" w:eastAsia="仿宋" w:cs="Times New Roman"/>
          <w:b/>
          <w:bCs/>
          <w:sz w:val="32"/>
          <w:szCs w:val="32"/>
        </w:rPr>
        <w:t>卫生健康</w:t>
      </w:r>
      <w:r>
        <w:rPr>
          <w:rStyle w:val="17"/>
          <w:rFonts w:hint="default" w:ascii="Times New Roman" w:hAnsi="Times New Roman" w:eastAsia="仿宋" w:cs="Times New Roman"/>
          <w:sz w:val="32"/>
          <w:szCs w:val="32"/>
        </w:rPr>
        <w:t>（类）行政事业单位医疗（款）公务员医疗补助（项）:</w:t>
      </w:r>
      <w:r>
        <w:rPr>
          <w:rStyle w:val="17"/>
          <w:rFonts w:hint="default" w:ascii="Times New Roman" w:hAnsi="Times New Roman" w:eastAsia="仿宋" w:cs="Times New Roman"/>
          <w:b w:val="0"/>
          <w:bCs w:val="0"/>
          <w:sz w:val="32"/>
          <w:szCs w:val="32"/>
        </w:rPr>
        <w:t>支出决算为</w:t>
      </w:r>
      <w:r>
        <w:rPr>
          <w:rFonts w:hint="default" w:ascii="Times New Roman" w:hAnsi="Times New Roman" w:eastAsia="仿宋_GB2312" w:cs="Times New Roman"/>
          <w:color w:val="auto"/>
          <w:kern w:val="2"/>
          <w:sz w:val="32"/>
          <w:szCs w:val="32"/>
          <w:highlight w:val="none"/>
          <w:lang w:val="en-US" w:eastAsia="zh-CN" w:bidi="ar-SA"/>
        </w:rPr>
        <w:t>1.7</w:t>
      </w:r>
      <w:r>
        <w:rPr>
          <w:rFonts w:hint="eastAsia" w:eastAsia="仿宋_GB2312" w:cs="Times New Roman"/>
          <w:color w:val="auto"/>
          <w:kern w:val="2"/>
          <w:sz w:val="32"/>
          <w:szCs w:val="32"/>
          <w:highlight w:val="none"/>
          <w:lang w:val="en-US" w:eastAsia="zh-CN" w:bidi="ar-SA"/>
        </w:rPr>
        <w:t>6</w:t>
      </w:r>
      <w:r>
        <w:rPr>
          <w:rStyle w:val="17"/>
          <w:rFonts w:hint="default" w:ascii="Times New Roman" w:hAnsi="Times New Roman" w:eastAsia="仿宋" w:cs="Times New Roman"/>
          <w:b w:val="0"/>
          <w:bCs w:val="0"/>
          <w:sz w:val="32"/>
          <w:szCs w:val="32"/>
        </w:rPr>
        <w:t>万元，完成预算</w:t>
      </w:r>
      <w:r>
        <w:rPr>
          <w:rFonts w:hint="default" w:ascii="Times New Roman" w:hAnsi="Times New Roman" w:eastAsia="仿宋_GB2312" w:cs="Times New Roman"/>
          <w:color w:val="auto"/>
          <w:kern w:val="2"/>
          <w:sz w:val="32"/>
          <w:szCs w:val="32"/>
          <w:highlight w:val="none"/>
          <w:lang w:val="en-US" w:eastAsia="zh-CN" w:bidi="ar-SA"/>
        </w:rPr>
        <w:t>100</w:t>
      </w:r>
      <w:r>
        <w:rPr>
          <w:rStyle w:val="17"/>
          <w:rFonts w:hint="default" w:ascii="Times New Roman" w:hAnsi="Times New Roman" w:eastAsia="仿宋" w:cs="Times New Roman"/>
          <w:b w:val="0"/>
          <w:bCs w:val="0"/>
          <w:sz w:val="32"/>
          <w:szCs w:val="32"/>
        </w:rPr>
        <w:t>%。</w:t>
      </w:r>
    </w:p>
    <w:p w14:paraId="2C7ABFF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cs="Times New Roman"/>
        </w:rPr>
      </w:pPr>
      <w:r>
        <w:rPr>
          <w:rStyle w:val="17"/>
          <w:rFonts w:hint="eastAsia" w:eastAsia="仿宋" w:cs="Times New Roman"/>
          <w:sz w:val="32"/>
          <w:szCs w:val="32"/>
          <w:lang w:val="en-US" w:eastAsia="zh-CN"/>
        </w:rPr>
        <w:t>7</w:t>
      </w:r>
      <w:r>
        <w:rPr>
          <w:rStyle w:val="17"/>
          <w:rFonts w:hint="default" w:ascii="Times New Roman" w:hAnsi="Times New Roman" w:eastAsia="仿宋" w:cs="Times New Roman"/>
          <w:sz w:val="32"/>
          <w:szCs w:val="32"/>
        </w:rPr>
        <w:t>.</w:t>
      </w:r>
      <w:r>
        <w:rPr>
          <w:rFonts w:hint="default" w:ascii="Times New Roman" w:hAnsi="Times New Roman" w:eastAsia="仿宋" w:cs="Times New Roman"/>
          <w:b/>
          <w:bCs/>
          <w:sz w:val="32"/>
          <w:szCs w:val="32"/>
        </w:rPr>
        <w:t>卫生健康</w:t>
      </w:r>
      <w:r>
        <w:rPr>
          <w:rStyle w:val="17"/>
          <w:rFonts w:hint="default" w:ascii="Times New Roman" w:hAnsi="Times New Roman" w:eastAsia="仿宋" w:cs="Times New Roman"/>
          <w:sz w:val="32"/>
          <w:szCs w:val="32"/>
        </w:rPr>
        <w:t>（类）行政事业单位医疗（款）其他行政事业单位医疗支出（项）:</w:t>
      </w:r>
      <w:r>
        <w:rPr>
          <w:rStyle w:val="17"/>
          <w:rFonts w:hint="default" w:ascii="Times New Roman" w:hAnsi="Times New Roman" w:eastAsia="仿宋" w:cs="Times New Roman"/>
          <w:b w:val="0"/>
          <w:bCs w:val="0"/>
          <w:sz w:val="32"/>
          <w:szCs w:val="32"/>
        </w:rPr>
        <w:t>支出决算为</w:t>
      </w:r>
      <w:r>
        <w:rPr>
          <w:rFonts w:hint="default" w:ascii="Times New Roman" w:hAnsi="Times New Roman" w:eastAsia="仿宋_GB2312" w:cs="Times New Roman"/>
          <w:color w:val="auto"/>
          <w:kern w:val="2"/>
          <w:sz w:val="32"/>
          <w:szCs w:val="32"/>
          <w:highlight w:val="none"/>
          <w:lang w:val="en-US" w:eastAsia="zh-CN" w:bidi="ar-SA"/>
        </w:rPr>
        <w:t>1</w:t>
      </w:r>
      <w:r>
        <w:rPr>
          <w:rFonts w:hint="eastAsia" w:eastAsia="仿宋_GB2312" w:cs="Times New Roman"/>
          <w:color w:val="auto"/>
          <w:kern w:val="2"/>
          <w:sz w:val="32"/>
          <w:szCs w:val="32"/>
          <w:highlight w:val="none"/>
          <w:lang w:val="en-US" w:eastAsia="zh-CN" w:bidi="ar-SA"/>
        </w:rPr>
        <w:t>.51</w:t>
      </w:r>
      <w:r>
        <w:rPr>
          <w:rStyle w:val="17"/>
          <w:rFonts w:hint="default" w:ascii="Times New Roman" w:hAnsi="Times New Roman" w:eastAsia="仿宋" w:cs="Times New Roman"/>
          <w:b w:val="0"/>
          <w:bCs w:val="0"/>
          <w:sz w:val="32"/>
          <w:szCs w:val="32"/>
        </w:rPr>
        <w:t>万元，完成预算</w:t>
      </w:r>
      <w:r>
        <w:rPr>
          <w:rFonts w:hint="default" w:ascii="Times New Roman" w:hAnsi="Times New Roman" w:eastAsia="仿宋_GB2312" w:cs="Times New Roman"/>
          <w:color w:val="auto"/>
          <w:kern w:val="2"/>
          <w:sz w:val="32"/>
          <w:szCs w:val="32"/>
          <w:highlight w:val="none"/>
          <w:lang w:val="en-US" w:eastAsia="zh-CN" w:bidi="ar-SA"/>
        </w:rPr>
        <w:t>100%</w:t>
      </w:r>
      <w:r>
        <w:rPr>
          <w:rStyle w:val="17"/>
          <w:rFonts w:hint="default" w:ascii="Times New Roman" w:hAnsi="Times New Roman" w:eastAsia="仿宋" w:cs="Times New Roman"/>
          <w:b w:val="0"/>
          <w:bCs w:val="0"/>
          <w:sz w:val="32"/>
          <w:szCs w:val="32"/>
        </w:rPr>
        <w:t>。</w:t>
      </w:r>
    </w:p>
    <w:p w14:paraId="5DFA9F7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Style w:val="17"/>
          <w:rFonts w:hint="default" w:ascii="Times New Roman" w:hAnsi="Times New Roman" w:eastAsia="仿宋" w:cs="Times New Roman"/>
          <w:b w:val="0"/>
          <w:bCs w:val="0"/>
          <w:sz w:val="32"/>
          <w:szCs w:val="32"/>
        </w:rPr>
      </w:pPr>
      <w:r>
        <w:rPr>
          <w:rStyle w:val="17"/>
          <w:rFonts w:hint="eastAsia" w:eastAsia="仿宋" w:cs="Times New Roman"/>
          <w:sz w:val="32"/>
          <w:szCs w:val="32"/>
          <w:lang w:val="en-US" w:eastAsia="zh-CN"/>
        </w:rPr>
        <w:t>8</w:t>
      </w:r>
      <w:r>
        <w:rPr>
          <w:rStyle w:val="17"/>
          <w:rFonts w:hint="default" w:ascii="Times New Roman" w:hAnsi="Times New Roman" w:eastAsia="仿宋" w:cs="Times New Roman"/>
          <w:sz w:val="32"/>
          <w:szCs w:val="32"/>
        </w:rPr>
        <w:t>.</w:t>
      </w:r>
      <w:r>
        <w:rPr>
          <w:rFonts w:hint="default" w:ascii="Times New Roman" w:hAnsi="Times New Roman" w:eastAsia="仿宋" w:cs="Times New Roman"/>
          <w:b/>
          <w:bCs/>
          <w:sz w:val="32"/>
          <w:szCs w:val="32"/>
        </w:rPr>
        <w:t>卫生健康</w:t>
      </w:r>
      <w:r>
        <w:rPr>
          <w:rStyle w:val="17"/>
          <w:rFonts w:hint="default" w:ascii="Times New Roman" w:hAnsi="Times New Roman" w:eastAsia="仿宋" w:cs="Times New Roman"/>
          <w:sz w:val="32"/>
          <w:szCs w:val="32"/>
        </w:rPr>
        <w:t>（类）其他卫生健康支出（款）其他卫生健康支出（项）:</w:t>
      </w:r>
      <w:r>
        <w:rPr>
          <w:rStyle w:val="17"/>
          <w:rFonts w:hint="default" w:ascii="Times New Roman" w:hAnsi="Times New Roman" w:eastAsia="仿宋" w:cs="Times New Roman"/>
          <w:b w:val="0"/>
          <w:bCs w:val="0"/>
          <w:sz w:val="32"/>
          <w:szCs w:val="32"/>
        </w:rPr>
        <w:t>支出决算为</w:t>
      </w:r>
      <w:r>
        <w:rPr>
          <w:rStyle w:val="17"/>
          <w:rFonts w:hint="eastAsia" w:eastAsia="仿宋" w:cs="Times New Roman"/>
          <w:b w:val="0"/>
          <w:bCs w:val="0"/>
          <w:sz w:val="32"/>
          <w:szCs w:val="32"/>
          <w:lang w:val="en-US" w:eastAsia="zh-CN"/>
        </w:rPr>
        <w:t>413.13</w:t>
      </w:r>
      <w:r>
        <w:rPr>
          <w:rStyle w:val="17"/>
          <w:rFonts w:hint="default" w:ascii="Times New Roman" w:hAnsi="Times New Roman" w:eastAsia="仿宋" w:cs="Times New Roman"/>
          <w:b w:val="0"/>
          <w:bCs w:val="0"/>
          <w:sz w:val="32"/>
          <w:szCs w:val="32"/>
        </w:rPr>
        <w:t>万元，完成预算</w:t>
      </w:r>
      <w:r>
        <w:rPr>
          <w:rFonts w:hint="default" w:ascii="Times New Roman" w:hAnsi="Times New Roman" w:eastAsia="仿宋_GB2312" w:cs="Times New Roman"/>
          <w:color w:val="auto"/>
          <w:kern w:val="2"/>
          <w:sz w:val="32"/>
          <w:szCs w:val="32"/>
          <w:highlight w:val="none"/>
          <w:lang w:val="en-US" w:eastAsia="zh-CN" w:bidi="ar-SA"/>
        </w:rPr>
        <w:t>100%</w:t>
      </w:r>
      <w:r>
        <w:rPr>
          <w:rStyle w:val="17"/>
          <w:rFonts w:hint="default" w:ascii="Times New Roman" w:hAnsi="Times New Roman" w:eastAsia="仿宋" w:cs="Times New Roman"/>
          <w:b w:val="0"/>
          <w:bCs w:val="0"/>
          <w:sz w:val="32"/>
          <w:szCs w:val="32"/>
        </w:rPr>
        <w:t>。</w:t>
      </w:r>
    </w:p>
    <w:p w14:paraId="0EC7A799">
      <w:pPr>
        <w:spacing w:line="600" w:lineRule="exact"/>
        <w:ind w:firstLine="643" w:firstLineChars="200"/>
        <w:rPr>
          <w:rStyle w:val="17"/>
          <w:rFonts w:hint="default" w:ascii="Times New Roman" w:hAnsi="Times New Roman" w:eastAsia="仿宋" w:cs="Times New Roman"/>
          <w:b w:val="0"/>
          <w:bCs w:val="0"/>
          <w:sz w:val="32"/>
          <w:szCs w:val="32"/>
        </w:rPr>
      </w:pPr>
      <w:r>
        <w:rPr>
          <w:rStyle w:val="17"/>
          <w:rFonts w:hint="eastAsia" w:eastAsia="仿宋" w:cs="Times New Roman"/>
          <w:sz w:val="32"/>
          <w:szCs w:val="32"/>
          <w:lang w:val="en-US" w:eastAsia="zh-CN"/>
        </w:rPr>
        <w:t>10</w:t>
      </w:r>
      <w:r>
        <w:rPr>
          <w:rStyle w:val="17"/>
          <w:rFonts w:hint="default" w:ascii="Times New Roman" w:hAnsi="Times New Roman" w:eastAsia="仿宋" w:cs="Times New Roman"/>
          <w:sz w:val="32"/>
          <w:szCs w:val="32"/>
        </w:rPr>
        <w:t>.住房保障支出（类）住房改革支出（款）住房公积金（项）：</w:t>
      </w:r>
      <w:r>
        <w:rPr>
          <w:rStyle w:val="17"/>
          <w:rFonts w:hint="default" w:ascii="Times New Roman" w:hAnsi="Times New Roman" w:eastAsia="仿宋" w:cs="Times New Roman"/>
          <w:b w:val="0"/>
          <w:bCs w:val="0"/>
          <w:sz w:val="32"/>
          <w:szCs w:val="32"/>
        </w:rPr>
        <w:t>支出决算为</w:t>
      </w:r>
      <w:r>
        <w:rPr>
          <w:rStyle w:val="17"/>
          <w:rFonts w:hint="eastAsia" w:eastAsia="仿宋" w:cs="Times New Roman"/>
          <w:b w:val="0"/>
          <w:bCs w:val="0"/>
          <w:sz w:val="32"/>
          <w:szCs w:val="32"/>
          <w:lang w:val="en-US" w:eastAsia="zh-CN"/>
        </w:rPr>
        <w:t>19.89</w:t>
      </w:r>
      <w:r>
        <w:rPr>
          <w:rStyle w:val="17"/>
          <w:rFonts w:hint="default" w:ascii="Times New Roman" w:hAnsi="Times New Roman" w:eastAsia="仿宋" w:cs="Times New Roman"/>
          <w:b w:val="0"/>
          <w:bCs w:val="0"/>
          <w:sz w:val="32"/>
          <w:szCs w:val="32"/>
        </w:rPr>
        <w:t>万元，完成预算</w:t>
      </w:r>
      <w:r>
        <w:rPr>
          <w:rStyle w:val="17"/>
          <w:rFonts w:hint="default" w:ascii="Times New Roman" w:hAnsi="Times New Roman" w:eastAsia="仿宋" w:cs="Times New Roman"/>
          <w:b w:val="0"/>
          <w:bCs w:val="0"/>
          <w:sz w:val="32"/>
          <w:szCs w:val="32"/>
          <w:lang w:val="en-US" w:eastAsia="zh-CN"/>
        </w:rPr>
        <w:t>100%</w:t>
      </w:r>
      <w:r>
        <w:rPr>
          <w:rStyle w:val="17"/>
          <w:rFonts w:hint="default" w:ascii="Times New Roman" w:hAnsi="Times New Roman" w:eastAsia="仿宋" w:cs="Times New Roman"/>
          <w:b w:val="0"/>
          <w:bCs w:val="0"/>
          <w:sz w:val="32"/>
          <w:szCs w:val="32"/>
        </w:rPr>
        <w:t>。</w:t>
      </w:r>
    </w:p>
    <w:p w14:paraId="69BB0E2D">
      <w:pPr>
        <w:pStyle w:val="2"/>
        <w:rPr>
          <w:rFonts w:hint="default"/>
          <w:lang w:val="en-US" w:eastAsia="zh-CN"/>
        </w:rPr>
      </w:pPr>
    </w:p>
    <w:p w14:paraId="1301B111">
      <w:pPr>
        <w:tabs>
          <w:tab w:val="right" w:pos="8306"/>
        </w:tabs>
        <w:spacing w:line="600" w:lineRule="exact"/>
        <w:outlineLvl w:val="1"/>
        <w:rPr>
          <w:rStyle w:val="29"/>
          <w:rFonts w:ascii="Times New Roman" w:hAnsi="Times New Roman"/>
          <w:color w:val="auto"/>
          <w:highlight w:val="none"/>
        </w:rPr>
      </w:pPr>
      <w:bookmarkStart w:id="58" w:name="_Toc15396608"/>
      <w:bookmarkStart w:id="59" w:name="_Toc31251"/>
      <w:bookmarkStart w:id="60" w:name="_Toc10902"/>
      <w:bookmarkStart w:id="61" w:name="_Toc2597"/>
      <w:bookmarkStart w:id="62" w:name="_Toc15377214"/>
      <w:r>
        <w:rPr>
          <w:rStyle w:val="29"/>
          <w:rFonts w:hint="eastAsia" w:ascii="黑体" w:hAnsi="黑体" w:eastAsia="黑体" w:cs="黑体"/>
          <w:b w:val="0"/>
          <w:bCs w:val="0"/>
        </w:rPr>
        <w:t>六、一般公共预算财政拨款基本支出决算情况说明</w:t>
      </w:r>
      <w:bookmarkEnd w:id="58"/>
      <w:bookmarkEnd w:id="59"/>
      <w:bookmarkEnd w:id="60"/>
      <w:bookmarkEnd w:id="61"/>
      <w:bookmarkEnd w:id="62"/>
      <w:r>
        <w:rPr>
          <w:rStyle w:val="29"/>
          <w:rFonts w:ascii="Times New Roman" w:hAnsi="Times New Roman" w:eastAsia="黑体"/>
          <w:b w:val="0"/>
          <w:color w:val="auto"/>
          <w:highlight w:val="none"/>
        </w:rPr>
        <w:tab/>
      </w:r>
    </w:p>
    <w:p w14:paraId="4936249B">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2025年度一般公共预算财政拨款基本支出</w:t>
      </w:r>
      <w:r>
        <w:rPr>
          <w:rFonts w:hint="default" w:ascii="Times New Roman" w:hAnsi="Times New Roman" w:eastAsia="仿宋_GB2312" w:cs="Times New Roman"/>
          <w:sz w:val="32"/>
          <w:szCs w:val="32"/>
        </w:rPr>
        <w:t>313.79</w:t>
      </w:r>
      <w:r>
        <w:rPr>
          <w:rFonts w:hint="default" w:ascii="Times New Roman" w:hAnsi="Times New Roman" w:eastAsia="仿宋_GB2312" w:cs="Times New Roman"/>
          <w:color w:val="auto"/>
          <w:kern w:val="2"/>
          <w:sz w:val="32"/>
          <w:szCs w:val="32"/>
          <w:highlight w:val="none"/>
          <w:lang w:val="en-US" w:eastAsia="zh-CN" w:bidi="ar-SA"/>
        </w:rPr>
        <w:t>万元，其中：</w:t>
      </w:r>
    </w:p>
    <w:p w14:paraId="104BC363">
      <w:pPr>
        <w:spacing w:line="600" w:lineRule="exact"/>
        <w:ind w:firstLine="640"/>
        <w:rPr>
          <w:rFonts w:hint="eastAsia"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人员经费</w:t>
      </w:r>
      <w:r>
        <w:rPr>
          <w:rFonts w:hint="default" w:ascii="Times New Roman" w:hAnsi="Times New Roman" w:eastAsia="仿宋_GB2312" w:cs="Times New Roman"/>
          <w:sz w:val="32"/>
          <w:szCs w:val="32"/>
        </w:rPr>
        <w:t>297.23</w:t>
      </w:r>
      <w:r>
        <w:rPr>
          <w:rFonts w:hint="default" w:ascii="Times New Roman" w:hAnsi="Times New Roman" w:eastAsia="仿宋_GB2312" w:cs="Times New Roman"/>
          <w:color w:val="auto"/>
          <w:kern w:val="2"/>
          <w:sz w:val="32"/>
          <w:szCs w:val="32"/>
          <w:highlight w:val="none"/>
          <w:lang w:val="en-US" w:eastAsia="zh-CN" w:bidi="ar-SA"/>
        </w:rPr>
        <w:t>万元，主要包括：基本工资</w:t>
      </w:r>
      <w:r>
        <w:rPr>
          <w:rFonts w:hint="eastAsia" w:ascii="Times New Roman" w:hAnsi="Times New Roman" w:eastAsia="仿宋_GB2312" w:cs="Times New Roman"/>
          <w:color w:val="auto"/>
          <w:kern w:val="2"/>
          <w:sz w:val="32"/>
          <w:szCs w:val="32"/>
          <w:highlight w:val="none"/>
          <w:lang w:val="en-US" w:eastAsia="zh-CN" w:bidi="ar-SA"/>
        </w:rPr>
        <w:t>72.72万元</w:t>
      </w:r>
      <w:r>
        <w:rPr>
          <w:rFonts w:hint="default" w:ascii="Times New Roman" w:hAnsi="Times New Roman" w:eastAsia="仿宋_GB2312" w:cs="Times New Roman"/>
          <w:color w:val="auto"/>
          <w:kern w:val="2"/>
          <w:sz w:val="32"/>
          <w:szCs w:val="32"/>
          <w:highlight w:val="none"/>
          <w:lang w:val="en-US" w:eastAsia="zh-CN" w:bidi="ar-SA"/>
        </w:rPr>
        <w:t>、津贴补贴</w:t>
      </w:r>
      <w:r>
        <w:rPr>
          <w:rFonts w:hint="eastAsia" w:ascii="Times New Roman" w:hAnsi="Times New Roman" w:eastAsia="仿宋_GB2312" w:cs="Times New Roman"/>
          <w:color w:val="auto"/>
          <w:kern w:val="2"/>
          <w:sz w:val="32"/>
          <w:szCs w:val="32"/>
          <w:highlight w:val="none"/>
          <w:lang w:val="en-US" w:eastAsia="zh-CN" w:bidi="ar-SA"/>
        </w:rPr>
        <w:t>7.86万元</w:t>
      </w:r>
      <w:r>
        <w:rPr>
          <w:rFonts w:hint="default" w:ascii="Times New Roman" w:hAnsi="Times New Roman" w:eastAsia="仿宋_GB2312" w:cs="Times New Roman"/>
          <w:color w:val="auto"/>
          <w:kern w:val="2"/>
          <w:sz w:val="32"/>
          <w:szCs w:val="32"/>
          <w:highlight w:val="none"/>
          <w:lang w:val="en-US" w:eastAsia="zh-CN" w:bidi="ar-SA"/>
        </w:rPr>
        <w:t>、绩效工资</w:t>
      </w:r>
      <w:r>
        <w:rPr>
          <w:rFonts w:hint="eastAsia" w:ascii="Times New Roman" w:hAnsi="Times New Roman" w:eastAsia="仿宋_GB2312" w:cs="Times New Roman"/>
          <w:color w:val="auto"/>
          <w:kern w:val="2"/>
          <w:sz w:val="32"/>
          <w:szCs w:val="32"/>
          <w:highlight w:val="none"/>
          <w:lang w:val="en-US" w:eastAsia="zh-CN" w:bidi="ar-SA"/>
        </w:rPr>
        <w:t>101.53万元</w:t>
      </w:r>
      <w:r>
        <w:rPr>
          <w:rFonts w:hint="default" w:ascii="Times New Roman" w:hAnsi="Times New Roman" w:eastAsia="仿宋_GB2312" w:cs="Times New Roman"/>
          <w:color w:val="auto"/>
          <w:kern w:val="2"/>
          <w:sz w:val="32"/>
          <w:szCs w:val="32"/>
          <w:highlight w:val="none"/>
          <w:lang w:val="en-US" w:eastAsia="zh-CN" w:bidi="ar-SA"/>
        </w:rPr>
        <w:t>、机关事业单位基本养老保险缴费</w:t>
      </w:r>
      <w:r>
        <w:rPr>
          <w:rFonts w:hint="eastAsia" w:ascii="Times New Roman" w:hAnsi="Times New Roman" w:eastAsia="仿宋_GB2312" w:cs="Times New Roman"/>
          <w:color w:val="auto"/>
          <w:kern w:val="2"/>
          <w:sz w:val="32"/>
          <w:szCs w:val="32"/>
          <w:highlight w:val="none"/>
          <w:lang w:val="en-US" w:eastAsia="zh-CN" w:bidi="ar-SA"/>
        </w:rPr>
        <w:t>27.01万元</w:t>
      </w:r>
      <w:r>
        <w:rPr>
          <w:rFonts w:hint="default" w:ascii="Times New Roman" w:hAnsi="Times New Roman" w:eastAsia="仿宋_GB2312" w:cs="Times New Roman"/>
          <w:color w:val="auto"/>
          <w:kern w:val="2"/>
          <w:sz w:val="32"/>
          <w:szCs w:val="32"/>
          <w:highlight w:val="none"/>
          <w:lang w:val="en-US" w:eastAsia="zh-CN" w:bidi="ar-SA"/>
        </w:rPr>
        <w:t>、职业年金缴费</w:t>
      </w:r>
      <w:r>
        <w:rPr>
          <w:rFonts w:hint="eastAsia" w:ascii="Times New Roman" w:hAnsi="Times New Roman" w:eastAsia="仿宋_GB2312" w:cs="Times New Roman"/>
          <w:color w:val="auto"/>
          <w:kern w:val="2"/>
          <w:sz w:val="32"/>
          <w:szCs w:val="32"/>
          <w:highlight w:val="none"/>
          <w:lang w:val="en-US" w:eastAsia="zh-CN" w:bidi="ar-SA"/>
        </w:rPr>
        <w:t>9.03万元</w:t>
      </w:r>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 w:cs="Times New Roman"/>
          <w:sz w:val="32"/>
          <w:szCs w:val="32"/>
        </w:rPr>
        <w:t>职工基本医疗保险缴费</w:t>
      </w:r>
      <w:r>
        <w:rPr>
          <w:rFonts w:hint="eastAsia" w:eastAsia="仿宋" w:cs="Times New Roman"/>
          <w:sz w:val="32"/>
          <w:szCs w:val="32"/>
          <w:lang w:val="en-US" w:eastAsia="zh-CN"/>
        </w:rPr>
        <w:t>13.09</w:t>
      </w:r>
      <w:r>
        <w:rPr>
          <w:rFonts w:hint="default" w:ascii="Times New Roman" w:hAnsi="Times New Roman" w:eastAsia="仿宋" w:cs="Times New Roman"/>
          <w:sz w:val="32"/>
          <w:szCs w:val="32"/>
          <w:lang w:val="en-US" w:eastAsia="zh-CN"/>
        </w:rPr>
        <w:t>万元、公务员医疗补助缴费</w:t>
      </w:r>
      <w:r>
        <w:rPr>
          <w:rFonts w:hint="eastAsia" w:eastAsia="仿宋" w:cs="Times New Roman"/>
          <w:sz w:val="32"/>
          <w:szCs w:val="32"/>
          <w:lang w:val="en-US" w:eastAsia="zh-CN"/>
        </w:rPr>
        <w:t>3.27</w:t>
      </w:r>
      <w:r>
        <w:rPr>
          <w:rFonts w:hint="default" w:ascii="Times New Roman" w:hAnsi="Times New Roman" w:eastAsia="仿宋" w:cs="Times New Roman"/>
          <w:sz w:val="32"/>
          <w:szCs w:val="32"/>
          <w:lang w:val="en-US" w:eastAsia="zh-CN"/>
        </w:rPr>
        <w:t>万元、</w:t>
      </w:r>
      <w:r>
        <w:rPr>
          <w:rFonts w:hint="default" w:ascii="Times New Roman" w:hAnsi="Times New Roman" w:eastAsia="仿宋_GB2312" w:cs="Times New Roman"/>
          <w:color w:val="auto"/>
          <w:kern w:val="2"/>
          <w:sz w:val="32"/>
          <w:szCs w:val="32"/>
          <w:highlight w:val="none"/>
          <w:lang w:val="en-US" w:eastAsia="zh-CN" w:bidi="ar-SA"/>
        </w:rPr>
        <w:t>其他社会保障缴费</w:t>
      </w:r>
      <w:r>
        <w:rPr>
          <w:rFonts w:hint="eastAsia" w:ascii="Times New Roman" w:hAnsi="Times New Roman" w:eastAsia="仿宋_GB2312" w:cs="Times New Roman"/>
          <w:color w:val="auto"/>
          <w:kern w:val="2"/>
          <w:sz w:val="32"/>
          <w:szCs w:val="32"/>
          <w:highlight w:val="none"/>
          <w:lang w:val="en-US" w:eastAsia="zh-CN" w:bidi="ar-SA"/>
        </w:rPr>
        <w:t>1.35万元</w:t>
      </w:r>
      <w:r>
        <w:rPr>
          <w:rFonts w:hint="default" w:ascii="Times New Roman" w:hAnsi="Times New Roman" w:eastAsia="仿宋_GB2312" w:cs="Times New Roman"/>
          <w:color w:val="auto"/>
          <w:kern w:val="2"/>
          <w:sz w:val="32"/>
          <w:szCs w:val="32"/>
          <w:highlight w:val="none"/>
          <w:lang w:val="en-US" w:eastAsia="zh-CN" w:bidi="ar-SA"/>
        </w:rPr>
        <w:t>、其他工资福利支出</w:t>
      </w:r>
      <w:r>
        <w:rPr>
          <w:rFonts w:hint="eastAsia" w:ascii="Times New Roman" w:hAnsi="Times New Roman" w:eastAsia="仿宋_GB2312" w:cs="Times New Roman"/>
          <w:color w:val="auto"/>
          <w:kern w:val="2"/>
          <w:sz w:val="32"/>
          <w:szCs w:val="32"/>
          <w:highlight w:val="none"/>
          <w:lang w:val="en-US" w:eastAsia="zh-CN" w:bidi="ar-SA"/>
        </w:rPr>
        <w:t>15.40万元</w:t>
      </w:r>
      <w:r>
        <w:rPr>
          <w:rFonts w:hint="default" w:ascii="Times New Roman" w:hAnsi="Times New Roman" w:eastAsia="仿宋_GB2312" w:cs="Times New Roman"/>
          <w:color w:val="auto"/>
          <w:kern w:val="2"/>
          <w:sz w:val="32"/>
          <w:szCs w:val="32"/>
          <w:highlight w:val="none"/>
          <w:lang w:val="en-US" w:eastAsia="zh-CN" w:bidi="ar-SA"/>
        </w:rPr>
        <w:t>、生活补助</w:t>
      </w:r>
      <w:r>
        <w:rPr>
          <w:rFonts w:hint="eastAsia" w:ascii="Times New Roman" w:hAnsi="Times New Roman" w:eastAsia="仿宋_GB2312" w:cs="Times New Roman"/>
          <w:color w:val="auto"/>
          <w:kern w:val="2"/>
          <w:sz w:val="32"/>
          <w:szCs w:val="32"/>
          <w:highlight w:val="none"/>
          <w:lang w:val="en-US" w:eastAsia="zh-CN" w:bidi="ar-SA"/>
        </w:rPr>
        <w:t>24.03万元</w:t>
      </w:r>
      <w:r>
        <w:rPr>
          <w:rFonts w:hint="default" w:ascii="Times New Roman" w:hAnsi="Times New Roman" w:eastAsia="仿宋_GB2312" w:cs="Times New Roman"/>
          <w:color w:val="auto"/>
          <w:kern w:val="2"/>
          <w:sz w:val="32"/>
          <w:szCs w:val="32"/>
          <w:highlight w:val="none"/>
          <w:lang w:val="en-US" w:eastAsia="zh-CN" w:bidi="ar-SA"/>
        </w:rPr>
        <w:t>、医疗费补助</w:t>
      </w:r>
      <w:r>
        <w:rPr>
          <w:rFonts w:hint="eastAsia" w:ascii="Times New Roman" w:hAnsi="Times New Roman" w:eastAsia="仿宋_GB2312" w:cs="Times New Roman"/>
          <w:color w:val="auto"/>
          <w:kern w:val="2"/>
          <w:sz w:val="32"/>
          <w:szCs w:val="32"/>
          <w:highlight w:val="none"/>
          <w:lang w:val="en-US" w:eastAsia="zh-CN" w:bidi="ar-SA"/>
        </w:rPr>
        <w:t>2.04万元</w:t>
      </w:r>
      <w:r>
        <w:rPr>
          <w:rFonts w:hint="default" w:ascii="Times New Roman" w:hAnsi="Times New Roman" w:eastAsia="仿宋_GB2312" w:cs="Times New Roman"/>
          <w:color w:val="auto"/>
          <w:kern w:val="2"/>
          <w:sz w:val="32"/>
          <w:szCs w:val="32"/>
          <w:highlight w:val="none"/>
          <w:lang w:val="en-US" w:eastAsia="zh-CN" w:bidi="ar-SA"/>
        </w:rPr>
        <w:t>、奖励金</w:t>
      </w:r>
      <w:r>
        <w:rPr>
          <w:rFonts w:hint="eastAsia" w:ascii="Times New Roman" w:hAnsi="Times New Roman" w:eastAsia="仿宋_GB2312" w:cs="Times New Roman"/>
          <w:color w:val="auto"/>
          <w:kern w:val="2"/>
          <w:sz w:val="32"/>
          <w:szCs w:val="32"/>
          <w:highlight w:val="none"/>
          <w:lang w:val="en-US" w:eastAsia="zh-CN" w:bidi="ar-SA"/>
        </w:rPr>
        <w:t>0.01万元</w:t>
      </w:r>
      <w:r>
        <w:rPr>
          <w:rFonts w:hint="default" w:ascii="Times New Roman" w:hAnsi="Times New Roman" w:eastAsia="仿宋_GB2312" w:cs="Times New Roman"/>
          <w:color w:val="auto"/>
          <w:kern w:val="2"/>
          <w:sz w:val="32"/>
          <w:szCs w:val="32"/>
          <w:highlight w:val="none"/>
          <w:lang w:val="en-US" w:eastAsia="zh-CN" w:bidi="ar-SA"/>
        </w:rPr>
        <w:t>、住房公积金</w:t>
      </w:r>
      <w:r>
        <w:rPr>
          <w:rFonts w:hint="eastAsia" w:ascii="Times New Roman" w:hAnsi="Times New Roman" w:eastAsia="仿宋_GB2312" w:cs="Times New Roman"/>
          <w:color w:val="auto"/>
          <w:kern w:val="2"/>
          <w:sz w:val="32"/>
          <w:szCs w:val="32"/>
          <w:highlight w:val="none"/>
          <w:lang w:val="en-US" w:eastAsia="zh-CN" w:bidi="ar-SA"/>
        </w:rPr>
        <w:t>19.89万元</w:t>
      </w:r>
      <w:r>
        <w:rPr>
          <w:rFonts w:hint="eastAsia" w:eastAsia="仿宋_GB2312" w:cs="Times New Roman"/>
          <w:color w:val="auto"/>
          <w:kern w:val="2"/>
          <w:sz w:val="32"/>
          <w:szCs w:val="32"/>
          <w:highlight w:val="none"/>
          <w:lang w:val="en-US" w:eastAsia="zh-CN" w:bidi="ar-SA"/>
        </w:rPr>
        <w:t>。</w:t>
      </w:r>
    </w:p>
    <w:p w14:paraId="09387DAA">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公用经费</w:t>
      </w:r>
      <w:r>
        <w:rPr>
          <w:rFonts w:hint="default" w:ascii="Times New Roman" w:hAnsi="Times New Roman" w:eastAsia="仿宋_GB2312" w:cs="Times New Roman"/>
          <w:sz w:val="32"/>
          <w:szCs w:val="32"/>
        </w:rPr>
        <w:t>16.5</w:t>
      </w:r>
      <w:r>
        <w:rPr>
          <w:rFonts w:hint="eastAsia" w:eastAsia="仿宋_GB2312" w:cs="Times New Roman"/>
          <w:sz w:val="32"/>
          <w:szCs w:val="32"/>
          <w:lang w:val="en-US" w:eastAsia="zh-CN"/>
        </w:rPr>
        <w:t>6</w:t>
      </w:r>
      <w:r>
        <w:rPr>
          <w:rFonts w:hint="default" w:ascii="Times New Roman" w:hAnsi="Times New Roman" w:eastAsia="仿宋_GB2312" w:cs="Times New Roman"/>
          <w:color w:val="auto"/>
          <w:kern w:val="2"/>
          <w:sz w:val="32"/>
          <w:szCs w:val="32"/>
          <w:highlight w:val="none"/>
          <w:lang w:val="en-US" w:eastAsia="zh-CN" w:bidi="ar-SA"/>
        </w:rPr>
        <w:t>万元，主要包括：办公费</w:t>
      </w:r>
      <w:r>
        <w:rPr>
          <w:rFonts w:hint="eastAsia" w:ascii="Times New Roman" w:hAnsi="Times New Roman" w:eastAsia="仿宋_GB2312" w:cs="Times New Roman"/>
          <w:color w:val="auto"/>
          <w:kern w:val="2"/>
          <w:sz w:val="32"/>
          <w:szCs w:val="32"/>
          <w:highlight w:val="none"/>
          <w:lang w:val="en-US" w:eastAsia="zh-CN" w:bidi="ar-SA"/>
        </w:rPr>
        <w:t>6.42</w:t>
      </w:r>
      <w:r>
        <w:rPr>
          <w:rFonts w:hint="default" w:ascii="Times New Roman" w:hAnsi="Times New Roman" w:eastAsia="仿宋" w:cs="Times New Roman"/>
          <w:sz w:val="32"/>
          <w:szCs w:val="32"/>
          <w:lang w:val="en-US" w:eastAsia="zh-CN"/>
        </w:rPr>
        <w:t>万元、</w:t>
      </w:r>
      <w:r>
        <w:rPr>
          <w:rFonts w:hint="default" w:ascii="Times New Roman" w:hAnsi="Times New Roman" w:eastAsia="仿宋_GB2312" w:cs="Times New Roman"/>
          <w:color w:val="auto"/>
          <w:kern w:val="2"/>
          <w:sz w:val="32"/>
          <w:szCs w:val="32"/>
          <w:highlight w:val="none"/>
          <w:lang w:val="en-US" w:eastAsia="zh-CN" w:bidi="ar-SA"/>
        </w:rPr>
        <w:t>水费</w:t>
      </w:r>
      <w:r>
        <w:rPr>
          <w:rFonts w:hint="eastAsia" w:ascii="Times New Roman" w:hAnsi="Times New Roman" w:eastAsia="仿宋_GB2312" w:cs="Times New Roman"/>
          <w:color w:val="auto"/>
          <w:kern w:val="2"/>
          <w:sz w:val="32"/>
          <w:szCs w:val="32"/>
          <w:highlight w:val="none"/>
          <w:lang w:val="en-US" w:eastAsia="zh-CN" w:bidi="ar-SA"/>
        </w:rPr>
        <w:t>0.07</w:t>
      </w:r>
      <w:r>
        <w:rPr>
          <w:rFonts w:hint="default" w:ascii="Times New Roman" w:hAnsi="Times New Roman" w:eastAsia="仿宋" w:cs="Times New Roman"/>
          <w:sz w:val="32"/>
          <w:szCs w:val="32"/>
          <w:lang w:val="en-US" w:eastAsia="zh-CN"/>
        </w:rPr>
        <w:t>万元</w:t>
      </w:r>
      <w:r>
        <w:rPr>
          <w:rFonts w:hint="default" w:ascii="Times New Roman" w:hAnsi="Times New Roman" w:eastAsia="仿宋_GB2312" w:cs="Times New Roman"/>
          <w:color w:val="auto"/>
          <w:kern w:val="2"/>
          <w:sz w:val="32"/>
          <w:szCs w:val="32"/>
          <w:highlight w:val="none"/>
          <w:lang w:val="en-US" w:eastAsia="zh-CN" w:bidi="ar-SA"/>
        </w:rPr>
        <w:t>、电费</w:t>
      </w:r>
      <w:r>
        <w:rPr>
          <w:rFonts w:hint="eastAsia" w:ascii="Times New Roman" w:hAnsi="Times New Roman" w:eastAsia="仿宋_GB2312" w:cs="Times New Roman"/>
          <w:color w:val="auto"/>
          <w:kern w:val="2"/>
          <w:sz w:val="32"/>
          <w:szCs w:val="32"/>
          <w:highlight w:val="none"/>
          <w:lang w:val="en-US" w:eastAsia="zh-CN" w:bidi="ar-SA"/>
        </w:rPr>
        <w:t>1.15</w:t>
      </w:r>
      <w:r>
        <w:rPr>
          <w:rFonts w:hint="default" w:ascii="Times New Roman" w:hAnsi="Times New Roman" w:eastAsia="仿宋" w:cs="Times New Roman"/>
          <w:sz w:val="32"/>
          <w:szCs w:val="32"/>
          <w:lang w:val="en-US" w:eastAsia="zh-CN"/>
        </w:rPr>
        <w:t>万元</w:t>
      </w:r>
      <w:r>
        <w:rPr>
          <w:rFonts w:hint="default" w:ascii="Times New Roman" w:hAnsi="Times New Roman" w:eastAsia="仿宋_GB2312" w:cs="Times New Roman"/>
          <w:color w:val="auto"/>
          <w:kern w:val="2"/>
          <w:sz w:val="32"/>
          <w:szCs w:val="32"/>
          <w:highlight w:val="none"/>
          <w:lang w:val="en-US" w:eastAsia="zh-CN" w:bidi="ar-SA"/>
        </w:rPr>
        <w:t>、邮电费</w:t>
      </w:r>
      <w:r>
        <w:rPr>
          <w:rFonts w:hint="eastAsia" w:ascii="Times New Roman" w:hAnsi="Times New Roman" w:eastAsia="仿宋_GB2312" w:cs="Times New Roman"/>
          <w:color w:val="auto"/>
          <w:kern w:val="2"/>
          <w:sz w:val="32"/>
          <w:szCs w:val="32"/>
          <w:highlight w:val="none"/>
          <w:lang w:val="en-US" w:eastAsia="zh-CN" w:bidi="ar-SA"/>
        </w:rPr>
        <w:t>0.5</w:t>
      </w:r>
      <w:r>
        <w:rPr>
          <w:rFonts w:hint="default" w:ascii="Times New Roman" w:hAnsi="Times New Roman" w:eastAsia="仿宋" w:cs="Times New Roman"/>
          <w:sz w:val="32"/>
          <w:szCs w:val="32"/>
          <w:lang w:val="en-US" w:eastAsia="zh-CN"/>
        </w:rPr>
        <w:t>万元</w:t>
      </w:r>
      <w:r>
        <w:rPr>
          <w:rFonts w:hint="default" w:ascii="Times New Roman" w:hAnsi="Times New Roman" w:eastAsia="仿宋_GB2312" w:cs="Times New Roman"/>
          <w:color w:val="auto"/>
          <w:kern w:val="2"/>
          <w:sz w:val="32"/>
          <w:szCs w:val="32"/>
          <w:highlight w:val="none"/>
          <w:lang w:val="en-US" w:eastAsia="zh-CN" w:bidi="ar-SA"/>
        </w:rPr>
        <w:t>、物业管理费</w:t>
      </w:r>
      <w:r>
        <w:rPr>
          <w:rFonts w:hint="eastAsia" w:ascii="Times New Roman" w:hAnsi="Times New Roman" w:eastAsia="仿宋_GB2312" w:cs="Times New Roman"/>
          <w:color w:val="auto"/>
          <w:kern w:val="2"/>
          <w:sz w:val="32"/>
          <w:szCs w:val="32"/>
          <w:highlight w:val="none"/>
          <w:lang w:val="en-US" w:eastAsia="zh-CN" w:bidi="ar-SA"/>
        </w:rPr>
        <w:t>1.50</w:t>
      </w:r>
      <w:r>
        <w:rPr>
          <w:rFonts w:hint="default" w:ascii="Times New Roman" w:hAnsi="Times New Roman" w:eastAsia="仿宋" w:cs="Times New Roman"/>
          <w:sz w:val="32"/>
          <w:szCs w:val="32"/>
          <w:lang w:val="en-US" w:eastAsia="zh-CN"/>
        </w:rPr>
        <w:t>万元</w:t>
      </w:r>
      <w:r>
        <w:rPr>
          <w:rFonts w:hint="default" w:ascii="Times New Roman" w:hAnsi="Times New Roman" w:eastAsia="仿宋_GB2312" w:cs="Times New Roman"/>
          <w:color w:val="auto"/>
          <w:kern w:val="2"/>
          <w:sz w:val="32"/>
          <w:szCs w:val="32"/>
          <w:highlight w:val="none"/>
          <w:lang w:val="en-US" w:eastAsia="zh-CN" w:bidi="ar-SA"/>
        </w:rPr>
        <w:t>、差旅费</w:t>
      </w:r>
      <w:r>
        <w:rPr>
          <w:rFonts w:hint="eastAsia" w:ascii="Times New Roman" w:hAnsi="Times New Roman" w:eastAsia="仿宋_GB2312" w:cs="Times New Roman"/>
          <w:color w:val="auto"/>
          <w:kern w:val="2"/>
          <w:sz w:val="32"/>
          <w:szCs w:val="32"/>
          <w:highlight w:val="none"/>
          <w:lang w:val="en-US" w:eastAsia="zh-CN" w:bidi="ar-SA"/>
        </w:rPr>
        <w:t>2.55</w:t>
      </w:r>
      <w:r>
        <w:rPr>
          <w:rFonts w:hint="default" w:ascii="Times New Roman" w:hAnsi="Times New Roman" w:eastAsia="仿宋" w:cs="Times New Roman"/>
          <w:sz w:val="32"/>
          <w:szCs w:val="32"/>
          <w:lang w:val="en-US" w:eastAsia="zh-CN"/>
        </w:rPr>
        <w:t>万元</w:t>
      </w:r>
      <w:r>
        <w:rPr>
          <w:rFonts w:hint="default" w:ascii="Times New Roman" w:hAnsi="Times New Roman" w:eastAsia="仿宋_GB2312" w:cs="Times New Roman"/>
          <w:color w:val="auto"/>
          <w:kern w:val="2"/>
          <w:sz w:val="32"/>
          <w:szCs w:val="32"/>
          <w:highlight w:val="none"/>
          <w:lang w:val="en-US" w:eastAsia="zh-CN" w:bidi="ar-SA"/>
        </w:rPr>
        <w:t>、工会经费</w:t>
      </w:r>
      <w:r>
        <w:rPr>
          <w:rFonts w:hint="eastAsia" w:ascii="Times New Roman" w:hAnsi="Times New Roman" w:eastAsia="仿宋_GB2312" w:cs="Times New Roman"/>
          <w:color w:val="auto"/>
          <w:kern w:val="2"/>
          <w:sz w:val="32"/>
          <w:szCs w:val="32"/>
          <w:highlight w:val="none"/>
          <w:lang w:val="en-US" w:eastAsia="zh-CN" w:bidi="ar-SA"/>
        </w:rPr>
        <w:t>1.81</w:t>
      </w:r>
      <w:r>
        <w:rPr>
          <w:rFonts w:hint="default" w:ascii="Times New Roman" w:hAnsi="Times New Roman" w:eastAsia="仿宋" w:cs="Times New Roman"/>
          <w:sz w:val="32"/>
          <w:szCs w:val="32"/>
          <w:lang w:val="en-US" w:eastAsia="zh-CN"/>
        </w:rPr>
        <w:t>万元</w:t>
      </w:r>
      <w:r>
        <w:rPr>
          <w:rFonts w:hint="default" w:ascii="Times New Roman" w:hAnsi="Times New Roman" w:eastAsia="仿宋_GB2312" w:cs="Times New Roman"/>
          <w:color w:val="auto"/>
          <w:kern w:val="2"/>
          <w:sz w:val="32"/>
          <w:szCs w:val="32"/>
          <w:highlight w:val="none"/>
          <w:lang w:val="en-US" w:eastAsia="zh-CN" w:bidi="ar-SA"/>
        </w:rPr>
        <w:t>、福利费</w:t>
      </w:r>
      <w:r>
        <w:rPr>
          <w:rFonts w:hint="eastAsia" w:ascii="Times New Roman" w:hAnsi="Times New Roman" w:eastAsia="仿宋_GB2312" w:cs="Times New Roman"/>
          <w:color w:val="auto"/>
          <w:kern w:val="2"/>
          <w:sz w:val="32"/>
          <w:szCs w:val="32"/>
          <w:highlight w:val="none"/>
          <w:lang w:val="en-US" w:eastAsia="zh-CN" w:bidi="ar-SA"/>
        </w:rPr>
        <w:t>1.27</w:t>
      </w:r>
      <w:r>
        <w:rPr>
          <w:rFonts w:hint="default" w:ascii="Times New Roman" w:hAnsi="Times New Roman" w:eastAsia="仿宋" w:cs="Times New Roman"/>
          <w:sz w:val="32"/>
          <w:szCs w:val="32"/>
          <w:lang w:val="en-US" w:eastAsia="zh-CN"/>
        </w:rPr>
        <w:t>万元</w:t>
      </w:r>
      <w:r>
        <w:rPr>
          <w:rFonts w:hint="default" w:ascii="Times New Roman" w:hAnsi="Times New Roman" w:eastAsia="仿宋_GB2312" w:cs="Times New Roman"/>
          <w:color w:val="auto"/>
          <w:kern w:val="2"/>
          <w:sz w:val="32"/>
          <w:szCs w:val="32"/>
          <w:highlight w:val="none"/>
          <w:lang w:val="en-US" w:eastAsia="zh-CN" w:bidi="ar-SA"/>
        </w:rPr>
        <w:t>、公务用车运行维护费</w:t>
      </w:r>
      <w:r>
        <w:rPr>
          <w:rFonts w:hint="eastAsia" w:ascii="Times New Roman" w:hAnsi="Times New Roman" w:eastAsia="仿宋_GB2312" w:cs="Times New Roman"/>
          <w:color w:val="auto"/>
          <w:kern w:val="2"/>
          <w:sz w:val="32"/>
          <w:szCs w:val="32"/>
          <w:highlight w:val="none"/>
          <w:lang w:val="en-US" w:eastAsia="zh-CN" w:bidi="ar-SA"/>
        </w:rPr>
        <w:t>0.89</w:t>
      </w:r>
      <w:r>
        <w:rPr>
          <w:rFonts w:hint="default" w:ascii="Times New Roman" w:hAnsi="Times New Roman" w:eastAsia="仿宋" w:cs="Times New Roman"/>
          <w:sz w:val="32"/>
          <w:szCs w:val="32"/>
          <w:lang w:val="en-US" w:eastAsia="zh-CN"/>
        </w:rPr>
        <w:t>万元</w:t>
      </w:r>
      <w:r>
        <w:rPr>
          <w:rFonts w:hint="eastAsia" w:eastAsia="仿宋" w:cs="Times New Roman"/>
          <w:sz w:val="32"/>
          <w:szCs w:val="32"/>
          <w:lang w:val="en-US" w:eastAsia="zh-CN"/>
        </w:rPr>
        <w:t>、</w:t>
      </w:r>
      <w:r>
        <w:rPr>
          <w:rFonts w:hint="default" w:ascii="Times New Roman" w:hAnsi="Times New Roman" w:eastAsia="仿宋_GB2312" w:cs="Times New Roman"/>
          <w:color w:val="auto"/>
          <w:kern w:val="2"/>
          <w:sz w:val="32"/>
          <w:szCs w:val="32"/>
          <w:highlight w:val="none"/>
          <w:lang w:val="en-US" w:eastAsia="zh-CN" w:bidi="ar-SA"/>
        </w:rPr>
        <w:t>其他商品和服务支出</w:t>
      </w:r>
      <w:r>
        <w:rPr>
          <w:rFonts w:hint="eastAsia" w:ascii="Times New Roman" w:hAnsi="Times New Roman" w:eastAsia="仿宋_GB2312" w:cs="Times New Roman"/>
          <w:color w:val="auto"/>
          <w:kern w:val="2"/>
          <w:sz w:val="32"/>
          <w:szCs w:val="32"/>
          <w:highlight w:val="none"/>
          <w:lang w:val="en-US" w:eastAsia="zh-CN" w:bidi="ar-SA"/>
        </w:rPr>
        <w:t>0.40</w:t>
      </w:r>
      <w:r>
        <w:rPr>
          <w:rFonts w:hint="default" w:ascii="Times New Roman" w:hAnsi="Times New Roman" w:eastAsia="仿宋" w:cs="Times New Roman"/>
          <w:sz w:val="32"/>
          <w:szCs w:val="32"/>
          <w:lang w:val="en-US" w:eastAsia="zh-CN"/>
        </w:rPr>
        <w:t>万元</w:t>
      </w:r>
      <w:r>
        <w:rPr>
          <w:rFonts w:hint="default" w:ascii="Times New Roman" w:hAnsi="Times New Roman" w:eastAsia="仿宋_GB2312" w:cs="Times New Roman"/>
          <w:color w:val="auto"/>
          <w:kern w:val="2"/>
          <w:sz w:val="32"/>
          <w:szCs w:val="32"/>
          <w:highlight w:val="none"/>
          <w:lang w:val="en-US" w:eastAsia="zh-CN" w:bidi="ar-SA"/>
        </w:rPr>
        <w:t>。</w:t>
      </w:r>
    </w:p>
    <w:p w14:paraId="2F77C941">
      <w:pPr>
        <w:pStyle w:val="4"/>
        <w:bidi w:val="0"/>
        <w:rPr>
          <w:rFonts w:hint="eastAsia" w:ascii="黑体" w:hAnsi="黑体" w:eastAsia="黑体" w:cs="黑体"/>
          <w:b w:val="0"/>
          <w:bCs w:val="0"/>
          <w:lang w:val="en-US" w:eastAsia="zh-CN"/>
        </w:rPr>
      </w:pPr>
    </w:p>
    <w:p w14:paraId="0CA8EE14">
      <w:pPr>
        <w:pStyle w:val="4"/>
        <w:bidi w:val="0"/>
        <w:rPr>
          <w:rFonts w:hint="eastAsia" w:ascii="黑体" w:hAnsi="黑体" w:eastAsia="黑体" w:cs="黑体"/>
          <w:b w:val="0"/>
          <w:bCs w:val="0"/>
        </w:rPr>
      </w:pPr>
      <w:bookmarkStart w:id="63" w:name="_Toc12203"/>
      <w:bookmarkStart w:id="64" w:name="_Toc8816"/>
      <w:bookmarkStart w:id="65" w:name="_Toc15396609"/>
      <w:bookmarkStart w:id="66" w:name="_Toc15377215"/>
      <w:bookmarkStart w:id="67" w:name="_Toc17207"/>
      <w:r>
        <w:rPr>
          <w:rFonts w:hint="eastAsia" w:ascii="黑体" w:hAnsi="黑体" w:eastAsia="黑体" w:cs="黑体"/>
          <w:b w:val="0"/>
          <w:bCs w:val="0"/>
        </w:rPr>
        <w:t>七、财政拨款“三公”经费支出决算情况说明</w:t>
      </w:r>
      <w:bookmarkEnd w:id="63"/>
      <w:bookmarkEnd w:id="64"/>
      <w:bookmarkEnd w:id="65"/>
      <w:bookmarkEnd w:id="66"/>
      <w:bookmarkEnd w:id="67"/>
    </w:p>
    <w:p w14:paraId="4088662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68"/>
    </w:p>
    <w:p w14:paraId="43D5966E">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2025年度财政拨款“三公”经费支出决算为</w:t>
      </w:r>
      <w:r>
        <w:rPr>
          <w:rFonts w:hint="default" w:ascii="Times New Roman" w:hAnsi="Times New Roman" w:eastAsia="仿宋_GB2312" w:cs="Times New Roman"/>
          <w:sz w:val="32"/>
          <w:szCs w:val="32"/>
        </w:rPr>
        <w:t>0.89</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kern w:val="2"/>
          <w:sz w:val="32"/>
          <w:szCs w:val="32"/>
          <w:highlight w:val="none"/>
          <w:lang w:val="en-US" w:eastAsia="zh-CN" w:bidi="ar-SA"/>
        </w:rPr>
        <w:t>%，较上年减少</w:t>
      </w:r>
      <w:r>
        <w:rPr>
          <w:rFonts w:hint="eastAsia" w:ascii="Times New Roman" w:hAnsi="Times New Roman" w:eastAsia="仿宋_GB2312" w:cs="Times New Roman"/>
          <w:color w:val="auto"/>
          <w:kern w:val="2"/>
          <w:sz w:val="32"/>
          <w:szCs w:val="32"/>
          <w:highlight w:val="none"/>
          <w:lang w:val="en-US" w:eastAsia="zh-CN" w:bidi="ar-SA"/>
        </w:rPr>
        <w:t>0.42</w:t>
      </w:r>
      <w:r>
        <w:rPr>
          <w:rFonts w:hint="default" w:ascii="Times New Roman" w:hAnsi="Times New Roman" w:eastAsia="仿宋_GB2312" w:cs="Times New Roman"/>
          <w:color w:val="auto"/>
          <w:kern w:val="2"/>
          <w:sz w:val="32"/>
          <w:szCs w:val="32"/>
          <w:highlight w:val="none"/>
          <w:lang w:val="en-US" w:eastAsia="zh-CN" w:bidi="ar-SA"/>
        </w:rPr>
        <w:t>万元，下降</w:t>
      </w:r>
      <w:r>
        <w:rPr>
          <w:rFonts w:hint="eastAsia" w:ascii="Times New Roman" w:hAnsi="Times New Roman" w:eastAsia="仿宋_GB2312" w:cs="Times New Roman"/>
          <w:color w:val="auto"/>
          <w:kern w:val="2"/>
          <w:sz w:val="32"/>
          <w:szCs w:val="32"/>
          <w:highlight w:val="none"/>
          <w:lang w:val="en-US" w:eastAsia="zh-CN" w:bidi="ar-SA"/>
        </w:rPr>
        <w:t>32.</w:t>
      </w:r>
      <w:r>
        <w:rPr>
          <w:rFonts w:hint="eastAsia" w:eastAsia="仿宋_GB2312" w:cs="Times New Roman"/>
          <w:color w:val="auto"/>
          <w:kern w:val="2"/>
          <w:sz w:val="32"/>
          <w:szCs w:val="32"/>
          <w:highlight w:val="none"/>
          <w:lang w:val="en-US" w:eastAsia="zh-CN" w:bidi="ar-SA"/>
        </w:rPr>
        <w:t>1</w:t>
      </w:r>
      <w:r>
        <w:rPr>
          <w:rFonts w:hint="default" w:ascii="Times New Roman" w:hAnsi="Times New Roman" w:eastAsia="仿宋_GB2312" w:cs="Times New Roman"/>
          <w:color w:val="auto"/>
          <w:kern w:val="2"/>
          <w:sz w:val="32"/>
          <w:szCs w:val="32"/>
          <w:highlight w:val="none"/>
          <w:lang w:val="en-US" w:eastAsia="zh-CN" w:bidi="ar-SA"/>
        </w:rPr>
        <w:t>%。</w:t>
      </w:r>
    </w:p>
    <w:p w14:paraId="365B568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69"/>
    </w:p>
    <w:p w14:paraId="63C668BA">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2025年度财政拨款“三公”经费支出决算中，因公出国（境）费支出决算</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万元，占0%；公务用车购置及运行维护费支出决算</w:t>
      </w:r>
      <w:r>
        <w:rPr>
          <w:rFonts w:hint="default" w:ascii="Times New Roman" w:hAnsi="Times New Roman" w:eastAsia="仿宋_GB2312" w:cs="Times New Roman"/>
          <w:sz w:val="32"/>
          <w:szCs w:val="32"/>
        </w:rPr>
        <w:t>0.89</w:t>
      </w:r>
      <w:r>
        <w:rPr>
          <w:rFonts w:hint="default" w:ascii="Times New Roman" w:hAnsi="Times New Roman" w:eastAsia="仿宋_GB2312" w:cs="Times New Roman"/>
          <w:color w:val="auto"/>
          <w:kern w:val="2"/>
          <w:sz w:val="32"/>
          <w:szCs w:val="32"/>
          <w:highlight w:val="none"/>
          <w:lang w:val="en-US" w:eastAsia="zh-CN" w:bidi="ar-SA"/>
        </w:rPr>
        <w:t>万元，占</w:t>
      </w:r>
      <w:r>
        <w:rPr>
          <w:rFonts w:hint="eastAsia" w:ascii="Times New Roman" w:hAnsi="Times New Roman" w:eastAsia="仿宋_GB2312" w:cs="Times New Roman"/>
          <w:color w:val="auto"/>
          <w:kern w:val="2"/>
          <w:sz w:val="32"/>
          <w:szCs w:val="32"/>
          <w:highlight w:val="none"/>
          <w:lang w:val="en-US" w:eastAsia="zh-CN" w:bidi="ar-SA"/>
        </w:rPr>
        <w:t>100</w:t>
      </w:r>
      <w:r>
        <w:rPr>
          <w:rFonts w:hint="default" w:ascii="Times New Roman" w:hAnsi="Times New Roman" w:eastAsia="仿宋_GB2312" w:cs="Times New Roman"/>
          <w:color w:val="auto"/>
          <w:kern w:val="2"/>
          <w:sz w:val="32"/>
          <w:szCs w:val="32"/>
          <w:highlight w:val="none"/>
          <w:lang w:val="en-US" w:eastAsia="zh-CN" w:bidi="ar-SA"/>
        </w:rPr>
        <w:t>%；公务接待费支出决算</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w:t>
      </w:r>
      <w:r>
        <w:rPr>
          <w:rFonts w:hint="eastAsia" w:ascii="Times New Roman" w:hAnsi="Times New Roman" w:eastAsia="仿宋_GB2312" w:cs="Times New Roman"/>
          <w:color w:val="auto"/>
          <w:kern w:val="2"/>
          <w:sz w:val="32"/>
          <w:szCs w:val="32"/>
          <w:highlight w:val="none"/>
          <w:lang w:val="en-US" w:eastAsia="zh-CN" w:bidi="ar-SA"/>
        </w:rPr>
        <w:t>0</w:t>
      </w:r>
      <w:r>
        <w:rPr>
          <w:rFonts w:hint="default" w:ascii="Times New Roman" w:hAnsi="Times New Roman" w:eastAsia="仿宋_GB2312" w:cs="Times New Roman"/>
          <w:color w:val="auto"/>
          <w:kern w:val="2"/>
          <w:sz w:val="32"/>
          <w:szCs w:val="32"/>
          <w:highlight w:val="none"/>
          <w:lang w:val="en-US" w:eastAsia="zh-CN" w:bidi="ar-SA"/>
        </w:rPr>
        <w:t>%。具体情况如下：</w:t>
      </w:r>
    </w:p>
    <w:p w14:paraId="301043A4">
      <w:pPr>
        <w:pStyle w:val="2"/>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cs="Times New Roman"/>
          <w:color w:val="auto"/>
          <w:kern w:val="2"/>
          <w:sz w:val="32"/>
          <w:szCs w:val="32"/>
          <w:highlight w:val="none"/>
          <w:lang w:val="en-US" w:eastAsia="zh-CN" w:bidi="ar-SA"/>
        </w:rPr>
        <w:t xml:space="preserve">    </w:t>
      </w:r>
      <w:r>
        <w:rPr>
          <w:rFonts w:hint="default" w:ascii="Times New Roman" w:hAnsi="Times New Roman" w:eastAsia="仿宋_GB2312" w:cs="Times New Roman"/>
          <w:color w:val="auto"/>
          <w:kern w:val="2"/>
          <w:sz w:val="32"/>
          <w:szCs w:val="32"/>
          <w:highlight w:val="none"/>
          <w:lang w:val="en-US" w:eastAsia="zh-CN" w:bidi="ar-SA"/>
        </w:rPr>
        <w:drawing>
          <wp:inline distT="0" distB="0" distL="114300" distR="114300">
            <wp:extent cx="4516755" cy="2582545"/>
            <wp:effectExtent l="0" t="0" r="17145" b="8255"/>
            <wp:docPr id="11" name="图片 11"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片4"/>
                    <pic:cNvPicPr>
                      <a:picLocks noChangeAspect="1"/>
                    </pic:cNvPicPr>
                  </pic:nvPicPr>
                  <pic:blipFill>
                    <a:blip r:embed="rId13"/>
                    <a:stretch>
                      <a:fillRect/>
                    </a:stretch>
                  </pic:blipFill>
                  <pic:spPr>
                    <a:xfrm>
                      <a:off x="0" y="0"/>
                      <a:ext cx="4516755" cy="2582545"/>
                    </a:xfrm>
                    <a:prstGeom prst="rect">
                      <a:avLst/>
                    </a:prstGeom>
                  </pic:spPr>
                </pic:pic>
              </a:graphicData>
            </a:graphic>
          </wp:inline>
        </w:drawing>
      </w:r>
    </w:p>
    <w:p w14:paraId="404EA2D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（图7：财政拨款“三公”经费支出结构）（饼状图）</w:t>
      </w:r>
    </w:p>
    <w:p w14:paraId="2184371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1.因公出国（境）经费支出0万元，完成预算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全年安排因公出国（境）团组</w:t>
      </w:r>
      <w:r>
        <w:rPr>
          <w:rStyle w:val="17"/>
          <w:rFonts w:hint="default" w:ascii="Times New Roman" w:hAnsi="Times New Roman" w:eastAsia="仿宋" w:cs="Times New Roman"/>
          <w:b w:val="0"/>
          <w:bCs w:val="0"/>
          <w:sz w:val="32"/>
          <w:szCs w:val="32"/>
          <w:lang w:val="en-US" w:eastAsia="zh-CN"/>
        </w:rPr>
        <w:t>0</w:t>
      </w:r>
      <w:r>
        <w:rPr>
          <w:rFonts w:hint="default" w:ascii="Times New Roman" w:hAnsi="Times New Roman" w:eastAsia="仿宋_GB2312" w:cs="Times New Roman"/>
          <w:color w:val="auto"/>
          <w:kern w:val="2"/>
          <w:sz w:val="32"/>
          <w:szCs w:val="32"/>
          <w:highlight w:val="none"/>
          <w:lang w:val="en-US" w:eastAsia="zh-CN" w:bidi="ar-SA"/>
        </w:rPr>
        <w:t>次，出国（境）</w:t>
      </w:r>
      <w:r>
        <w:rPr>
          <w:rStyle w:val="17"/>
          <w:rFonts w:hint="default" w:ascii="Times New Roman" w:hAnsi="Times New Roman" w:eastAsia="仿宋" w:cs="Times New Roman"/>
          <w:b w:val="0"/>
          <w:bCs w:val="0"/>
          <w:sz w:val="32"/>
          <w:szCs w:val="32"/>
          <w:lang w:val="en-US" w:eastAsia="zh-CN"/>
        </w:rPr>
        <w:t>0</w:t>
      </w:r>
      <w:r>
        <w:rPr>
          <w:rFonts w:hint="default" w:ascii="Times New Roman" w:hAnsi="Times New Roman" w:eastAsia="仿宋_GB2312" w:cs="Times New Roman"/>
          <w:color w:val="auto"/>
          <w:kern w:val="2"/>
          <w:sz w:val="32"/>
          <w:szCs w:val="32"/>
          <w:highlight w:val="none"/>
          <w:lang w:val="en-US" w:eastAsia="zh-CN" w:bidi="ar-SA"/>
        </w:rPr>
        <w:t>人。因公出国（境）支出决算与202</w:t>
      </w:r>
      <w:r>
        <w:rPr>
          <w:rFonts w:hint="eastAsia" w:eastAsia="仿宋_GB2312" w:cs="Times New Roman"/>
          <w:color w:val="auto"/>
          <w:kern w:val="2"/>
          <w:sz w:val="32"/>
          <w:szCs w:val="32"/>
          <w:highlight w:val="none"/>
          <w:lang w:val="en-US" w:eastAsia="zh-CN" w:bidi="ar-SA"/>
        </w:rPr>
        <w:t>4</w:t>
      </w:r>
      <w:r>
        <w:rPr>
          <w:rFonts w:hint="default" w:ascii="Times New Roman" w:hAnsi="Times New Roman" w:eastAsia="仿宋_GB2312" w:cs="Times New Roman"/>
          <w:color w:val="auto"/>
          <w:kern w:val="2"/>
          <w:sz w:val="32"/>
          <w:szCs w:val="32"/>
          <w:highlight w:val="none"/>
          <w:lang w:val="en-US" w:eastAsia="zh-CN" w:bidi="ar-SA"/>
        </w:rPr>
        <w:t>年持平。</w:t>
      </w:r>
    </w:p>
    <w:p w14:paraId="4B32AD23">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w:t>
      </w:r>
      <w:r>
        <w:rPr>
          <w:rFonts w:hint="default" w:ascii="Times New Roman" w:hAnsi="Times New Roman" w:eastAsia="仿宋_GB2312" w:cs="Times New Roman"/>
          <w:b/>
          <w:bCs/>
          <w:color w:val="auto"/>
          <w:kern w:val="2"/>
          <w:sz w:val="32"/>
          <w:szCs w:val="32"/>
          <w:highlight w:val="none"/>
          <w:lang w:val="en-US" w:eastAsia="zh-CN" w:bidi="ar-SA"/>
        </w:rPr>
        <w:t>公务用车购置及运行维护费支出0.89万元，完成预算100%。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0.42</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32.1</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default" w:ascii="Times New Roman" w:hAnsi="Times New Roman" w:eastAsia="仿宋_GB2312" w:cs="Times New Roman"/>
          <w:color w:val="auto"/>
          <w:kern w:val="2"/>
          <w:sz w:val="32"/>
          <w:szCs w:val="32"/>
          <w:highlight w:val="none"/>
          <w:lang w:val="en-US" w:eastAsia="zh-CN" w:bidi="ar-SA"/>
        </w:rPr>
        <w:t>公务用车使用</w:t>
      </w:r>
      <w:r>
        <w:rPr>
          <w:rFonts w:hint="eastAsia" w:eastAsia="仿宋_GB2312" w:cs="Times New Roman"/>
          <w:color w:val="auto"/>
          <w:kern w:val="2"/>
          <w:sz w:val="32"/>
          <w:szCs w:val="32"/>
          <w:highlight w:val="none"/>
          <w:lang w:val="en-US" w:eastAsia="zh-CN" w:bidi="ar-SA"/>
        </w:rPr>
        <w:t>频率</w:t>
      </w:r>
      <w:r>
        <w:rPr>
          <w:rFonts w:hint="default" w:ascii="Times New Roman" w:hAnsi="Times New Roman" w:eastAsia="仿宋_GB2312" w:cs="Times New Roman"/>
          <w:color w:val="auto"/>
          <w:kern w:val="2"/>
          <w:sz w:val="32"/>
          <w:szCs w:val="32"/>
          <w:highlight w:val="none"/>
          <w:lang w:val="en-US" w:eastAsia="zh-CN" w:bidi="ar-SA"/>
        </w:rPr>
        <w:t>相对减少</w:t>
      </w:r>
      <w:r>
        <w:rPr>
          <w:rFonts w:hint="eastAsia" w:eastAsia="仿宋_GB2312" w:cs="Times New Roman"/>
          <w:color w:val="auto"/>
          <w:kern w:val="2"/>
          <w:sz w:val="32"/>
          <w:szCs w:val="32"/>
          <w:highlight w:val="none"/>
          <w:lang w:val="en-US" w:eastAsia="zh-CN" w:bidi="ar-SA"/>
        </w:rPr>
        <w:t>,运行维护费支出有所下降</w:t>
      </w:r>
      <w:r>
        <w:rPr>
          <w:rFonts w:hint="default" w:ascii="Times New Roman" w:hAnsi="Times New Roman" w:eastAsia="仿宋_GB2312" w:cs="Times New Roman"/>
          <w:color w:val="auto"/>
          <w:kern w:val="2"/>
          <w:sz w:val="32"/>
          <w:szCs w:val="32"/>
          <w:highlight w:val="none"/>
          <w:lang w:val="en-US" w:eastAsia="zh-CN" w:bidi="ar-SA"/>
        </w:rPr>
        <w:t>。</w:t>
      </w:r>
    </w:p>
    <w:p w14:paraId="2A33DF4D">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其中：公务用车购置支出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万元。全年按规定更新购置公务用车</w:t>
      </w:r>
      <w:r>
        <w:rPr>
          <w:rFonts w:hint="eastAsia" w:ascii="Times New Roman" w:hAnsi="Times New Roman" w:eastAsia="仿宋_GB2312" w:cs="Times New Roman"/>
          <w:color w:val="auto"/>
          <w:kern w:val="2"/>
          <w:sz w:val="32"/>
          <w:szCs w:val="32"/>
          <w:highlight w:val="none"/>
          <w:lang w:val="en-US" w:eastAsia="zh-CN" w:bidi="ar-SA"/>
        </w:rPr>
        <w:t>0</w:t>
      </w:r>
      <w:r>
        <w:rPr>
          <w:rFonts w:hint="default" w:ascii="Times New Roman" w:hAnsi="Times New Roman" w:eastAsia="仿宋_GB2312" w:cs="Times New Roman"/>
          <w:color w:val="auto"/>
          <w:kern w:val="2"/>
          <w:sz w:val="32"/>
          <w:szCs w:val="32"/>
          <w:highlight w:val="none"/>
          <w:lang w:val="en-US" w:eastAsia="zh-CN" w:bidi="ar-SA"/>
        </w:rPr>
        <w:t>辆，其中：公务用车购置支出</w:t>
      </w:r>
      <w:r>
        <w:rPr>
          <w:rStyle w:val="17"/>
          <w:rFonts w:hint="default" w:ascii="Times New Roman" w:hAnsi="Times New Roman" w:eastAsia="仿宋" w:cs="Times New Roman"/>
          <w:b w:val="0"/>
          <w:bCs w:val="0"/>
          <w:sz w:val="32"/>
          <w:szCs w:val="32"/>
          <w:lang w:val="en-US" w:eastAsia="zh-CN"/>
        </w:rPr>
        <w:t>0</w:t>
      </w:r>
      <w:r>
        <w:rPr>
          <w:rFonts w:hint="default" w:ascii="Times New Roman" w:hAnsi="Times New Roman" w:eastAsia="仿宋_GB2312" w:cs="Times New Roman"/>
          <w:color w:val="auto"/>
          <w:kern w:val="2"/>
          <w:sz w:val="32"/>
          <w:szCs w:val="32"/>
          <w:highlight w:val="none"/>
          <w:lang w:val="en-US" w:eastAsia="zh-CN" w:bidi="ar-SA"/>
        </w:rPr>
        <w:t>万元。全年按规定更新购置公务用车</w:t>
      </w:r>
      <w:r>
        <w:rPr>
          <w:rStyle w:val="17"/>
          <w:rFonts w:hint="default" w:ascii="Times New Roman" w:hAnsi="Times New Roman" w:eastAsia="仿宋" w:cs="Times New Roman"/>
          <w:b w:val="0"/>
          <w:bCs w:val="0"/>
          <w:sz w:val="32"/>
          <w:szCs w:val="32"/>
          <w:lang w:val="en-US" w:eastAsia="zh-CN"/>
        </w:rPr>
        <w:t>0</w:t>
      </w:r>
      <w:r>
        <w:rPr>
          <w:rFonts w:hint="default" w:ascii="Times New Roman" w:hAnsi="Times New Roman" w:eastAsia="仿宋_GB2312" w:cs="Times New Roman"/>
          <w:color w:val="auto"/>
          <w:kern w:val="2"/>
          <w:sz w:val="32"/>
          <w:szCs w:val="32"/>
          <w:highlight w:val="none"/>
          <w:lang w:val="en-US" w:eastAsia="zh-CN" w:bidi="ar-SA"/>
        </w:rPr>
        <w:t>辆，其中：轿车</w:t>
      </w:r>
      <w:r>
        <w:rPr>
          <w:rStyle w:val="17"/>
          <w:rFonts w:hint="default" w:ascii="Times New Roman" w:hAnsi="Times New Roman" w:eastAsia="仿宋" w:cs="Times New Roman"/>
          <w:b w:val="0"/>
          <w:bCs w:val="0"/>
          <w:sz w:val="32"/>
          <w:szCs w:val="32"/>
          <w:lang w:val="en-US" w:eastAsia="zh-CN"/>
        </w:rPr>
        <w:t>0</w:t>
      </w:r>
      <w:r>
        <w:rPr>
          <w:rFonts w:hint="default" w:ascii="Times New Roman" w:hAnsi="Times New Roman" w:eastAsia="仿宋_GB2312" w:cs="Times New Roman"/>
          <w:color w:val="auto"/>
          <w:kern w:val="2"/>
          <w:sz w:val="32"/>
          <w:szCs w:val="32"/>
          <w:highlight w:val="none"/>
          <w:lang w:val="en-US" w:eastAsia="zh-CN" w:bidi="ar-SA"/>
        </w:rPr>
        <w:t>辆、金额</w:t>
      </w:r>
      <w:r>
        <w:rPr>
          <w:rStyle w:val="17"/>
          <w:rFonts w:hint="default" w:ascii="Times New Roman" w:hAnsi="Times New Roman" w:eastAsia="仿宋" w:cs="Times New Roman"/>
          <w:b w:val="0"/>
          <w:bCs w:val="0"/>
          <w:sz w:val="32"/>
          <w:szCs w:val="32"/>
          <w:lang w:val="en-US" w:eastAsia="zh-CN"/>
        </w:rPr>
        <w:t>0</w:t>
      </w:r>
      <w:r>
        <w:rPr>
          <w:rFonts w:hint="default" w:ascii="Times New Roman" w:hAnsi="Times New Roman" w:eastAsia="仿宋_GB2312" w:cs="Times New Roman"/>
          <w:color w:val="auto"/>
          <w:kern w:val="2"/>
          <w:sz w:val="32"/>
          <w:szCs w:val="32"/>
          <w:highlight w:val="none"/>
          <w:lang w:val="en-US" w:eastAsia="zh-CN" w:bidi="ar-SA"/>
        </w:rPr>
        <w:t>万元，越野车</w:t>
      </w:r>
      <w:r>
        <w:rPr>
          <w:rStyle w:val="17"/>
          <w:rFonts w:hint="default" w:ascii="Times New Roman" w:hAnsi="Times New Roman" w:eastAsia="仿宋" w:cs="Times New Roman"/>
          <w:b w:val="0"/>
          <w:bCs w:val="0"/>
          <w:sz w:val="32"/>
          <w:szCs w:val="32"/>
          <w:lang w:val="en-US" w:eastAsia="zh-CN"/>
        </w:rPr>
        <w:t>0</w:t>
      </w:r>
      <w:r>
        <w:rPr>
          <w:rFonts w:hint="default" w:ascii="Times New Roman" w:hAnsi="Times New Roman" w:eastAsia="仿宋_GB2312" w:cs="Times New Roman"/>
          <w:color w:val="auto"/>
          <w:kern w:val="2"/>
          <w:sz w:val="32"/>
          <w:szCs w:val="32"/>
          <w:highlight w:val="none"/>
          <w:lang w:val="en-US" w:eastAsia="zh-CN" w:bidi="ar-SA"/>
        </w:rPr>
        <w:t>辆、金额</w:t>
      </w:r>
      <w:r>
        <w:rPr>
          <w:rStyle w:val="17"/>
          <w:rFonts w:hint="default" w:ascii="Times New Roman" w:hAnsi="Times New Roman" w:eastAsia="仿宋" w:cs="Times New Roman"/>
          <w:b w:val="0"/>
          <w:bCs w:val="0"/>
          <w:sz w:val="32"/>
          <w:szCs w:val="32"/>
          <w:lang w:val="en-US" w:eastAsia="zh-CN"/>
        </w:rPr>
        <w:t>0</w:t>
      </w:r>
      <w:r>
        <w:rPr>
          <w:rFonts w:hint="default" w:ascii="Times New Roman" w:hAnsi="Times New Roman" w:eastAsia="仿宋_GB2312" w:cs="Times New Roman"/>
          <w:color w:val="auto"/>
          <w:kern w:val="2"/>
          <w:sz w:val="32"/>
          <w:szCs w:val="32"/>
          <w:highlight w:val="none"/>
          <w:lang w:val="en-US" w:eastAsia="zh-CN" w:bidi="ar-SA"/>
        </w:rPr>
        <w:t>万元，载客汽车0辆、金额</w:t>
      </w:r>
      <w:r>
        <w:rPr>
          <w:rStyle w:val="17"/>
          <w:rFonts w:hint="default" w:ascii="Times New Roman" w:hAnsi="Times New Roman" w:eastAsia="仿宋" w:cs="Times New Roman"/>
          <w:b w:val="0"/>
          <w:bCs w:val="0"/>
          <w:sz w:val="32"/>
          <w:szCs w:val="32"/>
          <w:lang w:val="en-US" w:eastAsia="zh-CN"/>
        </w:rPr>
        <w:t>0</w:t>
      </w:r>
      <w:r>
        <w:rPr>
          <w:rFonts w:hint="default" w:ascii="Times New Roman" w:hAnsi="Times New Roman" w:eastAsia="仿宋_GB2312" w:cs="Times New Roman"/>
          <w:color w:val="auto"/>
          <w:kern w:val="2"/>
          <w:sz w:val="32"/>
          <w:szCs w:val="32"/>
          <w:highlight w:val="none"/>
          <w:lang w:val="en-US" w:eastAsia="zh-CN" w:bidi="ar-SA"/>
        </w:rPr>
        <w:t>万元。截至202</w:t>
      </w:r>
      <w:r>
        <w:rPr>
          <w:rFonts w:hint="eastAsia"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年12月31日，单位共有公务用车2辆，其中：轿车2辆、越野车0辆、载客汽车0辆。</w:t>
      </w:r>
    </w:p>
    <w:p w14:paraId="41542B98">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color w:val="auto"/>
          <w:kern w:val="2"/>
          <w:sz w:val="32"/>
          <w:szCs w:val="32"/>
          <w:highlight w:val="none"/>
          <w:lang w:val="en-US" w:eastAsia="zh-CN" w:bidi="ar-SA"/>
        </w:rPr>
        <w:t>公务用车运行维护费支出</w:t>
      </w:r>
      <w:r>
        <w:rPr>
          <w:rFonts w:hint="default" w:ascii="Times New Roman" w:hAnsi="Times New Roman" w:eastAsia="仿宋_GB2312" w:cs="Times New Roman"/>
          <w:sz w:val="32"/>
          <w:szCs w:val="32"/>
        </w:rPr>
        <w:t>0.89</w:t>
      </w:r>
      <w:r>
        <w:rPr>
          <w:rFonts w:hint="default"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sz w:val="32"/>
          <w:szCs w:val="32"/>
        </w:rPr>
        <w:t>主要用于行业资格考试、卫生统计等工作所需的公务用车燃料费、维修费、过路费、保险费等支出。</w:t>
      </w:r>
    </w:p>
    <w:p w14:paraId="2D74014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3.</w:t>
      </w:r>
      <w:r>
        <w:rPr>
          <w:rFonts w:hint="eastAsia" w:ascii="Times New Roman" w:hAnsi="Times New Roman" w:eastAsia="仿宋_GB2312" w:cs="仿宋_GB2312"/>
          <w:b/>
          <w:bCs/>
          <w:color w:val="auto"/>
          <w:kern w:val="2"/>
          <w:sz w:val="32"/>
          <w:szCs w:val="32"/>
          <w:highlight w:val="none"/>
          <w:lang w:val="en-US" w:eastAsia="zh-CN" w:bidi="ar-SA"/>
        </w:rPr>
        <w:t>公务接待</w:t>
      </w:r>
      <w:r>
        <w:rPr>
          <w:rFonts w:hint="default" w:ascii="Times New Roman" w:hAnsi="Times New Roman" w:eastAsia="仿宋_GB2312" w:cs="Times New Roman"/>
          <w:b/>
          <w:bCs/>
          <w:color w:val="auto"/>
          <w:kern w:val="2"/>
          <w:sz w:val="32"/>
          <w:szCs w:val="32"/>
          <w:highlight w:val="none"/>
          <w:lang w:val="en-US" w:eastAsia="zh-CN" w:bidi="ar-SA"/>
        </w:rPr>
        <w:t>费支出0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公务接待费支出决算与202</w:t>
      </w:r>
      <w:r>
        <w:rPr>
          <w:rFonts w:hint="eastAsia" w:eastAsia="仿宋_GB2312" w:cs="Times New Roman"/>
          <w:color w:val="auto"/>
          <w:kern w:val="2"/>
          <w:sz w:val="32"/>
          <w:szCs w:val="32"/>
          <w:highlight w:val="none"/>
          <w:lang w:val="en-US" w:eastAsia="zh-CN" w:bidi="ar-SA"/>
        </w:rPr>
        <w:t>4</w:t>
      </w:r>
      <w:r>
        <w:rPr>
          <w:rFonts w:hint="default" w:ascii="Times New Roman" w:hAnsi="Times New Roman" w:eastAsia="仿宋_GB2312" w:cs="Times New Roman"/>
          <w:color w:val="auto"/>
          <w:kern w:val="2"/>
          <w:sz w:val="32"/>
          <w:szCs w:val="32"/>
          <w:highlight w:val="none"/>
          <w:lang w:val="en-US" w:eastAsia="zh-CN" w:bidi="ar-SA"/>
        </w:rPr>
        <w:t>年持平。</w:t>
      </w:r>
      <w:bookmarkStart w:id="70" w:name="_Toc15396610"/>
      <w:bookmarkStart w:id="71" w:name="_Toc15377218"/>
    </w:p>
    <w:p w14:paraId="3F560EF9">
      <w:pPr>
        <w:pStyle w:val="4"/>
        <w:bidi w:val="0"/>
        <w:rPr>
          <w:rFonts w:hint="eastAsia" w:ascii="黑体" w:hAnsi="黑体" w:eastAsia="黑体" w:cs="黑体"/>
          <w:b w:val="0"/>
          <w:bCs w:val="0"/>
          <w:lang w:val="en-US" w:eastAsia="zh-CN"/>
        </w:rPr>
      </w:pPr>
    </w:p>
    <w:p w14:paraId="6E301165">
      <w:pPr>
        <w:pStyle w:val="4"/>
        <w:bidi w:val="0"/>
        <w:rPr>
          <w:rFonts w:hint="eastAsia" w:ascii="黑体" w:hAnsi="黑体" w:eastAsia="黑体" w:cs="黑体"/>
          <w:b w:val="0"/>
          <w:bCs w:val="0"/>
        </w:rPr>
      </w:pPr>
      <w:bookmarkStart w:id="72" w:name="_Toc32482"/>
      <w:bookmarkStart w:id="73" w:name="_Toc17686"/>
      <w:bookmarkStart w:id="74" w:name="_Toc550"/>
      <w:r>
        <w:rPr>
          <w:rFonts w:hint="eastAsia" w:ascii="黑体" w:hAnsi="黑体" w:eastAsia="黑体" w:cs="黑体"/>
          <w:b w:val="0"/>
          <w:bCs w:val="0"/>
        </w:rPr>
        <w:t>八、政府性基金预算支出决算情况说明</w:t>
      </w:r>
      <w:bookmarkEnd w:id="70"/>
      <w:bookmarkEnd w:id="71"/>
      <w:bookmarkEnd w:id="72"/>
      <w:bookmarkEnd w:id="73"/>
      <w:bookmarkEnd w:id="74"/>
    </w:p>
    <w:p w14:paraId="6A77E1BD">
      <w:pPr>
        <w:spacing w:line="600" w:lineRule="exact"/>
        <w:ind w:firstLine="640"/>
        <w:rPr>
          <w:rFonts w:hint="eastAsia"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2025年度政府性基金预算财政拨款支出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%。与上年度相比，政府性基金预算财政拨款减少</w:t>
      </w:r>
      <w:r>
        <w:rPr>
          <w:rFonts w:hint="eastAsia" w:ascii="Times New Roman" w:hAnsi="Times New Roman" w:eastAsia="仿宋_GB2312" w:cs="Times New Roman"/>
          <w:color w:val="auto"/>
          <w:kern w:val="2"/>
          <w:sz w:val="32"/>
          <w:szCs w:val="32"/>
          <w:highlight w:val="none"/>
          <w:lang w:val="en-US" w:eastAsia="zh-CN" w:bidi="ar-SA"/>
        </w:rPr>
        <w:t>76</w:t>
      </w:r>
      <w:r>
        <w:rPr>
          <w:rFonts w:hint="default" w:ascii="Times New Roman" w:hAnsi="Times New Roman" w:eastAsia="仿宋_GB2312" w:cs="Times New Roman"/>
          <w:color w:val="auto"/>
          <w:kern w:val="2"/>
          <w:sz w:val="32"/>
          <w:szCs w:val="32"/>
          <w:highlight w:val="none"/>
          <w:lang w:val="en-US" w:eastAsia="zh-CN" w:bidi="ar-SA"/>
        </w:rPr>
        <w:t>万元</w:t>
      </w:r>
      <w:r>
        <w:rPr>
          <w:rFonts w:hint="eastAsia"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下降</w:t>
      </w:r>
      <w:r>
        <w:rPr>
          <w:rFonts w:hint="eastAsia" w:ascii="Times New Roman" w:hAnsi="Times New Roman" w:eastAsia="仿宋_GB2312" w:cs="Times New Roman"/>
          <w:color w:val="auto"/>
          <w:kern w:val="2"/>
          <w:sz w:val="32"/>
          <w:szCs w:val="32"/>
          <w:highlight w:val="none"/>
          <w:lang w:val="en-US" w:eastAsia="zh-CN" w:bidi="ar-SA"/>
        </w:rPr>
        <w:t>100</w:t>
      </w:r>
      <w:r>
        <w:rPr>
          <w:rFonts w:hint="default" w:ascii="Times New Roman" w:hAnsi="Times New Roman" w:eastAsia="仿宋_GB2312" w:cs="Times New Roman"/>
          <w:color w:val="auto"/>
          <w:kern w:val="2"/>
          <w:sz w:val="32"/>
          <w:szCs w:val="32"/>
          <w:highlight w:val="none"/>
          <w:lang w:val="en-US" w:eastAsia="zh-CN" w:bidi="ar-SA"/>
        </w:rPr>
        <w:t>%。主要变动原因是</w:t>
      </w:r>
      <w:r>
        <w:rPr>
          <w:rFonts w:hint="eastAsia" w:ascii="Times New Roman" w:hAnsi="Times New Roman" w:eastAsia="仿宋_GB2312" w:cs="Times New Roman"/>
          <w:color w:val="auto"/>
          <w:kern w:val="2"/>
          <w:sz w:val="32"/>
          <w:szCs w:val="32"/>
          <w:highlight w:val="none"/>
          <w:lang w:val="en-US" w:eastAsia="zh-CN" w:bidi="ar-SA"/>
        </w:rPr>
        <w:t>2025年财政未安排此项预算支出。</w:t>
      </w:r>
    </w:p>
    <w:p w14:paraId="1562378A">
      <w:pPr>
        <w:pStyle w:val="4"/>
        <w:bidi w:val="0"/>
        <w:rPr>
          <w:rFonts w:hint="eastAsia" w:ascii="黑体" w:hAnsi="黑体" w:eastAsia="黑体" w:cs="黑体"/>
          <w:b w:val="0"/>
          <w:bCs w:val="0"/>
          <w:lang w:val="en-US" w:eastAsia="zh-CN"/>
        </w:rPr>
      </w:pPr>
    </w:p>
    <w:p w14:paraId="6522C458">
      <w:pPr>
        <w:pStyle w:val="4"/>
        <w:bidi w:val="0"/>
        <w:rPr>
          <w:rFonts w:hint="eastAsia" w:ascii="黑体" w:hAnsi="黑体" w:eastAsia="黑体" w:cs="黑体"/>
          <w:b w:val="0"/>
          <w:bCs w:val="0"/>
        </w:rPr>
      </w:pPr>
      <w:bookmarkStart w:id="75" w:name="_Toc11230"/>
      <w:bookmarkStart w:id="76" w:name="_Toc6392"/>
      <w:bookmarkStart w:id="77" w:name="_Toc15396611"/>
      <w:bookmarkStart w:id="78" w:name="_Toc15377219"/>
      <w:bookmarkStart w:id="79" w:name="_Toc1965"/>
      <w:r>
        <w:rPr>
          <w:rFonts w:hint="eastAsia" w:ascii="黑体" w:hAnsi="黑体" w:eastAsia="黑体" w:cs="黑体"/>
          <w:b w:val="0"/>
          <w:bCs w:val="0"/>
          <w:lang w:eastAsia="zh-CN"/>
        </w:rPr>
        <w:t>九、</w:t>
      </w:r>
      <w:r>
        <w:rPr>
          <w:rFonts w:hint="eastAsia" w:ascii="黑体" w:hAnsi="黑体" w:eastAsia="黑体" w:cs="黑体"/>
          <w:b w:val="0"/>
          <w:bCs w:val="0"/>
        </w:rPr>
        <w:t>国有资本经营预算支出决算情况说明</w:t>
      </w:r>
      <w:bookmarkEnd w:id="75"/>
      <w:bookmarkEnd w:id="76"/>
      <w:bookmarkEnd w:id="77"/>
      <w:bookmarkEnd w:id="78"/>
      <w:bookmarkEnd w:id="79"/>
    </w:p>
    <w:p w14:paraId="4B49D642">
      <w:pPr>
        <w:spacing w:line="600" w:lineRule="exact"/>
        <w:ind w:firstLine="640"/>
        <w:rPr>
          <w:rStyle w:val="17"/>
          <w:rFonts w:hint="default" w:ascii="Times New Roman" w:hAnsi="Times New Roman" w:eastAsia="仿宋" w:cs="Times New Roman"/>
          <w:b w:val="0"/>
          <w:bCs w:val="0"/>
          <w:sz w:val="32"/>
          <w:szCs w:val="32"/>
          <w:lang w:val="en-US" w:eastAsia="zh-CN"/>
        </w:rPr>
      </w:pPr>
      <w:r>
        <w:rPr>
          <w:rStyle w:val="17"/>
          <w:rFonts w:hint="default" w:ascii="Times New Roman" w:hAnsi="Times New Roman" w:eastAsia="仿宋" w:cs="Times New Roman"/>
          <w:b w:val="0"/>
          <w:bCs w:val="0"/>
          <w:sz w:val="32"/>
          <w:szCs w:val="32"/>
          <w:lang w:val="en-US" w:eastAsia="zh-CN"/>
        </w:rPr>
        <w:t>202</w:t>
      </w:r>
      <w:r>
        <w:rPr>
          <w:rStyle w:val="17"/>
          <w:rFonts w:hint="eastAsia" w:eastAsia="仿宋" w:cs="Times New Roman"/>
          <w:b w:val="0"/>
          <w:bCs w:val="0"/>
          <w:sz w:val="32"/>
          <w:szCs w:val="32"/>
          <w:lang w:val="en-US" w:eastAsia="zh-CN"/>
        </w:rPr>
        <w:t>5</w:t>
      </w:r>
      <w:r>
        <w:rPr>
          <w:rStyle w:val="17"/>
          <w:rFonts w:hint="default" w:ascii="Times New Roman" w:hAnsi="Times New Roman" w:eastAsia="仿宋" w:cs="Times New Roman"/>
          <w:b w:val="0"/>
          <w:bCs w:val="0"/>
          <w:sz w:val="32"/>
          <w:szCs w:val="32"/>
          <w:lang w:val="en-US" w:eastAsia="zh-CN"/>
        </w:rPr>
        <w:t>年度国有资本经营预算财政拨款支出0万元，占本年支出合计的0%，与202</w:t>
      </w:r>
      <w:r>
        <w:rPr>
          <w:rStyle w:val="17"/>
          <w:rFonts w:hint="eastAsia" w:eastAsia="仿宋" w:cs="Times New Roman"/>
          <w:b w:val="0"/>
          <w:bCs w:val="0"/>
          <w:sz w:val="32"/>
          <w:szCs w:val="32"/>
          <w:lang w:val="en-US" w:eastAsia="zh-CN"/>
        </w:rPr>
        <w:t>4</w:t>
      </w:r>
      <w:r>
        <w:rPr>
          <w:rStyle w:val="17"/>
          <w:rFonts w:hint="default" w:ascii="Times New Roman" w:hAnsi="Times New Roman" w:eastAsia="仿宋" w:cs="Times New Roman"/>
          <w:b w:val="0"/>
          <w:bCs w:val="0"/>
          <w:sz w:val="32"/>
          <w:szCs w:val="32"/>
          <w:lang w:val="en-US" w:eastAsia="zh-CN"/>
        </w:rPr>
        <w:t>年度持平。</w:t>
      </w:r>
    </w:p>
    <w:p w14:paraId="6F3A6A43">
      <w:pPr>
        <w:pStyle w:val="4"/>
        <w:bidi w:val="0"/>
        <w:rPr>
          <w:rFonts w:hint="eastAsia" w:ascii="黑体" w:hAnsi="黑体" w:eastAsia="黑体" w:cs="黑体"/>
          <w:b w:val="0"/>
          <w:bCs w:val="0"/>
          <w:lang w:val="en-US" w:eastAsia="zh-CN"/>
        </w:rPr>
      </w:pPr>
    </w:p>
    <w:p w14:paraId="6091DF21">
      <w:pPr>
        <w:pStyle w:val="4"/>
        <w:bidi w:val="0"/>
        <w:rPr>
          <w:rFonts w:hint="eastAsia" w:ascii="黑体" w:hAnsi="黑体" w:eastAsia="黑体" w:cs="黑体"/>
          <w:b w:val="0"/>
          <w:bCs w:val="0"/>
        </w:rPr>
      </w:pPr>
      <w:bookmarkStart w:id="80" w:name="_Toc15396612"/>
      <w:bookmarkStart w:id="81" w:name="_Toc10391"/>
      <w:bookmarkStart w:id="82" w:name="_Toc6789"/>
      <w:bookmarkStart w:id="83" w:name="_Toc6760"/>
      <w:bookmarkStart w:id="84" w:name="_Toc15377221"/>
      <w:r>
        <w:rPr>
          <w:rFonts w:hint="eastAsia" w:ascii="黑体" w:hAnsi="黑体" w:eastAsia="黑体" w:cs="黑体"/>
          <w:b w:val="0"/>
          <w:bCs w:val="0"/>
          <w:lang w:eastAsia="zh-CN"/>
        </w:rPr>
        <w:t>十、</w:t>
      </w:r>
      <w:r>
        <w:rPr>
          <w:rFonts w:hint="eastAsia" w:ascii="黑体" w:hAnsi="黑体" w:eastAsia="黑体" w:cs="黑体"/>
          <w:b w:val="0"/>
          <w:bCs w:val="0"/>
        </w:rPr>
        <w:t>其他重要事项的情况说明</w:t>
      </w:r>
      <w:bookmarkEnd w:id="80"/>
      <w:bookmarkEnd w:id="81"/>
      <w:bookmarkEnd w:id="82"/>
      <w:bookmarkEnd w:id="83"/>
      <w:bookmarkEnd w:id="84"/>
    </w:p>
    <w:p w14:paraId="60ED0D7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5" w:name="_Toc15377222"/>
      <w:r>
        <w:rPr>
          <w:rFonts w:hint="eastAsia" w:ascii="Times New Roman" w:hAnsi="Times New Roman" w:eastAsia="楷体_GB2312" w:cs="楷体_GB2312"/>
          <w:b/>
          <w:color w:val="auto"/>
          <w:sz w:val="32"/>
          <w:szCs w:val="32"/>
          <w:highlight w:val="none"/>
        </w:rPr>
        <w:t>（一）机关运行经费支出情况</w:t>
      </w:r>
      <w:bookmarkEnd w:id="85"/>
    </w:p>
    <w:p w14:paraId="40A84E12">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Times New Roman"/>
          <w:sz w:val="32"/>
          <w:szCs w:val="32"/>
          <w:lang w:val="en-US" w:eastAsia="zh-CN"/>
        </w:rPr>
        <w:t>攀枝花</w:t>
      </w:r>
      <w:r>
        <w:rPr>
          <w:rFonts w:hint="default" w:ascii="Times New Roman" w:hAnsi="Times New Roman" w:eastAsia="仿宋_GB2312" w:cs="Times New Roman"/>
          <w:sz w:val="32"/>
          <w:szCs w:val="32"/>
        </w:rPr>
        <w:t>市健康促进和卫生大数据中心为事业单位，按规定未使用机关运行的相关科目。</w:t>
      </w:r>
    </w:p>
    <w:p w14:paraId="2C38105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6" w:name="_Toc15377223"/>
      <w:r>
        <w:rPr>
          <w:rFonts w:hint="eastAsia" w:ascii="Times New Roman" w:hAnsi="Times New Roman" w:eastAsia="楷体_GB2312" w:cs="楷体_GB2312"/>
          <w:b/>
          <w:color w:val="auto"/>
          <w:sz w:val="32"/>
          <w:szCs w:val="32"/>
          <w:highlight w:val="none"/>
        </w:rPr>
        <w:t>（二）政府采购支出情况</w:t>
      </w:r>
      <w:bookmarkEnd w:id="86"/>
    </w:p>
    <w:p w14:paraId="3D1A63C4">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sz w:val="32"/>
          <w:szCs w:val="32"/>
        </w:rPr>
        <w:t>攀枝花市健康促进和卫生大数据中心</w:t>
      </w:r>
      <w:r>
        <w:rPr>
          <w:rFonts w:hint="default" w:ascii="Times New Roman" w:hAnsi="Times New Roman" w:eastAsia="仿宋_GB2312" w:cs="Times New Roman"/>
          <w:color w:val="auto"/>
          <w:kern w:val="2"/>
          <w:sz w:val="32"/>
          <w:szCs w:val="32"/>
          <w:highlight w:val="none"/>
          <w:lang w:val="en-US" w:eastAsia="zh-CN" w:bidi="ar-SA"/>
        </w:rPr>
        <w:t>政府采购支出总额</w:t>
      </w:r>
      <w:r>
        <w:rPr>
          <w:rFonts w:hint="default" w:ascii="Times New Roman" w:hAnsi="Times New Roman" w:eastAsia="仿宋_GB2312" w:cs="Times New Roman"/>
          <w:sz w:val="32"/>
          <w:szCs w:val="32"/>
        </w:rPr>
        <w:t>1</w:t>
      </w:r>
      <w:r>
        <w:rPr>
          <w:rFonts w:hint="default" w:ascii="Times New Roman" w:hAnsi="Times New Roman" w:eastAsia="仿宋_GB2312" w:cs="Times New Roman"/>
          <w:color w:val="auto"/>
          <w:kern w:val="2"/>
          <w:sz w:val="32"/>
          <w:szCs w:val="32"/>
          <w:highlight w:val="none"/>
          <w:lang w:val="en-US" w:eastAsia="zh-CN" w:bidi="ar-SA"/>
        </w:rPr>
        <w:t>万元，其中：政府采购货物支出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万元、政府采购工程支出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万元、政府采购服务支出</w:t>
      </w:r>
      <w:r>
        <w:rPr>
          <w:rFonts w:hint="default" w:ascii="Times New Roman" w:hAnsi="Times New Roman" w:eastAsia="仿宋_GB2312" w:cs="Times New Roman"/>
          <w:sz w:val="32"/>
          <w:szCs w:val="32"/>
        </w:rPr>
        <w:t>1</w:t>
      </w:r>
      <w:r>
        <w:rPr>
          <w:rFonts w:hint="default" w:ascii="Times New Roman" w:hAnsi="Times New Roman" w:eastAsia="仿宋_GB2312" w:cs="Times New Roman"/>
          <w:color w:val="auto"/>
          <w:kern w:val="2"/>
          <w:sz w:val="32"/>
          <w:szCs w:val="32"/>
          <w:highlight w:val="none"/>
          <w:lang w:val="en-US" w:eastAsia="zh-CN" w:bidi="ar-SA"/>
        </w:rPr>
        <w:t>万元。主要用于采购公务用车燃油添加服务、维修维护服务、车辆财产保险服务。授予中小企业合同金额</w:t>
      </w:r>
      <w:r>
        <w:rPr>
          <w:rFonts w:hint="default" w:ascii="Times New Roman" w:hAnsi="Times New Roman" w:eastAsia="仿宋_GB2312" w:cs="Times New Roman"/>
          <w:sz w:val="32"/>
          <w:szCs w:val="32"/>
        </w:rPr>
        <w:t>1</w:t>
      </w:r>
      <w:r>
        <w:rPr>
          <w:rFonts w:hint="default" w:ascii="Times New Roman" w:hAnsi="Times New Roman" w:eastAsia="仿宋_GB2312" w:cs="Times New Roman"/>
          <w:color w:val="auto"/>
          <w:kern w:val="2"/>
          <w:sz w:val="32"/>
          <w:szCs w:val="32"/>
          <w:highlight w:val="none"/>
          <w:lang w:val="en-US" w:eastAsia="zh-CN" w:bidi="ar-SA"/>
        </w:rPr>
        <w:t>万元，占政府采购支出总额的</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kern w:val="2"/>
          <w:sz w:val="32"/>
          <w:szCs w:val="32"/>
          <w:highlight w:val="none"/>
          <w:lang w:val="en-US" w:eastAsia="zh-CN" w:bidi="ar-SA"/>
        </w:rPr>
        <w:t>%，其中：授予小微企业合同金额</w:t>
      </w:r>
      <w:r>
        <w:rPr>
          <w:rFonts w:hint="default" w:ascii="Times New Roman" w:hAnsi="Times New Roman" w:eastAsia="仿宋_GB2312" w:cs="Times New Roman"/>
          <w:sz w:val="32"/>
          <w:szCs w:val="32"/>
        </w:rPr>
        <w:t>1</w:t>
      </w:r>
      <w:r>
        <w:rPr>
          <w:rFonts w:hint="default" w:ascii="Times New Roman" w:hAnsi="Times New Roman" w:eastAsia="仿宋_GB2312" w:cs="Times New Roman"/>
          <w:color w:val="auto"/>
          <w:kern w:val="2"/>
          <w:sz w:val="32"/>
          <w:szCs w:val="32"/>
          <w:highlight w:val="none"/>
          <w:lang w:val="en-US" w:eastAsia="zh-CN" w:bidi="ar-SA"/>
        </w:rPr>
        <w:t>万元，占政府采购支出总额的</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kern w:val="2"/>
          <w:sz w:val="32"/>
          <w:szCs w:val="32"/>
          <w:highlight w:val="none"/>
          <w:lang w:val="en-US" w:eastAsia="zh-CN" w:bidi="ar-SA"/>
        </w:rPr>
        <w:t>%。</w:t>
      </w:r>
    </w:p>
    <w:p w14:paraId="7BF6EF6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7" w:name="_Toc15377224"/>
      <w:r>
        <w:rPr>
          <w:rFonts w:hint="eastAsia" w:ascii="Times New Roman" w:hAnsi="Times New Roman" w:eastAsia="楷体_GB2312" w:cs="楷体_GB2312"/>
          <w:b/>
          <w:color w:val="auto"/>
          <w:sz w:val="32"/>
          <w:szCs w:val="32"/>
          <w:highlight w:val="none"/>
        </w:rPr>
        <w:t>（三）国有资产占有使用情况</w:t>
      </w:r>
      <w:bookmarkEnd w:id="87"/>
    </w:p>
    <w:p w14:paraId="60264892">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截至2025年12月31日，</w:t>
      </w:r>
      <w:r>
        <w:rPr>
          <w:rFonts w:hint="default" w:ascii="Times New Roman" w:hAnsi="Times New Roman" w:eastAsia="仿宋_GB2312" w:cs="Times New Roman"/>
          <w:sz w:val="32"/>
          <w:szCs w:val="32"/>
        </w:rPr>
        <w:t>攀枝花市健康促进和卫生大数据中心</w:t>
      </w:r>
      <w:r>
        <w:rPr>
          <w:rFonts w:hint="default" w:ascii="Times New Roman" w:hAnsi="Times New Roman" w:eastAsia="仿宋_GB2312" w:cs="Times New Roman"/>
          <w:color w:val="auto"/>
          <w:kern w:val="2"/>
          <w:sz w:val="32"/>
          <w:szCs w:val="32"/>
          <w:highlight w:val="none"/>
          <w:lang w:val="en-US" w:eastAsia="zh-CN" w:bidi="ar-SA"/>
        </w:rPr>
        <w:t>共有车辆</w:t>
      </w:r>
      <w:r>
        <w:rPr>
          <w:rFonts w:hint="default" w:ascii="Times New Roman" w:hAnsi="Times New Roman" w:eastAsia="仿宋_GB2312" w:cs="Times New Roman"/>
          <w:sz w:val="32"/>
          <w:szCs w:val="32"/>
        </w:rPr>
        <w:t>2</w:t>
      </w:r>
      <w:r>
        <w:rPr>
          <w:rFonts w:hint="default" w:ascii="Times New Roman" w:hAnsi="Times New Roman" w:eastAsia="仿宋_GB2312" w:cs="Times New Roman"/>
          <w:color w:val="auto"/>
          <w:kern w:val="2"/>
          <w:sz w:val="32"/>
          <w:szCs w:val="32"/>
          <w:highlight w:val="none"/>
          <w:lang w:val="en-US" w:eastAsia="zh-CN" w:bidi="ar-SA"/>
        </w:rPr>
        <w:t>辆，其中：</w:t>
      </w:r>
      <w:r>
        <w:rPr>
          <w:rFonts w:hint="eastAsia" w:eastAsia="仿宋_GB2312" w:cs="仿宋_GB2312"/>
          <w:sz w:val="32"/>
          <w:szCs w:val="32"/>
        </w:rPr>
        <w:t>副部（省）级及以上领导用车</w:t>
      </w:r>
      <w:r>
        <w:rPr>
          <w:rFonts w:hint="eastAsia" w:eastAsia="仿宋_GB2312" w:cs="仿宋_GB2312"/>
          <w:sz w:val="32"/>
          <w:szCs w:val="32"/>
          <w:lang w:val="en-US" w:eastAsia="zh-CN"/>
        </w:rPr>
        <w:t>0</w:t>
      </w:r>
      <w:r>
        <w:rPr>
          <w:rFonts w:hint="eastAsia" w:eastAsia="仿宋_GB2312" w:cs="仿宋_GB2312"/>
          <w:sz w:val="32"/>
          <w:szCs w:val="32"/>
        </w:rPr>
        <w:t>辆</w:t>
      </w:r>
      <w:r>
        <w:rPr>
          <w:rFonts w:hint="eastAsia" w:eastAsia="仿宋_GB2312" w:cs="仿宋_GB2312"/>
          <w:sz w:val="32"/>
          <w:szCs w:val="32"/>
          <w:lang w:eastAsia="zh-CN"/>
        </w:rPr>
        <w:t>、</w:t>
      </w:r>
      <w:r>
        <w:rPr>
          <w:rFonts w:hint="default" w:ascii="Times New Roman" w:hAnsi="Times New Roman" w:eastAsia="仿宋_GB2312" w:cs="Times New Roman"/>
          <w:color w:val="auto"/>
          <w:kern w:val="2"/>
          <w:sz w:val="32"/>
          <w:szCs w:val="32"/>
          <w:highlight w:val="none"/>
          <w:lang w:val="en-US" w:eastAsia="zh-CN" w:bidi="ar-SA"/>
        </w:rPr>
        <w:t>主要负责人用车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辆、机要通信用车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辆、应急保障用车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辆、执法执勤用车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辆、特种专业技术用车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辆、离退休干部服务用车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辆、其他用车</w:t>
      </w:r>
      <w:r>
        <w:rPr>
          <w:rFonts w:hint="default" w:ascii="Times New Roman" w:hAnsi="Times New Roman" w:eastAsia="仿宋_GB2312" w:cs="Times New Roman"/>
          <w:sz w:val="32"/>
          <w:szCs w:val="32"/>
        </w:rPr>
        <w:t>2</w:t>
      </w:r>
      <w:r>
        <w:rPr>
          <w:rFonts w:hint="default" w:ascii="Times New Roman" w:hAnsi="Times New Roman" w:eastAsia="仿宋_GB2312" w:cs="Times New Roman"/>
          <w:color w:val="auto"/>
          <w:kern w:val="2"/>
          <w:sz w:val="32"/>
          <w:szCs w:val="32"/>
          <w:highlight w:val="none"/>
          <w:lang w:val="en-US" w:eastAsia="zh-CN" w:bidi="ar-SA"/>
        </w:rPr>
        <w:t>辆，其他用车主要是用于</w:t>
      </w:r>
      <w:r>
        <w:rPr>
          <w:rFonts w:hint="default" w:ascii="Times New Roman" w:hAnsi="Times New Roman" w:eastAsia="仿宋_GB2312" w:cs="Times New Roman"/>
          <w:sz w:val="32"/>
          <w:szCs w:val="32"/>
        </w:rPr>
        <w:t>单位开展日常工作使用</w:t>
      </w:r>
      <w:r>
        <w:rPr>
          <w:rFonts w:hint="default" w:ascii="Times New Roman" w:hAnsi="Times New Roman" w:eastAsia="仿宋_GB2312" w:cs="Times New Roman"/>
          <w:color w:val="auto"/>
          <w:kern w:val="2"/>
          <w:sz w:val="32"/>
          <w:szCs w:val="32"/>
          <w:highlight w:val="none"/>
          <w:lang w:val="en-US" w:eastAsia="zh-CN" w:bidi="ar-SA"/>
        </w:rPr>
        <w:t>。单价100万元（含）以上设备（不含车辆）</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台（套）。</w:t>
      </w:r>
    </w:p>
    <w:p w14:paraId="5071867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19C689B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default" w:ascii="Times New Roman" w:hAnsi="Times New Roman" w:eastAsia="仿宋_GB2312" w:cs="Times New Roman"/>
          <w:color w:val="auto"/>
          <w:kern w:val="2"/>
          <w:sz w:val="32"/>
          <w:szCs w:val="32"/>
          <w:highlight w:val="none"/>
          <w:lang w:val="en-US" w:eastAsia="zh-CN" w:bidi="ar-SA"/>
        </w:rPr>
        <w:t>攀枝花市人口健康信息平台（一期）建设及运行配套项目</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222.7</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个项目编制了绩效目</w:t>
      </w:r>
      <w:r>
        <w:rPr>
          <w:rFonts w:hint="eastAsia" w:eastAsia="仿宋_GB2312" w:cs="仿宋_GB2312"/>
          <w:color w:val="auto"/>
          <w:kern w:val="2"/>
          <w:sz w:val="32"/>
          <w:szCs w:val="32"/>
          <w:highlight w:val="none"/>
          <w:lang w:val="en-US" w:eastAsia="zh-CN" w:bidi="ar-SA"/>
        </w:rPr>
        <w:t>标。在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了4</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268CB8F3">
      <w:pPr>
        <w:spacing w:line="600" w:lineRule="exact"/>
        <w:ind w:firstLine="640"/>
        <w:rPr>
          <w:rFonts w:hint="default"/>
          <w:lang w:val="en-US" w:eastAsia="zh-CN"/>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组织对2025年度一般公共预算全面开展绩效自评，</w:t>
      </w:r>
      <w:r>
        <w:rPr>
          <w:rFonts w:hint="default" w:ascii="Times New Roman" w:hAnsi="Times New Roman" w:eastAsia="仿宋_GB2312" w:cs="Times New Roman"/>
          <w:color w:val="auto"/>
          <w:kern w:val="2"/>
          <w:sz w:val="32"/>
          <w:szCs w:val="32"/>
          <w:highlight w:val="none"/>
          <w:lang w:val="en-US" w:eastAsia="zh-CN" w:bidi="ar-SA"/>
        </w:rPr>
        <w:t>形成</w:t>
      </w:r>
      <w:r>
        <w:rPr>
          <w:rFonts w:hint="eastAsia" w:eastAsia="仿宋_GB2312" w:cs="Times New Roman"/>
          <w:color w:val="auto"/>
          <w:kern w:val="2"/>
          <w:sz w:val="32"/>
          <w:szCs w:val="32"/>
          <w:highlight w:val="none"/>
          <w:lang w:val="en-US" w:eastAsia="zh-CN" w:bidi="ar-SA"/>
        </w:rPr>
        <w:t>攀枝花市健康促进和卫生大数据中心单位</w:t>
      </w:r>
      <w:r>
        <w:rPr>
          <w:rFonts w:hint="default" w:ascii="Times New Roman" w:hAnsi="Times New Roman" w:eastAsia="仿宋_GB2312" w:cs="Times New Roman"/>
          <w:color w:val="auto"/>
          <w:kern w:val="2"/>
          <w:sz w:val="32"/>
          <w:szCs w:val="32"/>
          <w:highlight w:val="none"/>
          <w:lang w:val="en-US" w:eastAsia="zh-CN" w:bidi="ar-SA"/>
        </w:rPr>
        <w:t>整体（含</w:t>
      </w:r>
      <w:r>
        <w:rPr>
          <w:rFonts w:hint="eastAsia" w:eastAsia="仿宋_GB2312" w:cs="Times New Roman"/>
          <w:color w:val="auto"/>
          <w:kern w:val="2"/>
          <w:sz w:val="32"/>
          <w:szCs w:val="32"/>
          <w:highlight w:val="none"/>
          <w:lang w:val="en-US" w:eastAsia="zh-CN" w:bidi="ar-SA"/>
        </w:rPr>
        <w:t>单位</w:t>
      </w:r>
      <w:r>
        <w:rPr>
          <w:rFonts w:hint="default" w:ascii="Times New Roman" w:hAnsi="Times New Roman" w:eastAsia="仿宋_GB2312" w:cs="Times New Roman"/>
          <w:color w:val="auto"/>
          <w:kern w:val="2"/>
          <w:sz w:val="32"/>
          <w:szCs w:val="32"/>
          <w:highlight w:val="none"/>
          <w:lang w:val="en-US" w:eastAsia="zh-CN" w:bidi="ar-SA"/>
        </w:rPr>
        <w:t>预算项目）绩效自评报告、医疗服务与保障能力提升等专项预算项目绩效自评报告，其中，</w:t>
      </w:r>
      <w:r>
        <w:rPr>
          <w:rFonts w:hint="eastAsia" w:eastAsia="仿宋_GB2312" w:cs="Times New Roman"/>
          <w:color w:val="auto"/>
          <w:kern w:val="2"/>
          <w:sz w:val="32"/>
          <w:szCs w:val="32"/>
          <w:highlight w:val="none"/>
          <w:lang w:val="en-US" w:eastAsia="zh-CN" w:bidi="ar-SA"/>
        </w:rPr>
        <w:t>单位</w:t>
      </w:r>
      <w:r>
        <w:rPr>
          <w:rFonts w:hint="default" w:ascii="Times New Roman" w:hAnsi="Times New Roman" w:eastAsia="仿宋_GB2312" w:cs="Times New Roman"/>
          <w:color w:val="auto"/>
          <w:kern w:val="2"/>
          <w:sz w:val="32"/>
          <w:szCs w:val="32"/>
          <w:highlight w:val="none"/>
          <w:lang w:val="en-US" w:eastAsia="zh-CN" w:bidi="ar-SA"/>
        </w:rPr>
        <w:t>整体（含</w:t>
      </w:r>
      <w:r>
        <w:rPr>
          <w:rFonts w:hint="eastAsia" w:eastAsia="仿宋_GB2312" w:cs="Times New Roman"/>
          <w:color w:val="auto"/>
          <w:kern w:val="2"/>
          <w:sz w:val="32"/>
          <w:szCs w:val="32"/>
          <w:highlight w:val="none"/>
          <w:lang w:val="en-US" w:eastAsia="zh-CN" w:bidi="ar-SA"/>
        </w:rPr>
        <w:t>单位</w:t>
      </w:r>
      <w:r>
        <w:rPr>
          <w:rFonts w:hint="default" w:ascii="Times New Roman" w:hAnsi="Times New Roman" w:eastAsia="仿宋_GB2312" w:cs="Times New Roman"/>
          <w:color w:val="auto"/>
          <w:kern w:val="2"/>
          <w:sz w:val="32"/>
          <w:szCs w:val="32"/>
          <w:highlight w:val="none"/>
          <w:lang w:val="en-US" w:eastAsia="zh-CN" w:bidi="ar-SA"/>
        </w:rPr>
        <w:t>预算项目）绩效自评得分为</w:t>
      </w:r>
      <w:r>
        <w:rPr>
          <w:rFonts w:hint="eastAsia" w:eastAsia="仿宋_GB2312" w:cs="Times New Roman"/>
          <w:color w:val="auto"/>
          <w:kern w:val="2"/>
          <w:sz w:val="32"/>
          <w:szCs w:val="32"/>
          <w:highlight w:val="none"/>
          <w:lang w:val="en-US" w:eastAsia="zh-CN" w:bidi="ar-SA"/>
        </w:rPr>
        <w:t>93</w:t>
      </w:r>
      <w:r>
        <w:rPr>
          <w:rFonts w:hint="default" w:ascii="Times New Roman" w:hAnsi="Times New Roman" w:eastAsia="仿宋_GB2312" w:cs="Times New Roman"/>
          <w:color w:val="auto"/>
          <w:kern w:val="2"/>
          <w:sz w:val="32"/>
          <w:szCs w:val="32"/>
          <w:highlight w:val="none"/>
          <w:lang w:val="en-US" w:eastAsia="zh-CN" w:bidi="ar-SA"/>
        </w:rPr>
        <w:t>分，医疗服务与保障能力提升</w:t>
      </w:r>
      <w:r>
        <w:rPr>
          <w:rFonts w:hint="eastAsia" w:eastAsia="仿宋_GB2312" w:cs="Times New Roman"/>
          <w:color w:val="auto"/>
          <w:kern w:val="2"/>
          <w:sz w:val="32"/>
          <w:szCs w:val="32"/>
          <w:highlight w:val="none"/>
          <w:lang w:val="en-US" w:eastAsia="zh-CN" w:bidi="ar-SA"/>
        </w:rPr>
        <w:t>等</w:t>
      </w:r>
      <w:r>
        <w:rPr>
          <w:rFonts w:hint="default" w:ascii="Times New Roman" w:hAnsi="Times New Roman" w:eastAsia="仿宋_GB2312" w:cs="Times New Roman"/>
          <w:color w:val="auto"/>
          <w:kern w:val="2"/>
          <w:sz w:val="32"/>
          <w:szCs w:val="32"/>
          <w:highlight w:val="none"/>
          <w:lang w:val="en-US" w:eastAsia="zh-CN" w:bidi="ar-SA"/>
        </w:rPr>
        <w:t>专项预算项目绩效自评得分为</w:t>
      </w:r>
      <w:r>
        <w:rPr>
          <w:rFonts w:hint="eastAsia" w:eastAsia="仿宋_GB2312" w:cs="Times New Roman"/>
          <w:color w:val="auto"/>
          <w:kern w:val="2"/>
          <w:sz w:val="32"/>
          <w:szCs w:val="32"/>
          <w:highlight w:val="none"/>
          <w:lang w:val="en-US" w:eastAsia="zh-CN" w:bidi="ar-SA"/>
        </w:rPr>
        <w:t>98</w:t>
      </w:r>
      <w:r>
        <w:rPr>
          <w:rFonts w:hint="default" w:ascii="Times New Roman" w:hAnsi="Times New Roman" w:eastAsia="仿宋_GB2312" w:cs="Times New Roman"/>
          <w:color w:val="auto"/>
          <w:kern w:val="2"/>
          <w:sz w:val="32"/>
          <w:szCs w:val="32"/>
          <w:highlight w:val="none"/>
          <w:lang w:val="en-US" w:eastAsia="zh-CN" w:bidi="ar-SA"/>
        </w:rPr>
        <w:t>分。</w:t>
      </w:r>
    </w:p>
    <w:p w14:paraId="3A7D96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6E900E0">
      <w:pPr>
        <w:pStyle w:val="2"/>
        <w:rPr>
          <w:rFonts w:hint="eastAsia" w:ascii="Times New Roman" w:hAnsi="Times New Roman" w:eastAsia="仿宋_GB2312" w:cs="仿宋_GB2312"/>
          <w:color w:val="auto"/>
          <w:kern w:val="2"/>
          <w:sz w:val="32"/>
          <w:szCs w:val="32"/>
          <w:highlight w:val="none"/>
          <w:lang w:val="en-US" w:eastAsia="zh-CN" w:bidi="ar-SA"/>
        </w:rPr>
      </w:pPr>
    </w:p>
    <w:p w14:paraId="2AAB0557">
      <w:pPr>
        <w:pStyle w:val="2"/>
        <w:rPr>
          <w:rFonts w:hint="eastAsia" w:ascii="Times New Roman" w:hAnsi="Times New Roman" w:eastAsia="仿宋_GB2312" w:cs="仿宋_GB2312"/>
          <w:color w:val="auto"/>
          <w:kern w:val="2"/>
          <w:sz w:val="32"/>
          <w:szCs w:val="32"/>
          <w:highlight w:val="none"/>
          <w:lang w:val="en-US" w:eastAsia="zh-CN" w:bidi="ar-SA"/>
        </w:rPr>
      </w:pPr>
    </w:p>
    <w:p w14:paraId="59B44577">
      <w:pPr>
        <w:pStyle w:val="2"/>
        <w:rPr>
          <w:rFonts w:hint="eastAsia" w:ascii="Times New Roman" w:hAnsi="Times New Roman" w:eastAsia="仿宋_GB2312" w:cs="仿宋_GB2312"/>
          <w:color w:val="auto"/>
          <w:kern w:val="2"/>
          <w:sz w:val="32"/>
          <w:szCs w:val="32"/>
          <w:highlight w:val="none"/>
          <w:lang w:val="en-US" w:eastAsia="zh-CN" w:bidi="ar-SA"/>
        </w:rPr>
      </w:pPr>
    </w:p>
    <w:p w14:paraId="7F551649">
      <w:pPr>
        <w:pStyle w:val="2"/>
        <w:rPr>
          <w:rFonts w:hint="eastAsia" w:ascii="Times New Roman" w:hAnsi="Times New Roman" w:eastAsia="仿宋_GB2312" w:cs="仿宋_GB2312"/>
          <w:color w:val="auto"/>
          <w:kern w:val="2"/>
          <w:sz w:val="32"/>
          <w:szCs w:val="32"/>
          <w:highlight w:val="none"/>
          <w:lang w:val="en-US" w:eastAsia="zh-CN" w:bidi="ar-SA"/>
        </w:rPr>
      </w:pPr>
    </w:p>
    <w:p w14:paraId="5F672136">
      <w:pPr>
        <w:pStyle w:val="2"/>
        <w:rPr>
          <w:rFonts w:hint="eastAsia" w:ascii="Times New Roman" w:hAnsi="Times New Roman" w:eastAsia="仿宋_GB2312" w:cs="仿宋_GB2312"/>
          <w:color w:val="auto"/>
          <w:kern w:val="2"/>
          <w:sz w:val="32"/>
          <w:szCs w:val="32"/>
          <w:highlight w:val="none"/>
          <w:lang w:val="en-US" w:eastAsia="zh-CN" w:bidi="ar-SA"/>
        </w:rPr>
      </w:pPr>
    </w:p>
    <w:p w14:paraId="6EA7D981">
      <w:pPr>
        <w:pStyle w:val="2"/>
        <w:rPr>
          <w:rFonts w:hint="eastAsia" w:ascii="Times New Roman" w:hAnsi="Times New Roman" w:eastAsia="仿宋_GB2312" w:cs="仿宋_GB2312"/>
          <w:color w:val="auto"/>
          <w:kern w:val="2"/>
          <w:sz w:val="32"/>
          <w:szCs w:val="32"/>
          <w:highlight w:val="none"/>
          <w:lang w:val="en-US" w:eastAsia="zh-CN" w:bidi="ar-SA"/>
        </w:rPr>
      </w:pPr>
    </w:p>
    <w:p w14:paraId="3D5FF8E1">
      <w:pPr>
        <w:pStyle w:val="2"/>
        <w:rPr>
          <w:rFonts w:hint="eastAsia" w:ascii="Times New Roman" w:hAnsi="Times New Roman" w:eastAsia="仿宋_GB2312" w:cs="仿宋_GB2312"/>
          <w:color w:val="auto"/>
          <w:kern w:val="2"/>
          <w:sz w:val="32"/>
          <w:szCs w:val="32"/>
          <w:highlight w:val="none"/>
          <w:lang w:val="en-US" w:eastAsia="zh-CN" w:bidi="ar-SA"/>
        </w:rPr>
      </w:pPr>
    </w:p>
    <w:p w14:paraId="7C3AC918">
      <w:pPr>
        <w:pStyle w:val="2"/>
        <w:rPr>
          <w:rFonts w:hint="eastAsia" w:ascii="Times New Roman" w:hAnsi="Times New Roman" w:eastAsia="仿宋_GB2312" w:cs="仿宋_GB2312"/>
          <w:color w:val="auto"/>
          <w:kern w:val="2"/>
          <w:sz w:val="32"/>
          <w:szCs w:val="32"/>
          <w:highlight w:val="none"/>
          <w:lang w:val="en-US" w:eastAsia="zh-CN" w:bidi="ar-SA"/>
        </w:rPr>
      </w:pPr>
    </w:p>
    <w:p w14:paraId="0B0858DD">
      <w:pPr>
        <w:pStyle w:val="2"/>
        <w:rPr>
          <w:rFonts w:hint="eastAsia" w:ascii="Times New Roman" w:hAnsi="Times New Roman" w:eastAsia="仿宋_GB2312" w:cs="仿宋_GB2312"/>
          <w:color w:val="auto"/>
          <w:kern w:val="2"/>
          <w:sz w:val="32"/>
          <w:szCs w:val="32"/>
          <w:highlight w:val="none"/>
          <w:lang w:val="en-US" w:eastAsia="zh-CN" w:bidi="ar-SA"/>
        </w:rPr>
      </w:pPr>
    </w:p>
    <w:p w14:paraId="248737AC">
      <w:pPr>
        <w:pStyle w:val="2"/>
        <w:rPr>
          <w:rFonts w:hint="eastAsia" w:ascii="Times New Roman" w:hAnsi="Times New Roman" w:eastAsia="仿宋_GB2312" w:cs="仿宋_GB2312"/>
          <w:color w:val="auto"/>
          <w:kern w:val="2"/>
          <w:sz w:val="32"/>
          <w:szCs w:val="32"/>
          <w:highlight w:val="none"/>
          <w:lang w:val="en-US" w:eastAsia="zh-CN" w:bidi="ar-SA"/>
        </w:rPr>
      </w:pPr>
    </w:p>
    <w:p w14:paraId="143DC205">
      <w:pPr>
        <w:pStyle w:val="2"/>
        <w:rPr>
          <w:rFonts w:hint="eastAsia" w:ascii="Times New Roman" w:hAnsi="Times New Roman" w:eastAsia="仿宋_GB2312" w:cs="仿宋_GB2312"/>
          <w:color w:val="auto"/>
          <w:kern w:val="2"/>
          <w:sz w:val="32"/>
          <w:szCs w:val="32"/>
          <w:highlight w:val="none"/>
          <w:lang w:val="en-US" w:eastAsia="zh-CN" w:bidi="ar-SA"/>
        </w:rPr>
      </w:pPr>
    </w:p>
    <w:p w14:paraId="07171D13">
      <w:pPr>
        <w:pStyle w:val="2"/>
        <w:rPr>
          <w:rFonts w:hint="eastAsia" w:ascii="Times New Roman" w:hAnsi="Times New Roman" w:eastAsia="仿宋_GB2312" w:cs="仿宋_GB2312"/>
          <w:color w:val="auto"/>
          <w:kern w:val="2"/>
          <w:sz w:val="32"/>
          <w:szCs w:val="32"/>
          <w:highlight w:val="none"/>
          <w:lang w:val="en-US" w:eastAsia="zh-CN" w:bidi="ar-SA"/>
        </w:rPr>
      </w:pPr>
    </w:p>
    <w:p w14:paraId="4EFCE7AB">
      <w:pPr>
        <w:pStyle w:val="2"/>
        <w:rPr>
          <w:rFonts w:hint="eastAsia" w:ascii="Times New Roman" w:hAnsi="Times New Roman" w:eastAsia="仿宋_GB2312" w:cs="仿宋_GB2312"/>
          <w:color w:val="auto"/>
          <w:kern w:val="2"/>
          <w:sz w:val="32"/>
          <w:szCs w:val="32"/>
          <w:highlight w:val="none"/>
          <w:lang w:val="en-US" w:eastAsia="zh-CN" w:bidi="ar-SA"/>
        </w:rPr>
      </w:pPr>
    </w:p>
    <w:p w14:paraId="7E5E442F">
      <w:pPr>
        <w:pStyle w:val="2"/>
        <w:rPr>
          <w:rFonts w:hint="eastAsia" w:ascii="Times New Roman" w:hAnsi="Times New Roman" w:eastAsia="仿宋_GB2312" w:cs="仿宋_GB2312"/>
          <w:color w:val="auto"/>
          <w:kern w:val="2"/>
          <w:sz w:val="32"/>
          <w:szCs w:val="32"/>
          <w:highlight w:val="none"/>
          <w:lang w:val="en-US" w:eastAsia="zh-CN" w:bidi="ar-SA"/>
        </w:rPr>
      </w:pPr>
    </w:p>
    <w:p w14:paraId="4EC3ECC0">
      <w:pPr>
        <w:pStyle w:val="3"/>
        <w:bidi w:val="0"/>
        <w:jc w:val="center"/>
        <w:rPr>
          <w:rFonts w:hint="eastAsia"/>
        </w:rPr>
      </w:pPr>
      <w:bookmarkStart w:id="88" w:name="_Toc15396613"/>
      <w:bookmarkStart w:id="89" w:name="_Toc2022"/>
      <w:bookmarkStart w:id="90" w:name="_Toc19509"/>
      <w:bookmarkStart w:id="91" w:name="_Toc15377225"/>
      <w:bookmarkStart w:id="92" w:name="_Toc24102"/>
      <w:r>
        <w:rPr>
          <w:rFonts w:hint="eastAsia"/>
        </w:rPr>
        <w:t>第</w:t>
      </w:r>
      <w:r>
        <w:rPr>
          <w:rFonts w:hint="eastAsia"/>
          <w:lang w:eastAsia="zh-CN"/>
        </w:rPr>
        <w:t>三</w:t>
      </w:r>
      <w:r>
        <w:rPr>
          <w:rFonts w:hint="eastAsia"/>
        </w:rPr>
        <w:t>部分</w:t>
      </w:r>
      <w:r>
        <w:rPr>
          <w:rFonts w:hint="eastAsia"/>
          <w:lang w:val="en-US" w:eastAsia="zh-CN"/>
        </w:rPr>
        <w:t xml:space="preserve">  </w:t>
      </w:r>
      <w:r>
        <w:rPr>
          <w:rFonts w:hint="eastAsia"/>
        </w:rPr>
        <w:t>名词解释</w:t>
      </w:r>
      <w:bookmarkEnd w:id="88"/>
      <w:bookmarkEnd w:id="89"/>
      <w:bookmarkEnd w:id="90"/>
      <w:bookmarkEnd w:id="91"/>
      <w:bookmarkEnd w:id="92"/>
    </w:p>
    <w:p w14:paraId="2348F492">
      <w:pPr>
        <w:spacing w:line="600" w:lineRule="exact"/>
        <w:jc w:val="left"/>
        <w:rPr>
          <w:rFonts w:ascii="Times New Roman" w:hAnsi="Times New Roman"/>
          <w:b/>
          <w:color w:val="auto"/>
          <w:sz w:val="44"/>
          <w:szCs w:val="44"/>
          <w:highlight w:val="none"/>
        </w:rPr>
      </w:pPr>
    </w:p>
    <w:p w14:paraId="740C7B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1584C82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2CF233A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1990E6B3">
      <w:pPr>
        <w:keepNext w:val="0"/>
        <w:keepLines w:val="0"/>
        <w:pageBreakBefore w:val="0"/>
        <w:widowControl w:val="0"/>
        <w:kinsoku/>
        <w:wordWrap/>
        <w:overflowPunct/>
        <w:topLinePunct w:val="0"/>
        <w:autoSpaceDE/>
        <w:autoSpaceDN/>
        <w:bidi w:val="0"/>
        <w:adjustRightInd/>
        <w:snapToGrid/>
        <w:spacing w:line="600" w:lineRule="exact"/>
        <w:ind w:firstLine="641"/>
        <w:textAlignment w:val="auto"/>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4.其他收入：指单位取得的除上述收入以外的各项收</w:t>
      </w:r>
      <w:r>
        <w:rPr>
          <w:rFonts w:hint="eastAsia" w:eastAsia="仿宋_GB2312" w:cs="仿宋_GB2312"/>
          <w:color w:val="auto"/>
          <w:kern w:val="2"/>
          <w:sz w:val="32"/>
          <w:szCs w:val="32"/>
          <w:highlight w:val="none"/>
          <w:lang w:val="en-US" w:eastAsia="zh-CN" w:bidi="ar-SA"/>
        </w:rPr>
        <w:t>入。</w:t>
      </w:r>
    </w:p>
    <w:p w14:paraId="0CEAFC6B">
      <w:pPr>
        <w:keepNext w:val="0"/>
        <w:keepLines w:val="0"/>
        <w:pageBreakBefore w:val="0"/>
        <w:widowControl w:val="0"/>
        <w:kinsoku/>
        <w:wordWrap/>
        <w:overflowPunct/>
        <w:topLinePunct w:val="0"/>
        <w:autoSpaceDE/>
        <w:autoSpaceDN/>
        <w:bidi w:val="0"/>
        <w:adjustRightInd/>
        <w:snapToGrid/>
        <w:spacing w:line="600" w:lineRule="exact"/>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74B3886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19FB58C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20A4C7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2C306148">
      <w:pPr>
        <w:pStyle w:val="26"/>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9.社会保障和就业（类）行政事业单位养老支出（款）事业单位离退休（项）: 指事业单位开支的离退休经费。</w:t>
      </w:r>
    </w:p>
    <w:p w14:paraId="2F06AB75">
      <w:pPr>
        <w:pStyle w:val="26"/>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10.社会保障和就业（类）行政事业单位养老支出（款）机关事业单位基本养老保险缴费支出（项）:指机关事业单位实施养老保险制度由单位缴纳的基本养老保险</w:t>
      </w:r>
      <w:r>
        <w:rPr>
          <w:rFonts w:hint="eastAsia" w:ascii="Times New Roman" w:hAnsi="Times New Roman" w:eastAsia="仿宋_GB2312" w:cs="Times New Roman"/>
          <w:color w:val="auto"/>
          <w:sz w:val="32"/>
          <w:szCs w:val="32"/>
          <w:lang w:val="en-US" w:eastAsia="zh-CN"/>
        </w:rPr>
        <w:t>费</w:t>
      </w:r>
      <w:r>
        <w:rPr>
          <w:rFonts w:hint="default" w:ascii="Times New Roman" w:hAnsi="Times New Roman" w:eastAsia="仿宋_GB2312" w:cs="Times New Roman"/>
          <w:color w:val="auto"/>
          <w:sz w:val="32"/>
          <w:szCs w:val="32"/>
        </w:rPr>
        <w:t>支出。</w:t>
      </w:r>
    </w:p>
    <w:p w14:paraId="14601986">
      <w:pPr>
        <w:pStyle w:val="26"/>
        <w:spacing w:line="56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11.</w:t>
      </w:r>
      <w:r>
        <w:rPr>
          <w:rFonts w:hint="default" w:ascii="Times New Roman" w:hAnsi="Times New Roman" w:eastAsia="仿宋_GB2312" w:cs="Times New Roman"/>
          <w:color w:val="auto"/>
          <w:sz w:val="32"/>
          <w:szCs w:val="32"/>
        </w:rPr>
        <w:t>社会保障和就业（类）行政事业单位养老支出</w:t>
      </w:r>
      <w:r>
        <w:rPr>
          <w:rFonts w:hint="default" w:ascii="Times New Roman" w:hAnsi="Times New Roman" w:eastAsia="仿宋_GB2312" w:cs="Times New Roman"/>
          <w:color w:val="auto"/>
          <w:sz w:val="32"/>
          <w:szCs w:val="32"/>
          <w:lang w:val="en-US" w:eastAsia="zh-CN"/>
        </w:rPr>
        <w:t>（款）</w:t>
      </w:r>
      <w:r>
        <w:rPr>
          <w:rFonts w:hint="eastAsia" w:ascii="Times New Roman" w:hAnsi="Times New Roman" w:eastAsia="仿宋_GB2312" w:cs="Times New Roman"/>
          <w:color w:val="auto"/>
          <w:sz w:val="32"/>
          <w:szCs w:val="32"/>
          <w:lang w:val="en-US" w:eastAsia="zh-CN"/>
        </w:rPr>
        <w:t>机关事业单位职业年金缴费支出</w:t>
      </w:r>
      <w:r>
        <w:rPr>
          <w:rFonts w:hint="default" w:ascii="Times New Roman" w:hAnsi="Times New Roman" w:eastAsia="仿宋_GB2312" w:cs="Times New Roman"/>
          <w:color w:val="auto"/>
          <w:sz w:val="32"/>
          <w:szCs w:val="32"/>
          <w:lang w:val="en-US" w:eastAsia="zh-CN"/>
        </w:rPr>
        <w:t>（项）</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指</w:t>
      </w:r>
      <w:r>
        <w:rPr>
          <w:rFonts w:hint="eastAsia" w:ascii="Times New Roman" w:hAnsi="Times New Roman" w:eastAsia="仿宋_GB2312" w:cs="Times New Roman"/>
          <w:color w:val="auto"/>
          <w:sz w:val="32"/>
          <w:szCs w:val="32"/>
          <w:lang w:val="en-US" w:eastAsia="zh-CN"/>
        </w:rPr>
        <w:t>反映机关事业单位实施养老保险制度由单位实际缴纳的职位年金支出（含职业年金补记支出）。</w:t>
      </w:r>
    </w:p>
    <w:p w14:paraId="38708238">
      <w:pPr>
        <w:pStyle w:val="26"/>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.卫生健康（类）公立医院（款）其他公立医院支出（项）:指其他用于公立医院方面的支出。</w:t>
      </w:r>
    </w:p>
    <w:p w14:paraId="54C5BBC9">
      <w:pPr>
        <w:pStyle w:val="26"/>
        <w:spacing w:line="56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卫生健康（类）行政事业单位医疗（款）事业单位医疗（项）:</w:t>
      </w:r>
      <w:r>
        <w:rPr>
          <w:rFonts w:hint="default" w:ascii="Times New Roman" w:hAnsi="Times New Roman" w:eastAsia="仿宋_GB2312" w:cs="Times New Roman"/>
          <w:color w:val="auto"/>
          <w:sz w:val="32"/>
          <w:szCs w:val="32"/>
          <w:lang w:val="en-US" w:eastAsia="zh-CN"/>
        </w:rPr>
        <w:t>指反映财政部门安排的事业单位基本医疗保险缴费经费、未参加医疗保险的事业单位的公费医疗经费，按国家规定享受离休人员待遇的医疗经费。</w:t>
      </w:r>
    </w:p>
    <w:p w14:paraId="71D465E9">
      <w:pPr>
        <w:pStyle w:val="26"/>
        <w:spacing w:line="56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卫生健康（类）行政事业单位医疗（款）公务员医疗补助（项）:</w:t>
      </w:r>
      <w:r>
        <w:rPr>
          <w:rFonts w:hint="default" w:ascii="Times New Roman" w:hAnsi="Times New Roman" w:eastAsia="仿宋_GB2312" w:cs="Times New Roman"/>
          <w:color w:val="auto"/>
          <w:sz w:val="32"/>
          <w:szCs w:val="32"/>
          <w:lang w:val="en-US" w:eastAsia="zh-CN"/>
        </w:rPr>
        <w:t>指</w:t>
      </w:r>
      <w:r>
        <w:rPr>
          <w:rFonts w:hint="eastAsia" w:ascii="Times New Roman" w:hAnsi="Times New Roman" w:eastAsia="仿宋_GB2312" w:cs="Times New Roman"/>
          <w:color w:val="auto"/>
          <w:sz w:val="32"/>
          <w:szCs w:val="32"/>
          <w:lang w:val="en-US" w:eastAsia="zh-CN"/>
        </w:rPr>
        <w:t>反映财政部门安排的公务员医疗补助经费。</w:t>
      </w:r>
    </w:p>
    <w:p w14:paraId="15F159F8">
      <w:pPr>
        <w:pStyle w:val="26"/>
        <w:spacing w:line="56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卫生健康（类）行政事业单位医疗（款）其他行政事业单位医疗支出（项）:</w:t>
      </w:r>
      <w:r>
        <w:rPr>
          <w:rFonts w:hint="eastAsia" w:ascii="Times New Roman" w:hAnsi="Times New Roman" w:eastAsia="仿宋_GB2312" w:cs="Times New Roman"/>
          <w:color w:val="auto"/>
          <w:sz w:val="32"/>
          <w:szCs w:val="32"/>
          <w:lang w:val="en-US" w:eastAsia="zh-CN"/>
        </w:rPr>
        <w:t>指反映除上述项目以外的其他用于行政事业单位医疗方面的支出。</w:t>
      </w:r>
    </w:p>
    <w:p w14:paraId="2ADC8AC5">
      <w:pPr>
        <w:pStyle w:val="26"/>
        <w:spacing w:line="560" w:lineRule="exact"/>
        <w:ind w:firstLine="640" w:firstLineChars="200"/>
        <w:rPr>
          <w:rFonts w:hint="default" w:ascii="Times New Roman" w:hAnsi="Times New Roman" w:cs="Times New Roman"/>
          <w:lang w:val="en-US" w:eastAsia="zh-CN"/>
        </w:rPr>
      </w:pPr>
      <w:r>
        <w:rPr>
          <w:rFonts w:hint="default" w:ascii="Times New Roman" w:hAnsi="Times New Roman" w:eastAsia="仿宋_GB2312" w:cs="Times New Roman"/>
          <w:color w:val="auto"/>
          <w:sz w:val="32"/>
          <w:szCs w:val="32"/>
        </w:rPr>
        <w:t>1</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.住房保障支出（类）住房改革支出（款）住房公积金（项）：指行政事业单位按人力资源和社会保障部、财政部规定的基本工资和津贴补贴以及规定比例为职工缴纳的住房公积金。</w:t>
      </w:r>
    </w:p>
    <w:p w14:paraId="6114786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2941033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08408A7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474BFF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EDB12D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21</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7B24FF9">
      <w:pPr>
        <w:spacing w:line="600" w:lineRule="exact"/>
        <w:jc w:val="center"/>
        <w:rPr>
          <w:rFonts w:hint="eastAsia" w:ascii="Times New Roman" w:hAnsi="Times New Roman" w:eastAsia="黑体"/>
          <w:color w:val="auto"/>
          <w:sz w:val="44"/>
          <w:szCs w:val="44"/>
          <w:highlight w:val="none"/>
        </w:rPr>
      </w:pPr>
      <w:bookmarkStart w:id="93" w:name="_Toc15396614"/>
      <w:bookmarkStart w:id="94" w:name="_Toc15377226"/>
    </w:p>
    <w:p w14:paraId="48E8E3F6">
      <w:pPr>
        <w:spacing w:line="600" w:lineRule="exact"/>
        <w:jc w:val="center"/>
        <w:rPr>
          <w:rFonts w:hint="eastAsia" w:ascii="Times New Roman" w:hAnsi="Times New Roman" w:eastAsia="黑体"/>
          <w:color w:val="auto"/>
          <w:sz w:val="44"/>
          <w:szCs w:val="44"/>
          <w:highlight w:val="none"/>
        </w:rPr>
      </w:pPr>
    </w:p>
    <w:p w14:paraId="1DF19E91">
      <w:pPr>
        <w:spacing w:line="600" w:lineRule="exact"/>
        <w:jc w:val="center"/>
        <w:rPr>
          <w:rFonts w:hint="eastAsia" w:ascii="Times New Roman" w:hAnsi="Times New Roman" w:eastAsia="黑体"/>
          <w:color w:val="auto"/>
          <w:sz w:val="44"/>
          <w:szCs w:val="44"/>
          <w:highlight w:val="none"/>
        </w:rPr>
      </w:pPr>
    </w:p>
    <w:p w14:paraId="69DCBEAF">
      <w:pPr>
        <w:spacing w:line="600" w:lineRule="exact"/>
        <w:jc w:val="center"/>
        <w:rPr>
          <w:rFonts w:hint="eastAsia" w:ascii="Times New Roman" w:hAnsi="Times New Roman" w:eastAsia="黑体"/>
          <w:color w:val="auto"/>
          <w:sz w:val="44"/>
          <w:szCs w:val="44"/>
          <w:highlight w:val="none"/>
        </w:rPr>
      </w:pPr>
    </w:p>
    <w:p w14:paraId="55B36762">
      <w:pPr>
        <w:spacing w:line="600" w:lineRule="exact"/>
        <w:jc w:val="center"/>
        <w:rPr>
          <w:rFonts w:hint="eastAsia" w:ascii="Times New Roman" w:hAnsi="Times New Roman" w:eastAsia="黑体"/>
          <w:color w:val="auto"/>
          <w:sz w:val="44"/>
          <w:szCs w:val="44"/>
          <w:highlight w:val="none"/>
        </w:rPr>
      </w:pPr>
    </w:p>
    <w:p w14:paraId="7E3F83E6">
      <w:pPr>
        <w:pStyle w:val="2"/>
        <w:rPr>
          <w:rFonts w:hint="eastAsia" w:ascii="Times New Roman" w:hAnsi="Times New Roman" w:eastAsia="黑体"/>
          <w:color w:val="auto"/>
          <w:sz w:val="44"/>
          <w:szCs w:val="44"/>
          <w:highlight w:val="none"/>
        </w:rPr>
      </w:pPr>
    </w:p>
    <w:p w14:paraId="00341EFE">
      <w:pPr>
        <w:pStyle w:val="3"/>
        <w:bidi w:val="0"/>
        <w:jc w:val="center"/>
        <w:rPr>
          <w:rFonts w:hint="eastAsia"/>
        </w:rPr>
      </w:pPr>
      <w:bookmarkStart w:id="95" w:name="_Toc11660"/>
      <w:bookmarkStart w:id="96" w:name="_Toc2056"/>
      <w:bookmarkStart w:id="97" w:name="_Toc19021"/>
      <w:r>
        <w:rPr>
          <w:rFonts w:hint="eastAsia"/>
          <w:lang w:val="en-US" w:eastAsia="zh-CN"/>
        </w:rPr>
        <w:t>第四部分</w:t>
      </w:r>
      <w:r>
        <w:rPr>
          <w:rFonts w:hint="eastAsia"/>
        </w:rPr>
        <w:t xml:space="preserve"> 附件</w:t>
      </w:r>
      <w:bookmarkEnd w:id="93"/>
      <w:bookmarkEnd w:id="95"/>
      <w:bookmarkEnd w:id="96"/>
      <w:bookmarkEnd w:id="97"/>
    </w:p>
    <w:p w14:paraId="118B08B7">
      <w:pPr>
        <w:pStyle w:val="4"/>
        <w:bidi w:val="0"/>
        <w:jc w:val="center"/>
        <w:rPr>
          <w:rFonts w:hint="eastAsia" w:ascii="黑体" w:hAnsi="黑体" w:eastAsia="黑体" w:cs="黑体"/>
          <w:b w:val="0"/>
          <w:bCs w:val="0"/>
        </w:rPr>
      </w:pPr>
      <w:bookmarkStart w:id="98" w:name="_Toc13307"/>
      <w:bookmarkStart w:id="99" w:name="_Toc16614"/>
      <w:bookmarkStart w:id="100" w:name="_Toc1187887814"/>
      <w:bookmarkStart w:id="101" w:name="_Toc21865"/>
      <w:bookmarkStart w:id="102" w:name="_Toc14854"/>
      <w:bookmarkStart w:id="103" w:name="_Toc959723477"/>
      <w:r>
        <w:rPr>
          <w:rFonts w:hint="eastAsia" w:ascii="黑体" w:hAnsi="黑体" w:eastAsia="黑体" w:cs="黑体"/>
          <w:b w:val="0"/>
          <w:bCs w:val="0"/>
        </w:rPr>
        <w:t>部门预算项目支出绩效自评表（</w:t>
      </w:r>
      <w:r>
        <w:rPr>
          <w:rFonts w:hint="default" w:ascii="Times New Roman" w:hAnsi="Times New Roman" w:eastAsia="黑体" w:cs="Times New Roman"/>
          <w:b w:val="0"/>
          <w:bCs w:val="0"/>
        </w:rPr>
        <w:t>202</w:t>
      </w:r>
      <w:r>
        <w:rPr>
          <w:rFonts w:hint="default" w:ascii="Times New Roman" w:hAnsi="Times New Roman" w:eastAsia="黑体" w:cs="Times New Roman"/>
          <w:b w:val="0"/>
          <w:bCs w:val="0"/>
          <w:lang w:val="en-US" w:eastAsia="zh-CN"/>
        </w:rPr>
        <w:t>5</w:t>
      </w:r>
      <w:r>
        <w:rPr>
          <w:rFonts w:hint="eastAsia" w:ascii="黑体" w:hAnsi="黑体" w:eastAsia="黑体" w:cs="黑体"/>
          <w:b w:val="0"/>
          <w:bCs w:val="0"/>
        </w:rPr>
        <w:t>年度）</w:t>
      </w:r>
      <w:bookmarkEnd w:id="98"/>
      <w:bookmarkEnd w:id="99"/>
      <w:bookmarkEnd w:id="100"/>
      <w:bookmarkEnd w:id="101"/>
      <w:bookmarkEnd w:id="102"/>
      <w:bookmarkEnd w:id="103"/>
    </w:p>
    <w:p w14:paraId="555E0CE7">
      <w:pPr>
        <w:pStyle w:val="2"/>
        <w:numPr>
          <w:ilvl w:val="0"/>
          <w:numId w:val="0"/>
        </w:numPr>
        <w:rPr>
          <w:rFonts w:hint="eastAsia"/>
          <w:lang w:eastAsia="zh-CN"/>
        </w:rPr>
      </w:pPr>
    </w:p>
    <w:p w14:paraId="7446AEC9">
      <w:pPr>
        <w:pStyle w:val="2"/>
        <w:numPr>
          <w:ilvl w:val="0"/>
          <w:numId w:val="0"/>
        </w:numPr>
        <w:rPr>
          <w:rFonts w:hint="eastAsia"/>
          <w:lang w:eastAsia="zh-CN"/>
        </w:rPr>
      </w:pPr>
    </w:p>
    <w:p w14:paraId="72D13C33">
      <w:pPr>
        <w:pStyle w:val="2"/>
        <w:numPr>
          <w:ilvl w:val="0"/>
          <w:numId w:val="0"/>
        </w:numPr>
        <w:rPr>
          <w:rFonts w:hint="eastAsia"/>
          <w:lang w:eastAsia="zh-CN"/>
        </w:rPr>
      </w:pPr>
    </w:p>
    <w:p w14:paraId="1F84AF0C">
      <w:pPr>
        <w:pStyle w:val="2"/>
        <w:numPr>
          <w:ilvl w:val="0"/>
          <w:numId w:val="0"/>
        </w:numPr>
        <w:rPr>
          <w:rFonts w:hint="eastAsia"/>
          <w:lang w:eastAsia="zh-CN"/>
        </w:rPr>
      </w:pPr>
    </w:p>
    <w:p w14:paraId="551A7107">
      <w:pPr>
        <w:pStyle w:val="2"/>
        <w:numPr>
          <w:ilvl w:val="0"/>
          <w:numId w:val="0"/>
        </w:numPr>
        <w:rPr>
          <w:rFonts w:hint="eastAsia"/>
          <w:lang w:eastAsia="zh-CN"/>
        </w:rPr>
      </w:pPr>
    </w:p>
    <w:p w14:paraId="2DBA8B30">
      <w:pPr>
        <w:pStyle w:val="2"/>
        <w:numPr>
          <w:ilvl w:val="0"/>
          <w:numId w:val="0"/>
        </w:numPr>
        <w:rPr>
          <w:rFonts w:hint="eastAsia"/>
          <w:lang w:eastAsia="zh-CN"/>
        </w:rPr>
      </w:pPr>
    </w:p>
    <w:p w14:paraId="4813828D">
      <w:pPr>
        <w:pStyle w:val="2"/>
        <w:numPr>
          <w:ilvl w:val="0"/>
          <w:numId w:val="0"/>
        </w:numPr>
        <w:rPr>
          <w:rFonts w:hint="eastAsia"/>
          <w:lang w:eastAsia="zh-CN"/>
        </w:rPr>
      </w:pPr>
    </w:p>
    <w:p w14:paraId="0FC8C0CE">
      <w:pPr>
        <w:pStyle w:val="2"/>
        <w:numPr>
          <w:ilvl w:val="0"/>
          <w:numId w:val="0"/>
        </w:numPr>
        <w:rPr>
          <w:rFonts w:hint="eastAsia"/>
          <w:lang w:eastAsia="zh-CN"/>
        </w:rPr>
      </w:pPr>
    </w:p>
    <w:p w14:paraId="0D2075EB">
      <w:pPr>
        <w:pStyle w:val="2"/>
        <w:numPr>
          <w:ilvl w:val="0"/>
          <w:numId w:val="0"/>
        </w:numPr>
        <w:rPr>
          <w:rFonts w:hint="eastAsia"/>
          <w:lang w:eastAsia="zh-CN"/>
        </w:rPr>
      </w:pPr>
    </w:p>
    <w:p w14:paraId="75A6665A">
      <w:pPr>
        <w:pStyle w:val="2"/>
        <w:numPr>
          <w:ilvl w:val="0"/>
          <w:numId w:val="0"/>
        </w:numPr>
        <w:rPr>
          <w:rFonts w:hint="eastAsia"/>
          <w:lang w:eastAsia="zh-CN"/>
        </w:rPr>
      </w:pPr>
    </w:p>
    <w:p w14:paraId="3957DC2E">
      <w:pPr>
        <w:pStyle w:val="2"/>
        <w:numPr>
          <w:ilvl w:val="0"/>
          <w:numId w:val="0"/>
        </w:numPr>
        <w:rPr>
          <w:rFonts w:hint="eastAsia"/>
          <w:lang w:eastAsia="zh-CN"/>
        </w:rPr>
      </w:pPr>
    </w:p>
    <w:p w14:paraId="61FDEE6E">
      <w:pPr>
        <w:pStyle w:val="2"/>
        <w:numPr>
          <w:ilvl w:val="0"/>
          <w:numId w:val="0"/>
        </w:numPr>
        <w:rPr>
          <w:rFonts w:hint="eastAsia"/>
          <w:lang w:eastAsia="zh-CN"/>
        </w:rPr>
      </w:pPr>
    </w:p>
    <w:p w14:paraId="22B1DC9F">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7B4772ED">
      <w:pPr>
        <w:pStyle w:val="3"/>
        <w:bidi w:val="0"/>
        <w:jc w:val="center"/>
        <w:rPr>
          <w:rFonts w:hint="eastAsia"/>
        </w:rPr>
      </w:pPr>
      <w:bookmarkStart w:id="104" w:name="_Toc12992"/>
      <w:bookmarkStart w:id="105" w:name="_Toc15396618"/>
      <w:bookmarkStart w:id="106" w:name="_Toc28714"/>
      <w:bookmarkStart w:id="107" w:name="_Toc10713"/>
      <w:r>
        <w:rPr>
          <w:rFonts w:hint="eastAsia"/>
        </w:rPr>
        <w:t>第五部分 附表</w:t>
      </w:r>
      <w:bookmarkEnd w:id="94"/>
      <w:bookmarkEnd w:id="104"/>
      <w:bookmarkEnd w:id="105"/>
      <w:bookmarkEnd w:id="106"/>
      <w:bookmarkEnd w:id="107"/>
      <w:bookmarkStart w:id="108" w:name="_Toc15396619"/>
    </w:p>
    <w:p w14:paraId="4BBEDDB3">
      <w:pPr>
        <w:rPr>
          <w:rFonts w:hint="eastAsia" w:ascii="Times New Roman" w:hAnsi="Times New Roman"/>
          <w:color w:val="auto"/>
          <w:highlight w:val="none"/>
        </w:rPr>
      </w:pPr>
    </w:p>
    <w:p w14:paraId="0270B4E8">
      <w:pPr>
        <w:pStyle w:val="4"/>
        <w:keepNext/>
        <w:keepLines/>
        <w:pageBreakBefore w:val="0"/>
        <w:widowControl w:val="0"/>
        <w:kinsoku/>
        <w:wordWrap/>
        <w:overflowPunct/>
        <w:topLinePunct w:val="0"/>
        <w:autoSpaceDE/>
        <w:autoSpaceDN/>
        <w:bidi w:val="0"/>
        <w:adjustRightInd/>
        <w:snapToGrid/>
        <w:spacing w:line="440" w:lineRule="exact"/>
        <w:textAlignment w:val="auto"/>
        <w:rPr>
          <w:rFonts w:hint="eastAsia" w:ascii="黑体" w:hAnsi="黑体" w:eastAsia="黑体" w:cs="黑体"/>
          <w:b w:val="0"/>
          <w:bCs w:val="0"/>
          <w:sz w:val="32"/>
          <w:szCs w:val="32"/>
        </w:rPr>
      </w:pPr>
      <w:bookmarkStart w:id="109" w:name="_Toc947"/>
      <w:bookmarkStart w:id="110" w:name="_Toc24036"/>
      <w:bookmarkStart w:id="111" w:name="_Toc3063"/>
      <w:r>
        <w:rPr>
          <w:rFonts w:hint="eastAsia" w:ascii="黑体" w:hAnsi="黑体" w:eastAsia="黑体" w:cs="黑体"/>
          <w:b w:val="0"/>
          <w:bCs w:val="0"/>
          <w:sz w:val="32"/>
          <w:szCs w:val="32"/>
        </w:rPr>
        <w:t>一、收入支出决算总表</w:t>
      </w:r>
      <w:bookmarkEnd w:id="108"/>
      <w:bookmarkEnd w:id="109"/>
      <w:bookmarkEnd w:id="110"/>
      <w:bookmarkEnd w:id="111"/>
    </w:p>
    <w:p w14:paraId="2C80C88D">
      <w:pPr>
        <w:pStyle w:val="4"/>
        <w:keepNext/>
        <w:keepLines/>
        <w:pageBreakBefore w:val="0"/>
        <w:widowControl w:val="0"/>
        <w:kinsoku/>
        <w:wordWrap/>
        <w:overflowPunct/>
        <w:topLinePunct w:val="0"/>
        <w:autoSpaceDE/>
        <w:autoSpaceDN/>
        <w:bidi w:val="0"/>
        <w:adjustRightInd/>
        <w:snapToGrid/>
        <w:spacing w:line="440" w:lineRule="exact"/>
        <w:textAlignment w:val="auto"/>
        <w:rPr>
          <w:rFonts w:hint="eastAsia" w:ascii="黑体" w:hAnsi="黑体" w:eastAsia="黑体" w:cs="黑体"/>
          <w:b w:val="0"/>
          <w:bCs w:val="0"/>
          <w:sz w:val="32"/>
          <w:szCs w:val="32"/>
        </w:rPr>
      </w:pPr>
      <w:bookmarkStart w:id="112" w:name="_Toc11615"/>
      <w:bookmarkStart w:id="113" w:name="_Toc9453"/>
      <w:bookmarkStart w:id="114" w:name="_Toc15396620"/>
      <w:bookmarkStart w:id="115" w:name="_Toc6222"/>
      <w:r>
        <w:rPr>
          <w:rFonts w:hint="eastAsia" w:ascii="黑体" w:hAnsi="黑体" w:eastAsia="黑体" w:cs="黑体"/>
          <w:b w:val="0"/>
          <w:bCs w:val="0"/>
          <w:sz w:val="32"/>
          <w:szCs w:val="32"/>
        </w:rPr>
        <w:t>二、收入决算表</w:t>
      </w:r>
      <w:bookmarkEnd w:id="112"/>
      <w:bookmarkEnd w:id="113"/>
      <w:bookmarkEnd w:id="114"/>
      <w:bookmarkEnd w:id="115"/>
    </w:p>
    <w:p w14:paraId="3E52DE49">
      <w:pPr>
        <w:pStyle w:val="4"/>
        <w:keepNext/>
        <w:keepLines/>
        <w:pageBreakBefore w:val="0"/>
        <w:widowControl w:val="0"/>
        <w:kinsoku/>
        <w:wordWrap/>
        <w:overflowPunct/>
        <w:topLinePunct w:val="0"/>
        <w:autoSpaceDE/>
        <w:autoSpaceDN/>
        <w:bidi w:val="0"/>
        <w:adjustRightInd/>
        <w:snapToGrid/>
        <w:spacing w:line="440" w:lineRule="exact"/>
        <w:textAlignment w:val="auto"/>
        <w:rPr>
          <w:rFonts w:hint="eastAsia" w:ascii="黑体" w:hAnsi="黑体" w:eastAsia="黑体" w:cs="黑体"/>
          <w:b w:val="0"/>
          <w:bCs w:val="0"/>
          <w:sz w:val="32"/>
          <w:szCs w:val="32"/>
        </w:rPr>
      </w:pPr>
      <w:bookmarkStart w:id="116" w:name="_Toc15396621"/>
      <w:bookmarkStart w:id="117" w:name="_Toc15533"/>
      <w:bookmarkStart w:id="118" w:name="_Toc4936"/>
      <w:bookmarkStart w:id="119" w:name="_Toc15628"/>
      <w:r>
        <w:rPr>
          <w:rFonts w:hint="eastAsia" w:ascii="黑体" w:hAnsi="黑体" w:eastAsia="黑体" w:cs="黑体"/>
          <w:b w:val="0"/>
          <w:bCs w:val="0"/>
          <w:sz w:val="32"/>
          <w:szCs w:val="32"/>
        </w:rPr>
        <w:t>三、支出决算表</w:t>
      </w:r>
      <w:bookmarkEnd w:id="116"/>
      <w:bookmarkEnd w:id="117"/>
      <w:bookmarkEnd w:id="118"/>
      <w:bookmarkEnd w:id="119"/>
    </w:p>
    <w:p w14:paraId="19FA95CC">
      <w:pPr>
        <w:pStyle w:val="4"/>
        <w:keepNext/>
        <w:keepLines/>
        <w:pageBreakBefore w:val="0"/>
        <w:widowControl w:val="0"/>
        <w:kinsoku/>
        <w:wordWrap/>
        <w:overflowPunct/>
        <w:topLinePunct w:val="0"/>
        <w:autoSpaceDE/>
        <w:autoSpaceDN/>
        <w:bidi w:val="0"/>
        <w:adjustRightInd/>
        <w:snapToGrid/>
        <w:spacing w:line="440" w:lineRule="exact"/>
        <w:textAlignment w:val="auto"/>
        <w:rPr>
          <w:rFonts w:hint="eastAsia" w:ascii="黑体" w:hAnsi="黑体" w:eastAsia="黑体" w:cs="黑体"/>
          <w:b w:val="0"/>
          <w:bCs w:val="0"/>
          <w:sz w:val="32"/>
          <w:szCs w:val="32"/>
        </w:rPr>
      </w:pPr>
      <w:bookmarkStart w:id="120" w:name="_Toc17575"/>
      <w:bookmarkStart w:id="121" w:name="_Toc15396622"/>
      <w:bookmarkStart w:id="122" w:name="_Toc7217"/>
      <w:bookmarkStart w:id="123" w:name="_Toc4317"/>
      <w:r>
        <w:rPr>
          <w:rFonts w:hint="eastAsia" w:ascii="黑体" w:hAnsi="黑体" w:eastAsia="黑体" w:cs="黑体"/>
          <w:b w:val="0"/>
          <w:bCs w:val="0"/>
          <w:sz w:val="32"/>
          <w:szCs w:val="32"/>
        </w:rPr>
        <w:t>四、财政拨款收入支出决算总表</w:t>
      </w:r>
      <w:bookmarkEnd w:id="120"/>
      <w:bookmarkEnd w:id="121"/>
      <w:bookmarkEnd w:id="122"/>
      <w:bookmarkEnd w:id="123"/>
    </w:p>
    <w:p w14:paraId="28FE60AC">
      <w:pPr>
        <w:pStyle w:val="4"/>
        <w:keepNext/>
        <w:keepLines/>
        <w:pageBreakBefore w:val="0"/>
        <w:widowControl w:val="0"/>
        <w:kinsoku/>
        <w:wordWrap/>
        <w:overflowPunct/>
        <w:topLinePunct w:val="0"/>
        <w:autoSpaceDE/>
        <w:autoSpaceDN/>
        <w:bidi w:val="0"/>
        <w:adjustRightInd/>
        <w:snapToGrid/>
        <w:spacing w:line="440" w:lineRule="exact"/>
        <w:textAlignment w:val="auto"/>
        <w:rPr>
          <w:rFonts w:hint="eastAsia" w:ascii="黑体" w:hAnsi="黑体" w:eastAsia="黑体" w:cs="黑体"/>
          <w:b w:val="0"/>
          <w:bCs w:val="0"/>
          <w:sz w:val="32"/>
          <w:szCs w:val="32"/>
        </w:rPr>
      </w:pPr>
      <w:bookmarkStart w:id="124" w:name="_Toc21843"/>
      <w:bookmarkStart w:id="125" w:name="_Toc9106"/>
      <w:bookmarkStart w:id="126" w:name="_Toc23880"/>
      <w:bookmarkStart w:id="127" w:name="_Toc15396623"/>
      <w:r>
        <w:rPr>
          <w:rFonts w:hint="eastAsia" w:ascii="黑体" w:hAnsi="黑体" w:eastAsia="黑体" w:cs="黑体"/>
          <w:b w:val="0"/>
          <w:bCs w:val="0"/>
          <w:sz w:val="32"/>
          <w:szCs w:val="32"/>
        </w:rPr>
        <w:t>五、财政拨款支出决算明细表</w:t>
      </w:r>
      <w:bookmarkEnd w:id="124"/>
      <w:bookmarkEnd w:id="125"/>
      <w:bookmarkEnd w:id="126"/>
      <w:bookmarkEnd w:id="127"/>
      <w:bookmarkStart w:id="128" w:name="_Toc15396624"/>
    </w:p>
    <w:p w14:paraId="67AE8C61">
      <w:pPr>
        <w:pStyle w:val="4"/>
        <w:keepNext/>
        <w:keepLines/>
        <w:pageBreakBefore w:val="0"/>
        <w:widowControl w:val="0"/>
        <w:kinsoku/>
        <w:wordWrap/>
        <w:overflowPunct/>
        <w:topLinePunct w:val="0"/>
        <w:autoSpaceDE/>
        <w:autoSpaceDN/>
        <w:bidi w:val="0"/>
        <w:adjustRightInd/>
        <w:snapToGrid/>
        <w:spacing w:line="440" w:lineRule="exact"/>
        <w:textAlignment w:val="auto"/>
        <w:rPr>
          <w:rFonts w:hint="eastAsia" w:ascii="黑体" w:hAnsi="黑体" w:eastAsia="黑体" w:cs="黑体"/>
          <w:b w:val="0"/>
          <w:bCs w:val="0"/>
          <w:sz w:val="32"/>
          <w:szCs w:val="32"/>
        </w:rPr>
      </w:pPr>
      <w:bookmarkStart w:id="129" w:name="_Toc12002"/>
      <w:bookmarkStart w:id="130" w:name="_Toc16201"/>
      <w:bookmarkStart w:id="131" w:name="_Toc24557"/>
      <w:r>
        <w:rPr>
          <w:rFonts w:hint="eastAsia" w:ascii="黑体" w:hAnsi="黑体" w:eastAsia="黑体" w:cs="黑体"/>
          <w:b w:val="0"/>
          <w:bCs w:val="0"/>
          <w:sz w:val="32"/>
          <w:szCs w:val="32"/>
        </w:rPr>
        <w:t>六、一般公共预算财政拨款支出决算表</w:t>
      </w:r>
      <w:bookmarkEnd w:id="128"/>
      <w:bookmarkEnd w:id="129"/>
      <w:bookmarkEnd w:id="130"/>
      <w:bookmarkEnd w:id="131"/>
    </w:p>
    <w:p w14:paraId="6683CFF6">
      <w:pPr>
        <w:pStyle w:val="4"/>
        <w:keepNext/>
        <w:keepLines/>
        <w:pageBreakBefore w:val="0"/>
        <w:widowControl w:val="0"/>
        <w:kinsoku/>
        <w:wordWrap/>
        <w:overflowPunct/>
        <w:topLinePunct w:val="0"/>
        <w:autoSpaceDE/>
        <w:autoSpaceDN/>
        <w:bidi w:val="0"/>
        <w:adjustRightInd/>
        <w:snapToGrid/>
        <w:spacing w:line="440" w:lineRule="exact"/>
        <w:textAlignment w:val="auto"/>
        <w:rPr>
          <w:rFonts w:hint="eastAsia" w:ascii="黑体" w:hAnsi="黑体" w:eastAsia="黑体" w:cs="黑体"/>
          <w:b w:val="0"/>
          <w:bCs w:val="0"/>
          <w:sz w:val="32"/>
          <w:szCs w:val="32"/>
        </w:rPr>
      </w:pPr>
      <w:bookmarkStart w:id="132" w:name="_Toc18682"/>
      <w:bookmarkStart w:id="133" w:name="_Toc7396"/>
      <w:bookmarkStart w:id="134" w:name="_Toc15396625"/>
      <w:bookmarkStart w:id="135" w:name="_Toc14669"/>
      <w:r>
        <w:rPr>
          <w:rFonts w:hint="eastAsia" w:ascii="黑体" w:hAnsi="黑体" w:eastAsia="黑体" w:cs="黑体"/>
          <w:b w:val="0"/>
          <w:bCs w:val="0"/>
          <w:sz w:val="32"/>
          <w:szCs w:val="32"/>
        </w:rPr>
        <w:t>七、一般公共预算财政拨款支出决算明细表</w:t>
      </w:r>
      <w:bookmarkEnd w:id="132"/>
      <w:bookmarkEnd w:id="133"/>
      <w:bookmarkEnd w:id="134"/>
      <w:bookmarkEnd w:id="135"/>
    </w:p>
    <w:p w14:paraId="0474EBB6">
      <w:pPr>
        <w:pStyle w:val="4"/>
        <w:keepNext/>
        <w:keepLines/>
        <w:pageBreakBefore w:val="0"/>
        <w:widowControl w:val="0"/>
        <w:kinsoku/>
        <w:wordWrap/>
        <w:overflowPunct/>
        <w:topLinePunct w:val="0"/>
        <w:autoSpaceDE/>
        <w:autoSpaceDN/>
        <w:bidi w:val="0"/>
        <w:adjustRightInd/>
        <w:snapToGrid/>
        <w:spacing w:line="440" w:lineRule="exact"/>
        <w:textAlignment w:val="auto"/>
        <w:rPr>
          <w:rFonts w:hint="eastAsia" w:ascii="黑体" w:hAnsi="黑体" w:eastAsia="黑体" w:cs="黑体"/>
          <w:b w:val="0"/>
          <w:bCs w:val="0"/>
          <w:sz w:val="32"/>
          <w:szCs w:val="32"/>
        </w:rPr>
      </w:pPr>
      <w:bookmarkStart w:id="136" w:name="_Toc24300"/>
      <w:bookmarkStart w:id="137" w:name="_Toc15396626"/>
      <w:bookmarkStart w:id="138" w:name="_Toc30507"/>
      <w:bookmarkStart w:id="139" w:name="_Toc28913"/>
      <w:r>
        <w:rPr>
          <w:rFonts w:hint="eastAsia" w:ascii="黑体" w:hAnsi="黑体" w:eastAsia="黑体" w:cs="黑体"/>
          <w:b w:val="0"/>
          <w:bCs w:val="0"/>
          <w:sz w:val="32"/>
          <w:szCs w:val="32"/>
        </w:rPr>
        <w:t>八、一般公共预算财政拨款基本支出决算表</w:t>
      </w:r>
      <w:bookmarkEnd w:id="136"/>
      <w:bookmarkEnd w:id="137"/>
      <w:bookmarkEnd w:id="138"/>
      <w:bookmarkEnd w:id="139"/>
    </w:p>
    <w:p w14:paraId="48E85C85">
      <w:pPr>
        <w:pStyle w:val="4"/>
        <w:keepNext/>
        <w:keepLines/>
        <w:pageBreakBefore w:val="0"/>
        <w:widowControl w:val="0"/>
        <w:kinsoku/>
        <w:wordWrap/>
        <w:overflowPunct/>
        <w:topLinePunct w:val="0"/>
        <w:autoSpaceDE/>
        <w:autoSpaceDN/>
        <w:bidi w:val="0"/>
        <w:adjustRightInd/>
        <w:snapToGrid/>
        <w:spacing w:line="440" w:lineRule="exact"/>
        <w:textAlignment w:val="auto"/>
        <w:rPr>
          <w:rFonts w:hint="eastAsia" w:ascii="黑体" w:hAnsi="黑体" w:eastAsia="黑体" w:cs="黑体"/>
          <w:b w:val="0"/>
          <w:bCs w:val="0"/>
          <w:sz w:val="32"/>
          <w:szCs w:val="32"/>
        </w:rPr>
      </w:pPr>
      <w:bookmarkStart w:id="140" w:name="_Toc15396627"/>
      <w:bookmarkStart w:id="141" w:name="_Toc9598"/>
      <w:bookmarkStart w:id="142" w:name="_Toc5952"/>
      <w:bookmarkStart w:id="143" w:name="_Toc12490"/>
      <w:r>
        <w:rPr>
          <w:rFonts w:hint="eastAsia" w:ascii="黑体" w:hAnsi="黑体" w:eastAsia="黑体" w:cs="黑体"/>
          <w:b w:val="0"/>
          <w:bCs w:val="0"/>
          <w:sz w:val="32"/>
          <w:szCs w:val="32"/>
        </w:rPr>
        <w:t>九、一般公共预算财政拨款项目支出决算表</w:t>
      </w:r>
      <w:bookmarkEnd w:id="140"/>
      <w:bookmarkEnd w:id="141"/>
      <w:bookmarkEnd w:id="142"/>
      <w:bookmarkEnd w:id="143"/>
    </w:p>
    <w:p w14:paraId="73124234">
      <w:pPr>
        <w:pStyle w:val="2"/>
        <w:bidi w:val="0"/>
        <w:rPr>
          <w:rFonts w:hint="eastAsia" w:ascii="黑体" w:hAnsi="黑体" w:eastAsia="黑体" w:cs="黑体"/>
          <w:b w:val="0"/>
          <w:bCs w:val="0"/>
          <w:sz w:val="32"/>
          <w:szCs w:val="32"/>
          <w:lang w:eastAsia="zh-CN"/>
        </w:rPr>
      </w:pPr>
      <w:bookmarkStart w:id="144" w:name="_Toc15396628"/>
      <w:bookmarkStart w:id="145" w:name="_Toc20736"/>
      <w:bookmarkStart w:id="146" w:name="_Toc15012"/>
      <w:bookmarkStart w:id="147" w:name="_Toc1586"/>
      <w:r>
        <w:rPr>
          <w:rStyle w:val="29"/>
          <w:rFonts w:hint="eastAsia" w:ascii="黑体" w:hAnsi="黑体" w:eastAsia="黑体" w:cs="黑体"/>
          <w:b w:val="0"/>
          <w:bCs w:val="0"/>
          <w:sz w:val="32"/>
          <w:szCs w:val="32"/>
        </w:rPr>
        <w:t>十、</w:t>
      </w:r>
      <w:bookmarkEnd w:id="144"/>
      <w:r>
        <w:rPr>
          <w:rStyle w:val="29"/>
          <w:rFonts w:hint="eastAsia" w:ascii="黑体" w:hAnsi="黑体" w:eastAsia="黑体" w:cs="黑体"/>
          <w:b w:val="0"/>
          <w:bCs w:val="0"/>
          <w:sz w:val="32"/>
          <w:szCs w:val="32"/>
        </w:rPr>
        <w:t>政府性基金预算财政拨款收入支出决算表</w:t>
      </w:r>
      <w:bookmarkEnd w:id="145"/>
      <w:r>
        <w:rPr>
          <w:rFonts w:hint="eastAsia" w:ascii="黑体" w:hAnsi="黑体" w:eastAsia="黑体" w:cs="黑体"/>
          <w:sz w:val="32"/>
          <w:szCs w:val="32"/>
          <w:lang w:eastAsia="zh-CN"/>
        </w:rPr>
        <w:t>（</w:t>
      </w:r>
      <w:r>
        <w:rPr>
          <w:rFonts w:hint="eastAsia" w:ascii="黑体" w:hAnsi="黑体" w:eastAsia="黑体" w:cs="黑体"/>
          <w:sz w:val="32"/>
          <w:szCs w:val="32"/>
          <w:lang w:val="en-US" w:eastAsia="zh-CN"/>
        </w:rPr>
        <w:t>此表无数据</w:t>
      </w:r>
      <w:r>
        <w:rPr>
          <w:rFonts w:hint="eastAsia" w:ascii="黑体" w:hAnsi="黑体" w:eastAsia="黑体" w:cs="黑体"/>
          <w:sz w:val="32"/>
          <w:szCs w:val="32"/>
          <w:lang w:eastAsia="zh-CN"/>
        </w:rPr>
        <w:t>）</w:t>
      </w:r>
      <w:bookmarkEnd w:id="146"/>
      <w:bookmarkEnd w:id="147"/>
    </w:p>
    <w:p w14:paraId="1DAD8C32">
      <w:pPr>
        <w:pStyle w:val="2"/>
        <w:bidi w:val="0"/>
        <w:rPr>
          <w:rFonts w:hint="eastAsia" w:ascii="黑体" w:hAnsi="黑体" w:eastAsia="黑体" w:cs="黑体"/>
          <w:sz w:val="32"/>
          <w:szCs w:val="32"/>
          <w:lang w:val="en-US" w:eastAsia="zh-CN"/>
        </w:rPr>
      </w:pPr>
      <w:bookmarkStart w:id="148" w:name="_Toc15396629"/>
      <w:bookmarkStart w:id="149" w:name="_Toc18293"/>
      <w:bookmarkStart w:id="150" w:name="_Toc2005"/>
      <w:bookmarkStart w:id="151" w:name="_Toc30718"/>
      <w:r>
        <w:rPr>
          <w:rStyle w:val="29"/>
          <w:rFonts w:hint="eastAsia" w:ascii="黑体" w:hAnsi="黑体" w:eastAsia="黑体" w:cs="黑体"/>
          <w:b w:val="0"/>
          <w:bCs w:val="0"/>
          <w:sz w:val="32"/>
          <w:szCs w:val="32"/>
        </w:rPr>
        <w:t>十一、</w:t>
      </w:r>
      <w:bookmarkEnd w:id="148"/>
      <w:r>
        <w:rPr>
          <w:rStyle w:val="29"/>
          <w:rFonts w:hint="eastAsia" w:ascii="黑体" w:hAnsi="黑体" w:eastAsia="黑体" w:cs="黑体"/>
          <w:b w:val="0"/>
          <w:bCs w:val="0"/>
          <w:sz w:val="32"/>
          <w:szCs w:val="32"/>
        </w:rPr>
        <w:t>国有资本经营预算</w:t>
      </w:r>
      <w:r>
        <w:rPr>
          <w:rStyle w:val="29"/>
          <w:rFonts w:hint="eastAsia" w:ascii="黑体" w:hAnsi="黑体" w:eastAsia="黑体" w:cs="黑体"/>
          <w:b w:val="0"/>
          <w:bCs w:val="0"/>
          <w:sz w:val="32"/>
          <w:szCs w:val="32"/>
          <w:lang w:eastAsia="zh-CN"/>
        </w:rPr>
        <w:t>财政拨款收入</w:t>
      </w:r>
      <w:r>
        <w:rPr>
          <w:rStyle w:val="29"/>
          <w:rFonts w:hint="eastAsia" w:ascii="黑体" w:hAnsi="黑体" w:eastAsia="黑体" w:cs="黑体"/>
          <w:b w:val="0"/>
          <w:bCs w:val="0"/>
          <w:sz w:val="32"/>
          <w:szCs w:val="32"/>
        </w:rPr>
        <w:t>支出决算</w:t>
      </w:r>
      <w:bookmarkEnd w:id="149"/>
      <w:r>
        <w:rPr>
          <w:rFonts w:hint="eastAsia" w:ascii="黑体" w:hAnsi="黑体" w:eastAsia="黑体" w:cs="黑体"/>
          <w:sz w:val="32"/>
          <w:szCs w:val="32"/>
          <w:lang w:eastAsia="zh-CN"/>
        </w:rPr>
        <w:t>（</w:t>
      </w:r>
      <w:r>
        <w:rPr>
          <w:rFonts w:hint="eastAsia" w:ascii="黑体" w:hAnsi="黑体" w:eastAsia="黑体" w:cs="黑体"/>
          <w:sz w:val="32"/>
          <w:szCs w:val="32"/>
          <w:lang w:val="en-US" w:eastAsia="zh-CN"/>
        </w:rPr>
        <w:t>此表无数据</w:t>
      </w:r>
      <w:r>
        <w:rPr>
          <w:rFonts w:hint="eastAsia" w:ascii="黑体" w:hAnsi="黑体" w:eastAsia="黑体" w:cs="黑体"/>
          <w:sz w:val="32"/>
          <w:szCs w:val="32"/>
          <w:lang w:eastAsia="zh-CN"/>
        </w:rPr>
        <w:t>）</w:t>
      </w:r>
      <w:bookmarkEnd w:id="150"/>
      <w:bookmarkEnd w:id="151"/>
    </w:p>
    <w:p w14:paraId="60242682">
      <w:pPr>
        <w:pStyle w:val="2"/>
        <w:bidi w:val="0"/>
        <w:rPr>
          <w:rFonts w:hint="eastAsia" w:ascii="黑体" w:hAnsi="黑体" w:eastAsia="黑体" w:cs="黑体"/>
          <w:sz w:val="32"/>
          <w:szCs w:val="32"/>
          <w:lang w:val="en-US"/>
        </w:rPr>
      </w:pPr>
      <w:bookmarkStart w:id="152" w:name="_Toc15396630"/>
      <w:bookmarkStart w:id="153" w:name="_Toc25560"/>
      <w:bookmarkStart w:id="154" w:name="_Toc19248"/>
      <w:bookmarkStart w:id="155" w:name="_Toc4961"/>
      <w:r>
        <w:rPr>
          <w:rStyle w:val="29"/>
          <w:rFonts w:hint="eastAsia" w:ascii="黑体" w:hAnsi="黑体" w:eastAsia="黑体" w:cs="黑体"/>
          <w:b w:val="0"/>
          <w:bCs w:val="0"/>
          <w:sz w:val="32"/>
          <w:szCs w:val="32"/>
        </w:rPr>
        <w:t>十二、</w:t>
      </w:r>
      <w:bookmarkEnd w:id="152"/>
      <w:r>
        <w:rPr>
          <w:rStyle w:val="29"/>
          <w:rFonts w:hint="eastAsia" w:ascii="黑体" w:hAnsi="黑体" w:eastAsia="黑体" w:cs="黑体"/>
          <w:b w:val="0"/>
          <w:bCs w:val="0"/>
          <w:sz w:val="32"/>
          <w:szCs w:val="32"/>
          <w:lang w:eastAsia="zh-CN"/>
        </w:rPr>
        <w:t>国有资本经营预算财政拨款支出决算表</w:t>
      </w:r>
      <w:r>
        <w:rPr>
          <w:rStyle w:val="29"/>
          <w:rFonts w:hint="eastAsia" w:ascii="黑体" w:hAnsi="黑体" w:eastAsia="黑体" w:cs="黑体"/>
          <w:b w:val="0"/>
          <w:bCs w:val="0"/>
          <w:sz w:val="32"/>
          <w:szCs w:val="32"/>
          <w:lang w:val="en-US" w:eastAsia="zh-CN"/>
        </w:rPr>
        <w:t xml:space="preserve"> </w:t>
      </w:r>
      <w:bookmarkEnd w:id="153"/>
      <w:r>
        <w:rPr>
          <w:rFonts w:hint="eastAsia" w:ascii="黑体" w:hAnsi="黑体" w:eastAsia="黑体" w:cs="黑体"/>
          <w:sz w:val="32"/>
          <w:szCs w:val="32"/>
          <w:lang w:eastAsia="zh-CN"/>
        </w:rPr>
        <w:t>（</w:t>
      </w:r>
      <w:r>
        <w:rPr>
          <w:rFonts w:hint="eastAsia" w:ascii="黑体" w:hAnsi="黑体" w:eastAsia="黑体" w:cs="黑体"/>
          <w:sz w:val="32"/>
          <w:szCs w:val="32"/>
          <w:lang w:val="en-US" w:eastAsia="zh-CN"/>
        </w:rPr>
        <w:t>此表无数据</w:t>
      </w:r>
      <w:r>
        <w:rPr>
          <w:rFonts w:hint="eastAsia" w:ascii="黑体" w:hAnsi="黑体" w:eastAsia="黑体" w:cs="黑体"/>
          <w:sz w:val="32"/>
          <w:szCs w:val="32"/>
          <w:lang w:eastAsia="zh-CN"/>
        </w:rPr>
        <w:t>）</w:t>
      </w:r>
      <w:bookmarkEnd w:id="154"/>
      <w:bookmarkEnd w:id="155"/>
    </w:p>
    <w:p w14:paraId="4E4F0FEB">
      <w:pPr>
        <w:pStyle w:val="4"/>
        <w:keepNext/>
        <w:keepLines/>
        <w:pageBreakBefore w:val="0"/>
        <w:widowControl w:val="0"/>
        <w:kinsoku/>
        <w:wordWrap/>
        <w:overflowPunct/>
        <w:topLinePunct w:val="0"/>
        <w:autoSpaceDE/>
        <w:autoSpaceDN/>
        <w:bidi w:val="0"/>
        <w:adjustRightInd/>
        <w:snapToGrid/>
        <w:spacing w:line="440" w:lineRule="exact"/>
        <w:textAlignment w:val="auto"/>
        <w:rPr>
          <w:rFonts w:hint="eastAsia"/>
          <w:b w:val="0"/>
          <w:bCs w:val="0"/>
          <w:sz w:val="30"/>
          <w:szCs w:val="30"/>
          <w:lang w:eastAsia="zh-CN"/>
        </w:rPr>
      </w:pPr>
      <w:bookmarkStart w:id="156" w:name="_Toc15396631"/>
      <w:bookmarkStart w:id="157" w:name="_Toc10455"/>
      <w:bookmarkStart w:id="158" w:name="_Toc3937"/>
      <w:bookmarkStart w:id="159" w:name="_Toc32457"/>
      <w:r>
        <w:rPr>
          <w:rFonts w:hint="eastAsia" w:ascii="黑体" w:hAnsi="黑体" w:eastAsia="黑体" w:cs="黑体"/>
          <w:b w:val="0"/>
          <w:bCs w:val="0"/>
          <w:sz w:val="32"/>
          <w:szCs w:val="32"/>
        </w:rPr>
        <w:t>十三、</w:t>
      </w:r>
      <w:bookmarkEnd w:id="156"/>
      <w:r>
        <w:rPr>
          <w:rFonts w:hint="eastAsia" w:ascii="黑体" w:hAnsi="黑体" w:eastAsia="黑体" w:cs="黑体"/>
          <w:b w:val="0"/>
          <w:bCs w:val="0"/>
          <w:sz w:val="32"/>
          <w:szCs w:val="32"/>
          <w:lang w:eastAsia="zh-CN"/>
        </w:rPr>
        <w:t>财政拨款“三公”经费支出决算表</w:t>
      </w:r>
      <w:bookmarkEnd w:id="157"/>
      <w:bookmarkEnd w:id="158"/>
      <w:bookmarkEnd w:id="159"/>
    </w:p>
    <w:p w14:paraId="4C2439E6">
      <w:pPr>
        <w:rPr>
          <w:rFonts w:hint="eastAsia" w:ascii="Times New Roman" w:hAnsi="Times New Roman"/>
          <w:color w:val="auto"/>
          <w:highlight w:val="none"/>
          <w:lang w:eastAsia="zh-CN"/>
        </w:rPr>
      </w:pPr>
    </w:p>
    <w:sectPr>
      <w:footerReference r:id="rId5" w:type="first"/>
      <w:headerReference r:id="rId3" w:type="default"/>
      <w:footerReference r:id="rId4" w:type="default"/>
      <w:pgSz w:w="11906" w:h="16838"/>
      <w:pgMar w:top="1984" w:right="1474" w:bottom="1984" w:left="1587" w:header="907" w:footer="1644"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Book Antiqua">
    <w:panose1 w:val="02040602050305030304"/>
    <w:charset w:val="00"/>
    <w:family w:val="auto"/>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6089B">
    <w:pPr>
      <w:pStyle w:val="10"/>
      <w:jc w:val="center"/>
    </w:pPr>
  </w:p>
  <w:p w14:paraId="5FCB5C1A">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6AE4C">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041714">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2041714">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1C97A">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2A0E"/>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3242"/>
    <w:rsid w:val="00D254F7"/>
    <w:rsid w:val="00D26091"/>
    <w:rsid w:val="00D2685C"/>
    <w:rsid w:val="00D34E7C"/>
    <w:rsid w:val="00D35489"/>
    <w:rsid w:val="00D36AFE"/>
    <w:rsid w:val="00D51276"/>
    <w:rsid w:val="00D7035F"/>
    <w:rsid w:val="00DA3EA5"/>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1E2A"/>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53372"/>
    <w:rsid w:val="01586992"/>
    <w:rsid w:val="015975B8"/>
    <w:rsid w:val="016814B1"/>
    <w:rsid w:val="018502B5"/>
    <w:rsid w:val="01A23516"/>
    <w:rsid w:val="01FA47FF"/>
    <w:rsid w:val="01FB0577"/>
    <w:rsid w:val="021013A3"/>
    <w:rsid w:val="02317AF5"/>
    <w:rsid w:val="02317B1B"/>
    <w:rsid w:val="02535CBD"/>
    <w:rsid w:val="026779BA"/>
    <w:rsid w:val="026A3EB7"/>
    <w:rsid w:val="02EC7747"/>
    <w:rsid w:val="02FEBE30"/>
    <w:rsid w:val="03C930BD"/>
    <w:rsid w:val="04081B97"/>
    <w:rsid w:val="041E1684"/>
    <w:rsid w:val="043B4C5B"/>
    <w:rsid w:val="04E35A1E"/>
    <w:rsid w:val="05096B07"/>
    <w:rsid w:val="052C4095"/>
    <w:rsid w:val="056106F1"/>
    <w:rsid w:val="05B747B5"/>
    <w:rsid w:val="05C759FB"/>
    <w:rsid w:val="05F52621"/>
    <w:rsid w:val="061E35DE"/>
    <w:rsid w:val="061E4834"/>
    <w:rsid w:val="066E0107"/>
    <w:rsid w:val="06AB256C"/>
    <w:rsid w:val="06B34F7C"/>
    <w:rsid w:val="06C929F2"/>
    <w:rsid w:val="07013F3A"/>
    <w:rsid w:val="07591FC8"/>
    <w:rsid w:val="076F3599"/>
    <w:rsid w:val="07996F6E"/>
    <w:rsid w:val="07DFD8BA"/>
    <w:rsid w:val="07F13FAE"/>
    <w:rsid w:val="080B2B96"/>
    <w:rsid w:val="08A94889"/>
    <w:rsid w:val="08BF5E5A"/>
    <w:rsid w:val="08DB07E4"/>
    <w:rsid w:val="08DD09D6"/>
    <w:rsid w:val="09212671"/>
    <w:rsid w:val="0983332C"/>
    <w:rsid w:val="09867E8F"/>
    <w:rsid w:val="09D05E45"/>
    <w:rsid w:val="09F204B1"/>
    <w:rsid w:val="0A2032A3"/>
    <w:rsid w:val="0A3463D4"/>
    <w:rsid w:val="0A670558"/>
    <w:rsid w:val="0A6D18E6"/>
    <w:rsid w:val="0A764C3F"/>
    <w:rsid w:val="0B61144B"/>
    <w:rsid w:val="0B925E7B"/>
    <w:rsid w:val="0BA8707A"/>
    <w:rsid w:val="0BD936D7"/>
    <w:rsid w:val="0C443240"/>
    <w:rsid w:val="0C6C4794"/>
    <w:rsid w:val="0C790A16"/>
    <w:rsid w:val="0CA8290A"/>
    <w:rsid w:val="0CC04897"/>
    <w:rsid w:val="0CCF6888"/>
    <w:rsid w:val="0D35B1ED"/>
    <w:rsid w:val="0D5076B5"/>
    <w:rsid w:val="0D774F56"/>
    <w:rsid w:val="0D8238FA"/>
    <w:rsid w:val="0DB22432"/>
    <w:rsid w:val="0DE07E2B"/>
    <w:rsid w:val="0DE545B5"/>
    <w:rsid w:val="0DFA7935"/>
    <w:rsid w:val="0E0D1416"/>
    <w:rsid w:val="0E2624D8"/>
    <w:rsid w:val="0E7E40C2"/>
    <w:rsid w:val="0ED12122"/>
    <w:rsid w:val="0F3550C8"/>
    <w:rsid w:val="0F587009"/>
    <w:rsid w:val="0F692C78"/>
    <w:rsid w:val="0F855B4A"/>
    <w:rsid w:val="0F98263C"/>
    <w:rsid w:val="0FA30CB9"/>
    <w:rsid w:val="0FB73D2F"/>
    <w:rsid w:val="0FB87AA7"/>
    <w:rsid w:val="0FCC70AF"/>
    <w:rsid w:val="0FE91A0F"/>
    <w:rsid w:val="101860EC"/>
    <w:rsid w:val="105D7981"/>
    <w:rsid w:val="107E38CF"/>
    <w:rsid w:val="10C055FF"/>
    <w:rsid w:val="10FC5772"/>
    <w:rsid w:val="113A4C18"/>
    <w:rsid w:val="11603F53"/>
    <w:rsid w:val="117479FE"/>
    <w:rsid w:val="11772AA4"/>
    <w:rsid w:val="118107EC"/>
    <w:rsid w:val="11987B90"/>
    <w:rsid w:val="11DF7EC4"/>
    <w:rsid w:val="123A29F6"/>
    <w:rsid w:val="125A3098"/>
    <w:rsid w:val="12A36285"/>
    <w:rsid w:val="12AA7B7B"/>
    <w:rsid w:val="12D1335A"/>
    <w:rsid w:val="12F526AB"/>
    <w:rsid w:val="13023513"/>
    <w:rsid w:val="13545D39"/>
    <w:rsid w:val="13957196"/>
    <w:rsid w:val="13AE5449"/>
    <w:rsid w:val="13C44C6D"/>
    <w:rsid w:val="13D44784"/>
    <w:rsid w:val="13D50BC4"/>
    <w:rsid w:val="13F05A62"/>
    <w:rsid w:val="14022904"/>
    <w:rsid w:val="141D437D"/>
    <w:rsid w:val="141F1EA3"/>
    <w:rsid w:val="143376FC"/>
    <w:rsid w:val="144E2788"/>
    <w:rsid w:val="14A319AA"/>
    <w:rsid w:val="14A64372"/>
    <w:rsid w:val="14FB46BE"/>
    <w:rsid w:val="15082937"/>
    <w:rsid w:val="152F2A07"/>
    <w:rsid w:val="15316332"/>
    <w:rsid w:val="15363948"/>
    <w:rsid w:val="158C2113"/>
    <w:rsid w:val="161B48EC"/>
    <w:rsid w:val="16487268"/>
    <w:rsid w:val="165E0673"/>
    <w:rsid w:val="16BB723D"/>
    <w:rsid w:val="16F13FCB"/>
    <w:rsid w:val="16FE3FF2"/>
    <w:rsid w:val="170840C9"/>
    <w:rsid w:val="171B1048"/>
    <w:rsid w:val="174340FA"/>
    <w:rsid w:val="17AD5A18"/>
    <w:rsid w:val="17AD77C6"/>
    <w:rsid w:val="17BE19D3"/>
    <w:rsid w:val="182F1E85"/>
    <w:rsid w:val="1840688C"/>
    <w:rsid w:val="186504BB"/>
    <w:rsid w:val="188D7D23"/>
    <w:rsid w:val="18A4506D"/>
    <w:rsid w:val="18C272A1"/>
    <w:rsid w:val="18D375AE"/>
    <w:rsid w:val="19143FA0"/>
    <w:rsid w:val="1938089F"/>
    <w:rsid w:val="193B777F"/>
    <w:rsid w:val="194406A1"/>
    <w:rsid w:val="19445F08"/>
    <w:rsid w:val="195F2D42"/>
    <w:rsid w:val="1981715C"/>
    <w:rsid w:val="19953677"/>
    <w:rsid w:val="19A445FC"/>
    <w:rsid w:val="19D84FCE"/>
    <w:rsid w:val="19DC3F2C"/>
    <w:rsid w:val="1A037030"/>
    <w:rsid w:val="1A91517D"/>
    <w:rsid w:val="1AE03D00"/>
    <w:rsid w:val="1B7D550C"/>
    <w:rsid w:val="1BCF7220"/>
    <w:rsid w:val="1BE8440E"/>
    <w:rsid w:val="1C13053F"/>
    <w:rsid w:val="1C1C4F1A"/>
    <w:rsid w:val="1C626DD1"/>
    <w:rsid w:val="1C67088B"/>
    <w:rsid w:val="1C6A2129"/>
    <w:rsid w:val="1C9D42AD"/>
    <w:rsid w:val="1CF540E9"/>
    <w:rsid w:val="1D0E6F59"/>
    <w:rsid w:val="1D155CEE"/>
    <w:rsid w:val="1DE178F3"/>
    <w:rsid w:val="1E740ACF"/>
    <w:rsid w:val="1EF81C6E"/>
    <w:rsid w:val="1EF9516B"/>
    <w:rsid w:val="1F2E5690"/>
    <w:rsid w:val="1F444EB4"/>
    <w:rsid w:val="1F460C2C"/>
    <w:rsid w:val="1F536EA5"/>
    <w:rsid w:val="1F664E2A"/>
    <w:rsid w:val="1FA01408"/>
    <w:rsid w:val="1FBC2C9C"/>
    <w:rsid w:val="1FF35744"/>
    <w:rsid w:val="1FF6BC77"/>
    <w:rsid w:val="201534EB"/>
    <w:rsid w:val="20230F6D"/>
    <w:rsid w:val="20384A18"/>
    <w:rsid w:val="20937EA1"/>
    <w:rsid w:val="20D12777"/>
    <w:rsid w:val="21115269"/>
    <w:rsid w:val="213056EF"/>
    <w:rsid w:val="216E38B5"/>
    <w:rsid w:val="216E7FC6"/>
    <w:rsid w:val="21962A9E"/>
    <w:rsid w:val="21966580"/>
    <w:rsid w:val="21AE7C77"/>
    <w:rsid w:val="224F429B"/>
    <w:rsid w:val="229B4DEB"/>
    <w:rsid w:val="22A243CB"/>
    <w:rsid w:val="22A55C69"/>
    <w:rsid w:val="22BC3C41"/>
    <w:rsid w:val="23643446"/>
    <w:rsid w:val="23860B96"/>
    <w:rsid w:val="23AE6D9F"/>
    <w:rsid w:val="23CE2F9E"/>
    <w:rsid w:val="240371BF"/>
    <w:rsid w:val="24572F93"/>
    <w:rsid w:val="24B959FC"/>
    <w:rsid w:val="25137802"/>
    <w:rsid w:val="25281788"/>
    <w:rsid w:val="252F3F10"/>
    <w:rsid w:val="255045B2"/>
    <w:rsid w:val="2573204F"/>
    <w:rsid w:val="25926D1F"/>
    <w:rsid w:val="25F72C80"/>
    <w:rsid w:val="260F557C"/>
    <w:rsid w:val="267A740D"/>
    <w:rsid w:val="26920BFA"/>
    <w:rsid w:val="26C2328E"/>
    <w:rsid w:val="26C863CA"/>
    <w:rsid w:val="26DB434F"/>
    <w:rsid w:val="26E256DE"/>
    <w:rsid w:val="27135897"/>
    <w:rsid w:val="27167136"/>
    <w:rsid w:val="2736070E"/>
    <w:rsid w:val="275F0ADD"/>
    <w:rsid w:val="27693709"/>
    <w:rsid w:val="279F712B"/>
    <w:rsid w:val="27A209C9"/>
    <w:rsid w:val="27E50D70"/>
    <w:rsid w:val="281408E2"/>
    <w:rsid w:val="28A15125"/>
    <w:rsid w:val="28C3509B"/>
    <w:rsid w:val="296C74E1"/>
    <w:rsid w:val="29AE5C47"/>
    <w:rsid w:val="29B61768"/>
    <w:rsid w:val="29FD04D3"/>
    <w:rsid w:val="2A4E6BE6"/>
    <w:rsid w:val="2A510485"/>
    <w:rsid w:val="2AB27175"/>
    <w:rsid w:val="2AD9271F"/>
    <w:rsid w:val="2ADC0696"/>
    <w:rsid w:val="2B0F45C8"/>
    <w:rsid w:val="2B12230A"/>
    <w:rsid w:val="2B2D4A4E"/>
    <w:rsid w:val="2B312790"/>
    <w:rsid w:val="2B7B6D2D"/>
    <w:rsid w:val="2BFF7BC6"/>
    <w:rsid w:val="2C161986"/>
    <w:rsid w:val="2C2E0A7D"/>
    <w:rsid w:val="2C491D5B"/>
    <w:rsid w:val="2C752B50"/>
    <w:rsid w:val="2C7C6C54"/>
    <w:rsid w:val="2C8A61B5"/>
    <w:rsid w:val="2C924EF1"/>
    <w:rsid w:val="2CA174A1"/>
    <w:rsid w:val="2CC15D95"/>
    <w:rsid w:val="2CC60333"/>
    <w:rsid w:val="2CDC2BCF"/>
    <w:rsid w:val="2D2E01CF"/>
    <w:rsid w:val="2D4F15F3"/>
    <w:rsid w:val="2D887638"/>
    <w:rsid w:val="2DA3549B"/>
    <w:rsid w:val="2DD45655"/>
    <w:rsid w:val="2DE25FC3"/>
    <w:rsid w:val="2DF04E50"/>
    <w:rsid w:val="2DFB52D7"/>
    <w:rsid w:val="2E160DCA"/>
    <w:rsid w:val="2E1667C1"/>
    <w:rsid w:val="2E171684"/>
    <w:rsid w:val="2E1F2D74"/>
    <w:rsid w:val="2E3D144C"/>
    <w:rsid w:val="2E644C2A"/>
    <w:rsid w:val="2E7F7CB6"/>
    <w:rsid w:val="2E9545B0"/>
    <w:rsid w:val="2EEE0998"/>
    <w:rsid w:val="2F040D46"/>
    <w:rsid w:val="2F0D0E1E"/>
    <w:rsid w:val="2F3B7ABC"/>
    <w:rsid w:val="2F590507"/>
    <w:rsid w:val="2F792957"/>
    <w:rsid w:val="2F967065"/>
    <w:rsid w:val="2FAA2B11"/>
    <w:rsid w:val="2FAE5751"/>
    <w:rsid w:val="2FB1A395"/>
    <w:rsid w:val="2FBC45F2"/>
    <w:rsid w:val="2FC82F97"/>
    <w:rsid w:val="2FD9A7D8"/>
    <w:rsid w:val="2FE222AB"/>
    <w:rsid w:val="30406FD1"/>
    <w:rsid w:val="305B3E0B"/>
    <w:rsid w:val="30B8300C"/>
    <w:rsid w:val="30BA044C"/>
    <w:rsid w:val="31102E48"/>
    <w:rsid w:val="31280191"/>
    <w:rsid w:val="318D3FEB"/>
    <w:rsid w:val="319F7F4E"/>
    <w:rsid w:val="31CD0D39"/>
    <w:rsid w:val="321B2544"/>
    <w:rsid w:val="32222E32"/>
    <w:rsid w:val="32427031"/>
    <w:rsid w:val="327F64D7"/>
    <w:rsid w:val="329D4BAF"/>
    <w:rsid w:val="3304709D"/>
    <w:rsid w:val="33222D35"/>
    <w:rsid w:val="333F7A14"/>
    <w:rsid w:val="33460DA3"/>
    <w:rsid w:val="33770F5C"/>
    <w:rsid w:val="338F274A"/>
    <w:rsid w:val="3392223A"/>
    <w:rsid w:val="33D20888"/>
    <w:rsid w:val="33F627C9"/>
    <w:rsid w:val="34281836"/>
    <w:rsid w:val="343230D5"/>
    <w:rsid w:val="349D6851"/>
    <w:rsid w:val="351078BA"/>
    <w:rsid w:val="358B0CEF"/>
    <w:rsid w:val="359D0A22"/>
    <w:rsid w:val="35B00755"/>
    <w:rsid w:val="35BA6CAF"/>
    <w:rsid w:val="35BC70FA"/>
    <w:rsid w:val="35D37231"/>
    <w:rsid w:val="363B0967"/>
    <w:rsid w:val="364D14C1"/>
    <w:rsid w:val="36AA5135"/>
    <w:rsid w:val="36AD1F52"/>
    <w:rsid w:val="36BC5DCD"/>
    <w:rsid w:val="36BE0DA7"/>
    <w:rsid w:val="374C0952"/>
    <w:rsid w:val="376B6AA6"/>
    <w:rsid w:val="376D39B2"/>
    <w:rsid w:val="377A101B"/>
    <w:rsid w:val="37904CE2"/>
    <w:rsid w:val="37CD3840"/>
    <w:rsid w:val="37E16F03"/>
    <w:rsid w:val="37F53A3B"/>
    <w:rsid w:val="384358B1"/>
    <w:rsid w:val="389B6C89"/>
    <w:rsid w:val="389B749B"/>
    <w:rsid w:val="38D469F0"/>
    <w:rsid w:val="390A63CE"/>
    <w:rsid w:val="393F42CA"/>
    <w:rsid w:val="39627CCD"/>
    <w:rsid w:val="397321C6"/>
    <w:rsid w:val="397BAF1F"/>
    <w:rsid w:val="39B32F0A"/>
    <w:rsid w:val="3A4B4EF0"/>
    <w:rsid w:val="3A8D375B"/>
    <w:rsid w:val="3AAC1E33"/>
    <w:rsid w:val="3AAF547F"/>
    <w:rsid w:val="3AB79AF3"/>
    <w:rsid w:val="3AC151B3"/>
    <w:rsid w:val="3AE75812"/>
    <w:rsid w:val="3B1D4814"/>
    <w:rsid w:val="3B293484"/>
    <w:rsid w:val="3B4A51A8"/>
    <w:rsid w:val="3B7EF35A"/>
    <w:rsid w:val="3B9FDB6C"/>
    <w:rsid w:val="3BBB7E54"/>
    <w:rsid w:val="3BF5BC2F"/>
    <w:rsid w:val="3CDE2414"/>
    <w:rsid w:val="3CEBA265"/>
    <w:rsid w:val="3D112421"/>
    <w:rsid w:val="3D151043"/>
    <w:rsid w:val="3D2F32FE"/>
    <w:rsid w:val="3D540B55"/>
    <w:rsid w:val="3D98207C"/>
    <w:rsid w:val="3D9B0D99"/>
    <w:rsid w:val="3D9D1F07"/>
    <w:rsid w:val="3DB35286"/>
    <w:rsid w:val="3DED69EA"/>
    <w:rsid w:val="3DEE7CF3"/>
    <w:rsid w:val="3DF02244"/>
    <w:rsid w:val="3DFA79FE"/>
    <w:rsid w:val="3E3418EB"/>
    <w:rsid w:val="3E4660FB"/>
    <w:rsid w:val="3E78745D"/>
    <w:rsid w:val="3EA34EEA"/>
    <w:rsid w:val="3EB7668D"/>
    <w:rsid w:val="3EDF3E59"/>
    <w:rsid w:val="3F03223E"/>
    <w:rsid w:val="3F3348D1"/>
    <w:rsid w:val="3F47037C"/>
    <w:rsid w:val="3F8E7F72"/>
    <w:rsid w:val="3F93536F"/>
    <w:rsid w:val="3F9904AC"/>
    <w:rsid w:val="3FF4CAE0"/>
    <w:rsid w:val="3FF7B227"/>
    <w:rsid w:val="402E32EA"/>
    <w:rsid w:val="40A07B08"/>
    <w:rsid w:val="40C357E1"/>
    <w:rsid w:val="40E54C45"/>
    <w:rsid w:val="41313393"/>
    <w:rsid w:val="41654AEA"/>
    <w:rsid w:val="41923405"/>
    <w:rsid w:val="41C37A62"/>
    <w:rsid w:val="41DA7286"/>
    <w:rsid w:val="41EC6FB9"/>
    <w:rsid w:val="42100EF9"/>
    <w:rsid w:val="42555C61"/>
    <w:rsid w:val="42D9753D"/>
    <w:rsid w:val="42E14644"/>
    <w:rsid w:val="436332AB"/>
    <w:rsid w:val="43860D47"/>
    <w:rsid w:val="438A0837"/>
    <w:rsid w:val="439B2A45"/>
    <w:rsid w:val="43A407DF"/>
    <w:rsid w:val="43C24475"/>
    <w:rsid w:val="440C749E"/>
    <w:rsid w:val="44354C47"/>
    <w:rsid w:val="444E3F5B"/>
    <w:rsid w:val="44515BEA"/>
    <w:rsid w:val="4454784A"/>
    <w:rsid w:val="44735770"/>
    <w:rsid w:val="4497145E"/>
    <w:rsid w:val="449C7B1F"/>
    <w:rsid w:val="44BC4C8B"/>
    <w:rsid w:val="44CC6C2E"/>
    <w:rsid w:val="44E268DA"/>
    <w:rsid w:val="453F7E5B"/>
    <w:rsid w:val="455F7AA2"/>
    <w:rsid w:val="457C180D"/>
    <w:rsid w:val="46081EE8"/>
    <w:rsid w:val="461940F5"/>
    <w:rsid w:val="465F41FD"/>
    <w:rsid w:val="4678706D"/>
    <w:rsid w:val="46D324F5"/>
    <w:rsid w:val="46FC37FA"/>
    <w:rsid w:val="471D19C3"/>
    <w:rsid w:val="476D64A6"/>
    <w:rsid w:val="47A345BE"/>
    <w:rsid w:val="481C1C7A"/>
    <w:rsid w:val="482A083B"/>
    <w:rsid w:val="4860600B"/>
    <w:rsid w:val="486A6C7A"/>
    <w:rsid w:val="488717E9"/>
    <w:rsid w:val="488C32A4"/>
    <w:rsid w:val="48F55577"/>
    <w:rsid w:val="490E3CB9"/>
    <w:rsid w:val="49176D9B"/>
    <w:rsid w:val="492D57AE"/>
    <w:rsid w:val="494006BD"/>
    <w:rsid w:val="49523BA5"/>
    <w:rsid w:val="497B0E38"/>
    <w:rsid w:val="499A72FA"/>
    <w:rsid w:val="49AD1724"/>
    <w:rsid w:val="49C10D2B"/>
    <w:rsid w:val="4A235542"/>
    <w:rsid w:val="4A58343D"/>
    <w:rsid w:val="4A606796"/>
    <w:rsid w:val="4A627F82"/>
    <w:rsid w:val="4A631DE2"/>
    <w:rsid w:val="4A7135B2"/>
    <w:rsid w:val="4AC42881"/>
    <w:rsid w:val="4ACE3700"/>
    <w:rsid w:val="4AD60806"/>
    <w:rsid w:val="4B0E749A"/>
    <w:rsid w:val="4B4F25DA"/>
    <w:rsid w:val="4BB74194"/>
    <w:rsid w:val="4BBF201F"/>
    <w:rsid w:val="4BDA0CFB"/>
    <w:rsid w:val="4BE068DB"/>
    <w:rsid w:val="4BEB208F"/>
    <w:rsid w:val="4C143394"/>
    <w:rsid w:val="4C841BE8"/>
    <w:rsid w:val="4CA74208"/>
    <w:rsid w:val="4CDB0356"/>
    <w:rsid w:val="4D3C0CCC"/>
    <w:rsid w:val="4D534390"/>
    <w:rsid w:val="4D577224"/>
    <w:rsid w:val="4D896004"/>
    <w:rsid w:val="4DA8648A"/>
    <w:rsid w:val="4DBF1CEB"/>
    <w:rsid w:val="4DFA5D5B"/>
    <w:rsid w:val="4E1E3FB1"/>
    <w:rsid w:val="4E353A96"/>
    <w:rsid w:val="4E37780E"/>
    <w:rsid w:val="4E564138"/>
    <w:rsid w:val="4EAB630A"/>
    <w:rsid w:val="4ECE2238"/>
    <w:rsid w:val="4ED25E5C"/>
    <w:rsid w:val="4F833267"/>
    <w:rsid w:val="4FCF3870"/>
    <w:rsid w:val="4FE9BD67"/>
    <w:rsid w:val="4FFB052F"/>
    <w:rsid w:val="503816B6"/>
    <w:rsid w:val="50ED2406"/>
    <w:rsid w:val="50F52960"/>
    <w:rsid w:val="51452242"/>
    <w:rsid w:val="515406D7"/>
    <w:rsid w:val="518014CC"/>
    <w:rsid w:val="51B318A1"/>
    <w:rsid w:val="51E657D3"/>
    <w:rsid w:val="52043EAB"/>
    <w:rsid w:val="52495D62"/>
    <w:rsid w:val="52E2400F"/>
    <w:rsid w:val="53083A92"/>
    <w:rsid w:val="531A2AFF"/>
    <w:rsid w:val="535A5F48"/>
    <w:rsid w:val="535D6A60"/>
    <w:rsid w:val="537E6D0A"/>
    <w:rsid w:val="53837051"/>
    <w:rsid w:val="538F59F6"/>
    <w:rsid w:val="53966B08"/>
    <w:rsid w:val="53A771E4"/>
    <w:rsid w:val="53AF27A2"/>
    <w:rsid w:val="53D23D11"/>
    <w:rsid w:val="53F74C96"/>
    <w:rsid w:val="54106B37"/>
    <w:rsid w:val="541D21E1"/>
    <w:rsid w:val="542B0B9F"/>
    <w:rsid w:val="5463135D"/>
    <w:rsid w:val="548968E9"/>
    <w:rsid w:val="54BF230B"/>
    <w:rsid w:val="54D264E2"/>
    <w:rsid w:val="54E53058"/>
    <w:rsid w:val="555111B5"/>
    <w:rsid w:val="556C5FEF"/>
    <w:rsid w:val="55717AA9"/>
    <w:rsid w:val="557D17B4"/>
    <w:rsid w:val="558F1CDD"/>
    <w:rsid w:val="55B654BC"/>
    <w:rsid w:val="561072C2"/>
    <w:rsid w:val="5647080A"/>
    <w:rsid w:val="56861332"/>
    <w:rsid w:val="569752EE"/>
    <w:rsid w:val="56A676EB"/>
    <w:rsid w:val="56DD185F"/>
    <w:rsid w:val="56DF1104"/>
    <w:rsid w:val="56E47B74"/>
    <w:rsid w:val="574216FD"/>
    <w:rsid w:val="57602687"/>
    <w:rsid w:val="57BD3DD4"/>
    <w:rsid w:val="57D32355"/>
    <w:rsid w:val="58613E05"/>
    <w:rsid w:val="586D6589"/>
    <w:rsid w:val="58CD3249"/>
    <w:rsid w:val="58F5279F"/>
    <w:rsid w:val="59561CA9"/>
    <w:rsid w:val="59E051FD"/>
    <w:rsid w:val="59EA607C"/>
    <w:rsid w:val="5A0A04CC"/>
    <w:rsid w:val="5A13112F"/>
    <w:rsid w:val="5A2126D1"/>
    <w:rsid w:val="5A5534F6"/>
    <w:rsid w:val="5A655703"/>
    <w:rsid w:val="5AF92295"/>
    <w:rsid w:val="5B2F01EA"/>
    <w:rsid w:val="5BC50747"/>
    <w:rsid w:val="5BDD79E6"/>
    <w:rsid w:val="5BEF43CF"/>
    <w:rsid w:val="5BF136F2"/>
    <w:rsid w:val="5BF561CA"/>
    <w:rsid w:val="5BF97E99"/>
    <w:rsid w:val="5BFF5DFC"/>
    <w:rsid w:val="5C1967A5"/>
    <w:rsid w:val="5C340BC3"/>
    <w:rsid w:val="5C653798"/>
    <w:rsid w:val="5C7560D1"/>
    <w:rsid w:val="5CA95D7B"/>
    <w:rsid w:val="5CD71FC4"/>
    <w:rsid w:val="5D1F11B5"/>
    <w:rsid w:val="5D4C214A"/>
    <w:rsid w:val="5D6323CD"/>
    <w:rsid w:val="5D795C3C"/>
    <w:rsid w:val="5DAE1B18"/>
    <w:rsid w:val="5DE7D9E5"/>
    <w:rsid w:val="5E280F21"/>
    <w:rsid w:val="5EA718D9"/>
    <w:rsid w:val="5ECEC941"/>
    <w:rsid w:val="5F2142EE"/>
    <w:rsid w:val="5F493CB7"/>
    <w:rsid w:val="5F9A19AB"/>
    <w:rsid w:val="5FBF9FF3"/>
    <w:rsid w:val="5FCD4E2C"/>
    <w:rsid w:val="5FD15F49"/>
    <w:rsid w:val="5FE315A4"/>
    <w:rsid w:val="5FE377F5"/>
    <w:rsid w:val="5FEF394A"/>
    <w:rsid w:val="5FF67715"/>
    <w:rsid w:val="60327E35"/>
    <w:rsid w:val="60597AB8"/>
    <w:rsid w:val="607E12CC"/>
    <w:rsid w:val="60BB1E03"/>
    <w:rsid w:val="61131A15"/>
    <w:rsid w:val="61477910"/>
    <w:rsid w:val="61954B1F"/>
    <w:rsid w:val="61CB0541"/>
    <w:rsid w:val="62361E5F"/>
    <w:rsid w:val="62426A55"/>
    <w:rsid w:val="62AC0373"/>
    <w:rsid w:val="62B31701"/>
    <w:rsid w:val="62BF3928"/>
    <w:rsid w:val="62F12229"/>
    <w:rsid w:val="632F68AE"/>
    <w:rsid w:val="63462575"/>
    <w:rsid w:val="636A0DDD"/>
    <w:rsid w:val="636C18B0"/>
    <w:rsid w:val="63AB4186"/>
    <w:rsid w:val="63E15DFA"/>
    <w:rsid w:val="642A77A1"/>
    <w:rsid w:val="647F5392"/>
    <w:rsid w:val="64A03421"/>
    <w:rsid w:val="64D82D6F"/>
    <w:rsid w:val="64E02555"/>
    <w:rsid w:val="652561BA"/>
    <w:rsid w:val="658904F7"/>
    <w:rsid w:val="65D379C4"/>
    <w:rsid w:val="66342B59"/>
    <w:rsid w:val="664B1D71"/>
    <w:rsid w:val="669730E8"/>
    <w:rsid w:val="66AD6467"/>
    <w:rsid w:val="66BB0B84"/>
    <w:rsid w:val="672D1356"/>
    <w:rsid w:val="676B07FC"/>
    <w:rsid w:val="67AA3209"/>
    <w:rsid w:val="681C4F0D"/>
    <w:rsid w:val="68690437"/>
    <w:rsid w:val="68C06926"/>
    <w:rsid w:val="69046D0F"/>
    <w:rsid w:val="691F3300"/>
    <w:rsid w:val="69317759"/>
    <w:rsid w:val="694A2693"/>
    <w:rsid w:val="697D4817"/>
    <w:rsid w:val="698D0931"/>
    <w:rsid w:val="6A4610AD"/>
    <w:rsid w:val="6A74218B"/>
    <w:rsid w:val="6A993CED"/>
    <w:rsid w:val="6ADA35A3"/>
    <w:rsid w:val="6AF74155"/>
    <w:rsid w:val="6AFF0B72"/>
    <w:rsid w:val="6B053271"/>
    <w:rsid w:val="6B431148"/>
    <w:rsid w:val="6B4631DA"/>
    <w:rsid w:val="6BCE6674"/>
    <w:rsid w:val="6C0A7EB8"/>
    <w:rsid w:val="6C276CBC"/>
    <w:rsid w:val="6C3867D3"/>
    <w:rsid w:val="6C4A05C8"/>
    <w:rsid w:val="6C5C0714"/>
    <w:rsid w:val="6C8742B8"/>
    <w:rsid w:val="6C8A170F"/>
    <w:rsid w:val="6CB54609"/>
    <w:rsid w:val="6CBA18DE"/>
    <w:rsid w:val="6CC938CF"/>
    <w:rsid w:val="6D1C7EA3"/>
    <w:rsid w:val="6D231231"/>
    <w:rsid w:val="6DA71E62"/>
    <w:rsid w:val="6DB349E1"/>
    <w:rsid w:val="6DBF5E93"/>
    <w:rsid w:val="6DC8756E"/>
    <w:rsid w:val="6DFF077E"/>
    <w:rsid w:val="6E5813AF"/>
    <w:rsid w:val="6E7E3605"/>
    <w:rsid w:val="6E7FDCC7"/>
    <w:rsid w:val="6E810905"/>
    <w:rsid w:val="6ED6A62E"/>
    <w:rsid w:val="6EDA0016"/>
    <w:rsid w:val="6EE00B15"/>
    <w:rsid w:val="6F003B47"/>
    <w:rsid w:val="6F375468"/>
    <w:rsid w:val="6F544B20"/>
    <w:rsid w:val="6F6FB3EB"/>
    <w:rsid w:val="6F784160"/>
    <w:rsid w:val="6F8731EA"/>
    <w:rsid w:val="6F8D32DA"/>
    <w:rsid w:val="6FCE6052"/>
    <w:rsid w:val="6FD57C00"/>
    <w:rsid w:val="6FD607DD"/>
    <w:rsid w:val="6FEFFFD8"/>
    <w:rsid w:val="6FF5CC65"/>
    <w:rsid w:val="6FFB47EC"/>
    <w:rsid w:val="6FFF034A"/>
    <w:rsid w:val="70496804"/>
    <w:rsid w:val="70585696"/>
    <w:rsid w:val="7060454A"/>
    <w:rsid w:val="70622071"/>
    <w:rsid w:val="70A72179"/>
    <w:rsid w:val="70C0121E"/>
    <w:rsid w:val="712A28F1"/>
    <w:rsid w:val="712B4B58"/>
    <w:rsid w:val="715C0E4B"/>
    <w:rsid w:val="715F22F8"/>
    <w:rsid w:val="71902C0D"/>
    <w:rsid w:val="71B11502"/>
    <w:rsid w:val="71F633B8"/>
    <w:rsid w:val="72233669"/>
    <w:rsid w:val="722A2139"/>
    <w:rsid w:val="722C0B88"/>
    <w:rsid w:val="72734D90"/>
    <w:rsid w:val="72954D84"/>
    <w:rsid w:val="72964253"/>
    <w:rsid w:val="729F75AC"/>
    <w:rsid w:val="72B8066E"/>
    <w:rsid w:val="7332FE48"/>
    <w:rsid w:val="73AB61DA"/>
    <w:rsid w:val="73AD73D5"/>
    <w:rsid w:val="73B6EB34"/>
    <w:rsid w:val="73D019E7"/>
    <w:rsid w:val="73ED2599"/>
    <w:rsid w:val="73F27BAF"/>
    <w:rsid w:val="73FA497D"/>
    <w:rsid w:val="74100036"/>
    <w:rsid w:val="74123DAE"/>
    <w:rsid w:val="744731E5"/>
    <w:rsid w:val="744A79EB"/>
    <w:rsid w:val="74527205"/>
    <w:rsid w:val="74BBD01D"/>
    <w:rsid w:val="74ED5379"/>
    <w:rsid w:val="74FC2395"/>
    <w:rsid w:val="751853F4"/>
    <w:rsid w:val="754A7D4B"/>
    <w:rsid w:val="755723C0"/>
    <w:rsid w:val="75AE7B06"/>
    <w:rsid w:val="75CF4E4B"/>
    <w:rsid w:val="75DEEEC2"/>
    <w:rsid w:val="75DF5F11"/>
    <w:rsid w:val="76982C90"/>
    <w:rsid w:val="769B62DC"/>
    <w:rsid w:val="76A21419"/>
    <w:rsid w:val="76E3355F"/>
    <w:rsid w:val="76FF5125"/>
    <w:rsid w:val="77440722"/>
    <w:rsid w:val="776B580A"/>
    <w:rsid w:val="776F6FFA"/>
    <w:rsid w:val="77764653"/>
    <w:rsid w:val="778769C8"/>
    <w:rsid w:val="77974CF6"/>
    <w:rsid w:val="77DC22F5"/>
    <w:rsid w:val="77E912C9"/>
    <w:rsid w:val="77F4039A"/>
    <w:rsid w:val="783469E8"/>
    <w:rsid w:val="783C5CF3"/>
    <w:rsid w:val="78917997"/>
    <w:rsid w:val="7894502F"/>
    <w:rsid w:val="78A148CA"/>
    <w:rsid w:val="78E421BD"/>
    <w:rsid w:val="78EA354B"/>
    <w:rsid w:val="79086DAD"/>
    <w:rsid w:val="79974F09"/>
    <w:rsid w:val="79D7FD79"/>
    <w:rsid w:val="79EE5BA4"/>
    <w:rsid w:val="79F006ED"/>
    <w:rsid w:val="7A8377B3"/>
    <w:rsid w:val="7A894339"/>
    <w:rsid w:val="7A923E9A"/>
    <w:rsid w:val="7AAC0AB8"/>
    <w:rsid w:val="7AFF7572"/>
    <w:rsid w:val="7B034450"/>
    <w:rsid w:val="7B187EFC"/>
    <w:rsid w:val="7B4707E1"/>
    <w:rsid w:val="7B5178B1"/>
    <w:rsid w:val="7B6C7DFB"/>
    <w:rsid w:val="7B8F3F36"/>
    <w:rsid w:val="7BA619AB"/>
    <w:rsid w:val="7BBA3575"/>
    <w:rsid w:val="7BBFBED0"/>
    <w:rsid w:val="7BC3E394"/>
    <w:rsid w:val="7BF546E1"/>
    <w:rsid w:val="7C06069C"/>
    <w:rsid w:val="7C1F3737"/>
    <w:rsid w:val="7CAA7279"/>
    <w:rsid w:val="7CBFC87B"/>
    <w:rsid w:val="7CFB1883"/>
    <w:rsid w:val="7CFE0F48"/>
    <w:rsid w:val="7D7EC23E"/>
    <w:rsid w:val="7D871368"/>
    <w:rsid w:val="7D8E070A"/>
    <w:rsid w:val="7D916348"/>
    <w:rsid w:val="7D9677FD"/>
    <w:rsid w:val="7DA261A2"/>
    <w:rsid w:val="7E002EC9"/>
    <w:rsid w:val="7E751B09"/>
    <w:rsid w:val="7E7A711F"/>
    <w:rsid w:val="7E8ADEBF"/>
    <w:rsid w:val="7E8D6E52"/>
    <w:rsid w:val="7EB55741"/>
    <w:rsid w:val="7EEF11D3"/>
    <w:rsid w:val="7EFC5D86"/>
    <w:rsid w:val="7F0971A6"/>
    <w:rsid w:val="7F2F1CB8"/>
    <w:rsid w:val="7F34107C"/>
    <w:rsid w:val="7F3F679B"/>
    <w:rsid w:val="7F4FC4EF"/>
    <w:rsid w:val="7F5778EE"/>
    <w:rsid w:val="7F5E4D54"/>
    <w:rsid w:val="7F601E71"/>
    <w:rsid w:val="7F66100E"/>
    <w:rsid w:val="7F6E0135"/>
    <w:rsid w:val="7F980D98"/>
    <w:rsid w:val="7FA30C79"/>
    <w:rsid w:val="7FAE0E2E"/>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link w:val="36"/>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link w:val="35"/>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2"/>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3"/>
    <w:qFormat/>
    <w:uiPriority w:val="9"/>
    <w:rPr>
      <w:rFonts w:ascii="Times New Roman" w:hAnsi="Times New Roman"/>
      <w:b/>
      <w:bCs/>
      <w:kern w:val="44"/>
      <w:sz w:val="44"/>
      <w:szCs w:val="44"/>
    </w:rPr>
  </w:style>
  <w:style w:type="character" w:customStyle="1" w:styleId="29">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5">
    <w:name w:val="目录 2 Char"/>
    <w:link w:val="14"/>
    <w:qFormat/>
    <w:uiPriority w:val="39"/>
  </w:style>
  <w:style w:type="character" w:customStyle="1" w:styleId="36">
    <w:name w:val="目录 3 Char"/>
    <w:link w:val="8"/>
    <w:qFormat/>
    <w:uiPriority w:val="39"/>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chart" Target="charts/chart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chart" Target="charts/chart2.xml"/><Relationship Id="rId10" Type="http://schemas.openxmlformats.org/officeDocument/2006/relationships/image" Target="media/image3.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G:\&#25968;&#25454;&#36801;&#31227;\&#20915;&#31639;&#21450;&#20915;&#31639;&#20844;&#24320;\2025&#24180;&#20915;&#31639;&#20844;&#24320;\&#20915;&#31639;&#20844;&#24320;&#20570;&#34920;&#24213;&#31295;.et"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G:\&#25968;&#25454;&#36801;&#31227;\&#20915;&#31639;&#21450;&#20915;&#31639;&#20844;&#24320;\2025&#24180;&#20915;&#31639;&#20844;&#24320;\&#20915;&#31639;&#20844;&#24320;&#20570;&#34920;&#24213;&#31295;.et"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sz="1400" b="1" i="0" u="none" strike="noStrike" baseline="0">
                <a:solidFill>
                  <a:srgbClr val="333333"/>
                </a:solidFill>
                <a:latin typeface="Calibri" panose="020F0502020204030204" pitchFamily="2" charset="0"/>
                <a:ea typeface="Calibri" panose="020F0502020204030204" pitchFamily="2" charset="0"/>
                <a:cs typeface="Calibri" panose="020F0502020204030204" pitchFamily="2" charset="0"/>
              </a:rPr>
              <a:t>2025</a:t>
            </a:r>
            <a:r>
              <a:rPr altLang="en-US" sz="1400" b="1" i="0" u="none" strike="noStrike" baseline="0">
                <a:solidFill>
                  <a:srgbClr val="333333"/>
                </a:solidFill>
                <a:latin typeface="宋体" panose="02010600030101010101" charset="-122"/>
                <a:ea typeface="宋体" panose="02010600030101010101" charset="-122"/>
                <a:cs typeface="宋体" panose="02010600030101010101" charset="-122"/>
              </a:rPr>
              <a:t>年收入决算情况</a:t>
            </a:r>
            <a:endParaRPr lang="en-US" altLang="zh-CN" sz="11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layout>
        <c:manualLayout>
          <c:xMode val="edge"/>
          <c:yMode val="edge"/>
          <c:x val="0.325634951967364"/>
          <c:y val="0.0276179516685846"/>
        </c:manualLayout>
      </c:layout>
      <c:overlay val="0"/>
      <c:spPr>
        <a:noFill/>
        <a:ln>
          <a:noFill/>
        </a:ln>
        <a:effectLst/>
      </c:spPr>
    </c:title>
    <c:autoTitleDeleted val="0"/>
    <c:view3D>
      <c:rotX val="30"/>
      <c:rotY val="0"/>
      <c:depthPercent val="100"/>
      <c:rAngAx val="0"/>
      <c:perspective val="30"/>
    </c:view3D>
    <c:floor>
      <c:thickness val="0"/>
    </c:floor>
    <c:sideWall>
      <c:thickness val="0"/>
    </c:sideWall>
    <c:backWall>
      <c:thickness val="0"/>
    </c:backWall>
    <c:plotArea>
      <c:layout>
        <c:manualLayout>
          <c:layoutTarget val="inner"/>
          <c:xMode val="edge"/>
          <c:yMode val="edge"/>
          <c:x val="0.0368472132759851"/>
          <c:y val="0.169850402761795"/>
          <c:w val="0.942097644426898"/>
          <c:h val="0.669044879171461"/>
        </c:manualLayout>
      </c:layout>
      <c:pie3DChart>
        <c:varyColors val="1"/>
        <c:ser>
          <c:idx val="0"/>
          <c:order val="0"/>
          <c:spPr>
            <a:scene3d>
              <a:camera prst="orthographicFront"/>
              <a:lightRig rig="threePt" dir="t"/>
            </a:scene3d>
            <a:sp3d contourW="9525"/>
          </c:spPr>
          <c:explosion val="0"/>
          <c:dPt>
            <c:idx val="0"/>
            <c:bubble3D val="0"/>
            <c:explosion val="0"/>
            <c:spPr>
              <a:solidFill>
                <a:schemeClr val="accent1"/>
              </a:solidFill>
              <a:ln>
                <a:solidFill>
                  <a:schemeClr val="bg1"/>
                </a:solidFill>
              </a:ln>
              <a:effectLst/>
              <a:scene3d>
                <a:camera prst="orthographicFront"/>
                <a:lightRig rig="threePt" dir="t"/>
              </a:scene3d>
              <a:sp3d contourW="9525"/>
            </c:spPr>
          </c:dPt>
          <c:dPt>
            <c:idx val="1"/>
            <c:bubble3D val="0"/>
            <c:explosion val="0"/>
            <c:spPr>
              <a:solidFill>
                <a:schemeClr val="accent2"/>
              </a:solidFill>
              <a:ln>
                <a:solidFill>
                  <a:schemeClr val="bg1"/>
                </a:solidFill>
              </a:ln>
              <a:effectLst/>
              <a:scene3d>
                <a:camera prst="orthographicFront"/>
                <a:lightRig rig="threePt" dir="t"/>
              </a:scene3d>
              <a:sp3d contourW="9525"/>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[决算公开做表底稿.et]Sheet1!$A$28:$A$29</c:f>
              <c:strCache>
                <c:ptCount val="2"/>
                <c:pt idx="0">
                  <c:v>一般公共预算财政拨款收入（万元）</c:v>
                </c:pt>
              </c:strCache>
            </c:strRef>
          </c:cat>
          <c:val>
            <c:numRef>
              <c:f>[决算公开做表底稿.et]Sheet1!$B$28:$B$29</c:f>
              <c:numCache>
                <c:formatCode>General</c:formatCode>
                <c:ptCount val="2"/>
                <c:pt idx="0">
                  <c:v>536.49</c:v>
                </c:pt>
              </c:numCache>
            </c:numRef>
          </c:val>
        </c:ser>
        <c:dLbls>
          <c:showLegendKey val="0"/>
          <c:showVal val="0"/>
          <c:showCatName val="0"/>
          <c:showSerName val="0"/>
          <c:showPercent val="0"/>
          <c:showBubbleSize val="0"/>
        </c:dLbls>
      </c:pie3DChart>
      <c:spPr>
        <a:noFill/>
        <a:ln>
          <a:noFill/>
        </a:ln>
        <a:effectLst/>
      </c:spPr>
    </c:plotArea>
    <c:legend>
      <c:legendPos val="t"/>
      <c:legendEntry>
        <c:idx val="1"/>
        <c:delete val="1"/>
      </c:legendEntry>
      <c:layout>
        <c:manualLayout>
          <c:xMode val="edge"/>
          <c:yMode val="edge"/>
          <c:x val="0.0704040005263851"/>
          <c:y val="0.881472957422325"/>
          <c:w val="0.851296223187262"/>
          <c:h val="0.076639815880322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becaddb-c215-448b-b6f0-23457ce31c96}"/>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27559875043388"/>
          <c:y val="0.00716674629718108"/>
        </c:manualLayout>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[决算公开做表底稿.et]Sheet1!$B$55</c:f>
              <c:strCache>
                <c:ptCount val="1"/>
                <c:pt idx="0">
                  <c:v>一般公共预算财政拨款支出（万元）</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[决算公开做表底稿.et]Sheet1!$A$56:$A$57</c:f>
              <c:strCache>
                <c:ptCount val="2"/>
                <c:pt idx="0">
                  <c:v>2024年</c:v>
                </c:pt>
                <c:pt idx="1">
                  <c:v>2025年</c:v>
                </c:pt>
              </c:strCache>
            </c:strRef>
          </c:cat>
          <c:val>
            <c:numRef>
              <c:f>[决算公开做表底稿.et]Sheet1!$B$56:$B$57</c:f>
              <c:numCache>
                <c:formatCode>General</c:formatCode>
                <c:ptCount val="2"/>
                <c:pt idx="0">
                  <c:v>392.58</c:v>
                </c:pt>
                <c:pt idx="1">
                  <c:v>536.49</c:v>
                </c:pt>
              </c:numCache>
            </c:numRef>
          </c:val>
        </c:ser>
        <c:dLbls>
          <c:showLegendKey val="0"/>
          <c:showVal val="0"/>
          <c:showCatName val="0"/>
          <c:showSerName val="0"/>
          <c:showPercent val="0"/>
          <c:showBubbleSize val="0"/>
        </c:dLbls>
        <c:gapWidth val="219"/>
        <c:overlap val="-27"/>
        <c:axId val="474290027"/>
        <c:axId val="777575647"/>
      </c:barChart>
      <c:catAx>
        <c:axId val="474290027"/>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7575647"/>
        <c:crosses val="autoZero"/>
        <c:auto val="1"/>
        <c:lblAlgn val="ctr"/>
        <c:lblOffset val="100"/>
        <c:noMultiLvlLbl val="0"/>
      </c:catAx>
      <c:valAx>
        <c:axId val="777575647"/>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4290027"/>
        <c:crosses val="autoZero"/>
        <c:crossBetween val="between"/>
      </c:valAx>
      <c:spPr>
        <a:noFill/>
        <a:ln>
          <a:noFill/>
        </a:ln>
        <a:effectLst/>
      </c:spPr>
    </c:plotArea>
    <c:plotVisOnly val="1"/>
    <c:dispBlanksAs val="gap"/>
    <c:showDLblsOverMax val="0"/>
    <c:extLst>
      <c:ext uri="{0b15fc19-7d7d-44ad-8c2d-2c3a37ce22c3}">
        <chartProps xmlns="https://web.wps.cn/et/2018/main" chartId="{682e41cf-0119-4c78-b534-879ffb13ca88}"/>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20</Pages>
  <Words>952</Words>
  <Characters>1006</Characters>
  <Lines>61</Lines>
  <Paragraphs>17</Paragraphs>
  <TotalTime>35</TotalTime>
  <ScaleCrop>false</ScaleCrop>
  <LinksUpToDate>false</LinksUpToDate>
  <CharactersWithSpaces>1113</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user</cp:lastModifiedBy>
  <cp:lastPrinted>2026-09-03T09:52:00Z</cp:lastPrinted>
  <dcterms:modified xsi:type="dcterms:W3CDTF">2026-09-14T10:40:52Z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400D301575C74348A5277D00A7902E06</vt:lpwstr>
  </property>
  <property fmtid="{D5CDD505-2E9C-101B-9397-08002B2CF9AE}" pid="4" name="KSOTemplateDocerSaveRecord">
    <vt:lpwstr>eyJoZGlkIjoiYWYxZDIxY2U1NTU1ZjRlZGNmYzg1MTM3ZDE3MTQzM2UiLCJ1c2VySWQiOiIxNjg0ODA1MDIxIn0=</vt:lpwstr>
  </property>
</Properties>
</file>