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64384">
      <w:pPr>
        <w:spacing w:line="600" w:lineRule="exact"/>
        <w:jc w:val="both"/>
        <w:outlineLvl w:val="0"/>
        <w:rPr>
          <w:rFonts w:ascii="方正小标宋简体" w:hAnsi="宋体" w:eastAsia="方正小标宋简体"/>
          <w:sz w:val="72"/>
          <w:szCs w:val="72"/>
        </w:rPr>
      </w:pPr>
      <w:bookmarkStart w:id="0" w:name="_Toc15306267"/>
    </w:p>
    <w:p w14:paraId="452FABEC">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3537F8AD">
      <w:pPr>
        <w:pStyle w:val="8"/>
        <w:jc w:val="center"/>
        <w:rPr>
          <w:rFonts w:hint="eastAsia" w:ascii="Times New Roman" w:hAnsi="Times New Roman" w:eastAsia="方正小标宋简体" w:cs="Times New Roman"/>
          <w:color w:val="auto"/>
          <w:kern w:val="2"/>
          <w:sz w:val="44"/>
          <w:szCs w:val="44"/>
          <w:highlight w:val="none"/>
          <w:lang w:val="en-US" w:eastAsia="zh-CN" w:bidi="ar-SA"/>
        </w:rPr>
      </w:pPr>
      <w:bookmarkStart w:id="1" w:name="_Toc15377193"/>
      <w:bookmarkStart w:id="2" w:name="_Toc15396597"/>
      <w:bookmarkStart w:id="3" w:name="_Toc15378441"/>
      <w:bookmarkStart w:id="4" w:name="_Toc15396475"/>
      <w:bookmarkStart w:id="5" w:name="_Toc15377425"/>
      <w:r>
        <w:rPr>
          <w:rFonts w:hint="eastAsia" w:ascii="Times New Roman" w:hAnsi="Times New Roman" w:eastAsia="方正小标宋简体" w:cs="Times New Roman"/>
          <w:color w:val="auto"/>
          <w:kern w:val="2"/>
          <w:sz w:val="44"/>
          <w:szCs w:val="44"/>
          <w:highlight w:val="none"/>
          <w:lang w:val="en-US" w:eastAsia="zh-CN" w:bidi="ar-SA"/>
        </w:rPr>
        <w:t>2024年度</w:t>
      </w:r>
      <w:bookmarkEnd w:id="1"/>
      <w:bookmarkEnd w:id="2"/>
      <w:bookmarkEnd w:id="3"/>
      <w:bookmarkEnd w:id="4"/>
      <w:bookmarkEnd w:id="5"/>
    </w:p>
    <w:p w14:paraId="1602AA7D">
      <w:pPr>
        <w:pStyle w:val="8"/>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194"/>
      <w:bookmarkStart w:id="7" w:name="_Toc15396598"/>
      <w:bookmarkStart w:id="8" w:name="_Toc15378442"/>
      <w:bookmarkStart w:id="9" w:name="_Toc15396476"/>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四川省</w:t>
      </w:r>
      <w:bookmarkEnd w:id="0"/>
      <w:bookmarkStart w:id="11" w:name="_Toc15306268"/>
      <w:r>
        <w:rPr>
          <w:rFonts w:hint="eastAsia" w:ascii="Times New Roman" w:hAnsi="Times New Roman" w:eastAsia="方正小标宋简体" w:cs="Times New Roman"/>
          <w:color w:val="auto"/>
          <w:kern w:val="2"/>
          <w:sz w:val="44"/>
          <w:szCs w:val="44"/>
          <w:highlight w:val="none"/>
          <w:lang w:val="en-US" w:eastAsia="zh-CN" w:bidi="ar-SA"/>
        </w:rPr>
        <w:t>攀枝花市卫生和计划生育</w:t>
      </w:r>
    </w:p>
    <w:p w14:paraId="054E7B0B">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监督执法支队单位决算</w:t>
      </w:r>
      <w:bookmarkEnd w:id="6"/>
      <w:bookmarkEnd w:id="7"/>
      <w:bookmarkEnd w:id="8"/>
      <w:bookmarkEnd w:id="9"/>
      <w:bookmarkEnd w:id="10"/>
      <w:bookmarkEnd w:id="11"/>
    </w:p>
    <w:p w14:paraId="3628D645">
      <w:pPr>
        <w:widowControl/>
        <w:jc w:val="center"/>
        <w:rPr>
          <w:rFonts w:ascii="黑体" w:hAnsi="黑体" w:eastAsia="黑体"/>
          <w:sz w:val="48"/>
          <w:szCs w:val="48"/>
        </w:rPr>
      </w:pPr>
      <w:r>
        <w:rPr>
          <w:rFonts w:ascii="方正小标宋简体" w:hAnsi="宋体" w:eastAsia="方正小标宋简体"/>
          <w:sz w:val="36"/>
          <w:szCs w:val="36"/>
        </w:rPr>
        <w:br w:type="page"/>
      </w:r>
    </w:p>
    <w:sdt>
      <w:sdtPr>
        <w:rPr>
          <w:rFonts w:ascii="宋体" w:hAnsi="宋体" w:eastAsia="宋体" w:cs="Times New Roman"/>
          <w:kern w:val="2"/>
          <w:sz w:val="21"/>
          <w:szCs w:val="24"/>
          <w:lang w:val="en-US" w:eastAsia="zh-CN" w:bidi="ar-SA"/>
        </w:rPr>
        <w:id w:val="147471725"/>
        <w15:color w:val="DBDBDB"/>
        <w:docPartObj>
          <w:docPartGallery w:val="Table of Contents"/>
          <w:docPartUnique/>
        </w:docPartObj>
      </w:sdtPr>
      <w:sdtEndPr>
        <w:rPr>
          <w:rFonts w:ascii="Times New Roman" w:hAnsi="Times New Roman" w:eastAsia="宋体" w:cs="Times New Roman"/>
          <w:kern w:val="2"/>
          <w:sz w:val="28"/>
          <w:szCs w:val="28"/>
          <w:lang w:val="en-US" w:eastAsia="zh-CN" w:bidi="ar-SA"/>
        </w:rPr>
      </w:sdtEndPr>
      <w:sdtContent>
        <w:p w14:paraId="1744224E">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459DFC7D">
          <w:pPr>
            <w:pStyle w:val="2"/>
            <w:rPr>
              <w:rFonts w:hint="eastAsia"/>
            </w:rPr>
          </w:pPr>
        </w:p>
        <w:p w14:paraId="0767C667">
          <w:pPr>
            <w:pStyle w:val="2"/>
            <w:jc w:val="center"/>
          </w:pPr>
          <w:r>
            <w:rPr>
              <w:rFonts w:hint="eastAsia" w:ascii="Times New Roman" w:hAnsi="Times New Roman" w:eastAsia="仿宋_GB2312" w:cs="仿宋_GB2312"/>
              <w:color w:val="auto"/>
              <w:sz w:val="32"/>
              <w:szCs w:val="32"/>
              <w:highlight w:val="none"/>
            </w:rPr>
            <w:t>公开时间：</w:t>
          </w:r>
          <w:r>
            <w:rPr>
              <w:rFonts w:hint="eastAsia" w:eastAsia="仿宋_GB2312" w:cs="仿宋_GB2312"/>
              <w:color w:val="auto"/>
              <w:sz w:val="32"/>
              <w:szCs w:val="32"/>
              <w:highlight w:val="none"/>
              <w:lang w:val="en-US" w:eastAsia="zh-CN"/>
            </w:rPr>
            <w:t>2025年9</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日</w:t>
          </w:r>
        </w:p>
        <w:p w14:paraId="76709B60">
          <w:pPr>
            <w:pStyle w:val="14"/>
            <w:tabs>
              <w:tab w:val="right" w:leader="dot" w:pos="8306"/>
              <w:tab w:val="clear" w:pos="8296"/>
            </w:tabs>
            <w:rPr>
              <w:sz w:val="28"/>
              <w:szCs w:val="28"/>
            </w:rPr>
          </w:pPr>
          <w:r>
            <w:rPr>
              <w:sz w:val="28"/>
              <w:szCs w:val="28"/>
            </w:rPr>
            <w:fldChar w:fldCharType="begin"/>
          </w:r>
          <w:r>
            <w:rPr>
              <w:sz w:val="28"/>
              <w:szCs w:val="28"/>
            </w:rPr>
            <w:instrText xml:space="preserve">TOC \o "1-2" \h \u </w:instrText>
          </w:r>
          <w:r>
            <w:rPr>
              <w:sz w:val="28"/>
              <w:szCs w:val="28"/>
            </w:rPr>
            <w:fldChar w:fldCharType="separate"/>
          </w:r>
          <w:r>
            <w:rPr>
              <w:sz w:val="28"/>
              <w:szCs w:val="28"/>
            </w:rPr>
            <w:fldChar w:fldCharType="begin"/>
          </w:r>
          <w:r>
            <w:rPr>
              <w:sz w:val="28"/>
              <w:szCs w:val="28"/>
            </w:rPr>
            <w:instrText xml:space="preserve"> HYPERLINK \l _Toc30574 </w:instrText>
          </w:r>
          <w:r>
            <w:rPr>
              <w:sz w:val="28"/>
              <w:szCs w:val="28"/>
            </w:rPr>
            <w:fldChar w:fldCharType="separate"/>
          </w:r>
          <w:r>
            <w:rPr>
              <w:rFonts w:hint="eastAsia" w:ascii="黑体" w:hAnsi="黑体" w:eastAsia="黑体"/>
              <w:sz w:val="28"/>
              <w:szCs w:val="28"/>
            </w:rPr>
            <w:t>第一部分 单位</w:t>
          </w:r>
          <w:r>
            <w:rPr>
              <w:rFonts w:hint="eastAsia" w:ascii="黑体" w:hAnsi="黑体" w:eastAsia="黑体"/>
              <w:bCs w:val="0"/>
              <w:sz w:val="28"/>
              <w:szCs w:val="28"/>
            </w:rPr>
            <w:t>概况</w:t>
          </w:r>
          <w:r>
            <w:rPr>
              <w:sz w:val="28"/>
              <w:szCs w:val="28"/>
            </w:rPr>
            <w:tab/>
          </w:r>
          <w:r>
            <w:rPr>
              <w:sz w:val="28"/>
              <w:szCs w:val="28"/>
            </w:rPr>
            <w:fldChar w:fldCharType="begin"/>
          </w:r>
          <w:r>
            <w:rPr>
              <w:sz w:val="28"/>
              <w:szCs w:val="28"/>
            </w:rPr>
            <w:instrText xml:space="preserve"> PAGEREF _Toc30574 \h </w:instrText>
          </w:r>
          <w:r>
            <w:rPr>
              <w:sz w:val="28"/>
              <w:szCs w:val="28"/>
            </w:rPr>
            <w:fldChar w:fldCharType="separate"/>
          </w:r>
          <w:r>
            <w:rPr>
              <w:sz w:val="28"/>
              <w:szCs w:val="28"/>
            </w:rPr>
            <w:t>4</w:t>
          </w:r>
          <w:r>
            <w:rPr>
              <w:sz w:val="28"/>
              <w:szCs w:val="28"/>
            </w:rPr>
            <w:fldChar w:fldCharType="end"/>
          </w:r>
          <w:r>
            <w:rPr>
              <w:sz w:val="28"/>
              <w:szCs w:val="28"/>
            </w:rPr>
            <w:fldChar w:fldCharType="end"/>
          </w:r>
        </w:p>
        <w:p w14:paraId="2C335114">
          <w:pPr>
            <w:pStyle w:val="15"/>
            <w:tabs>
              <w:tab w:val="right" w:leader="dot" w:pos="8306"/>
              <w:tab w:val="clear" w:pos="8296"/>
            </w:tabs>
            <w:rPr>
              <w:sz w:val="28"/>
              <w:szCs w:val="28"/>
            </w:rPr>
          </w:pPr>
          <w:r>
            <w:rPr>
              <w:sz w:val="28"/>
              <w:szCs w:val="28"/>
            </w:rPr>
            <w:fldChar w:fldCharType="begin"/>
          </w:r>
          <w:r>
            <w:rPr>
              <w:sz w:val="28"/>
              <w:szCs w:val="28"/>
            </w:rPr>
            <w:instrText xml:space="preserve"> HYPERLINK \l _Toc7864 </w:instrText>
          </w:r>
          <w:r>
            <w:rPr>
              <w:sz w:val="28"/>
              <w:szCs w:val="28"/>
            </w:rPr>
            <w:fldChar w:fldCharType="separate"/>
          </w:r>
          <w:r>
            <w:rPr>
              <w:rFonts w:hint="eastAsia" w:ascii="黑体" w:hAnsi="黑体" w:eastAsia="黑体"/>
              <w:bCs w:val="0"/>
              <w:sz w:val="28"/>
              <w:szCs w:val="28"/>
            </w:rPr>
            <w:t>一、</w:t>
          </w:r>
          <w:r>
            <w:rPr>
              <w:rFonts w:hint="eastAsia" w:ascii="黑体" w:hAnsi="黑体" w:eastAsia="黑体"/>
              <w:bCs w:val="0"/>
              <w:sz w:val="28"/>
              <w:szCs w:val="28"/>
              <w:lang w:val="en-US" w:eastAsia="zh-CN"/>
            </w:rPr>
            <w:t>单位</w:t>
          </w:r>
          <w:r>
            <w:rPr>
              <w:rFonts w:hint="eastAsia" w:ascii="黑体" w:hAnsi="黑体" w:eastAsia="黑体"/>
              <w:bCs w:val="0"/>
              <w:sz w:val="28"/>
              <w:szCs w:val="28"/>
            </w:rPr>
            <w:t>职责</w:t>
          </w:r>
          <w:r>
            <w:rPr>
              <w:sz w:val="28"/>
              <w:szCs w:val="28"/>
            </w:rPr>
            <w:tab/>
          </w:r>
          <w:r>
            <w:rPr>
              <w:sz w:val="28"/>
              <w:szCs w:val="28"/>
            </w:rPr>
            <w:fldChar w:fldCharType="begin"/>
          </w:r>
          <w:r>
            <w:rPr>
              <w:sz w:val="28"/>
              <w:szCs w:val="28"/>
            </w:rPr>
            <w:instrText xml:space="preserve"> PAGEREF _Toc7864 \h </w:instrText>
          </w:r>
          <w:r>
            <w:rPr>
              <w:sz w:val="28"/>
              <w:szCs w:val="28"/>
            </w:rPr>
            <w:fldChar w:fldCharType="separate"/>
          </w:r>
          <w:r>
            <w:rPr>
              <w:sz w:val="28"/>
              <w:szCs w:val="28"/>
            </w:rPr>
            <w:t>4</w:t>
          </w:r>
          <w:r>
            <w:rPr>
              <w:sz w:val="28"/>
              <w:szCs w:val="28"/>
            </w:rPr>
            <w:fldChar w:fldCharType="end"/>
          </w:r>
          <w:r>
            <w:rPr>
              <w:sz w:val="28"/>
              <w:szCs w:val="28"/>
            </w:rPr>
            <w:fldChar w:fldCharType="end"/>
          </w:r>
        </w:p>
        <w:p w14:paraId="145396E4">
          <w:pPr>
            <w:pStyle w:val="15"/>
            <w:tabs>
              <w:tab w:val="right" w:leader="dot" w:pos="8306"/>
              <w:tab w:val="clear" w:pos="8296"/>
            </w:tabs>
            <w:rPr>
              <w:sz w:val="28"/>
              <w:szCs w:val="28"/>
            </w:rPr>
          </w:pPr>
          <w:r>
            <w:rPr>
              <w:sz w:val="28"/>
              <w:szCs w:val="28"/>
            </w:rPr>
            <w:fldChar w:fldCharType="begin"/>
          </w:r>
          <w:r>
            <w:rPr>
              <w:sz w:val="28"/>
              <w:szCs w:val="28"/>
            </w:rPr>
            <w:instrText xml:space="preserve"> HYPERLINK \l _Toc15911 </w:instrText>
          </w:r>
          <w:r>
            <w:rPr>
              <w:sz w:val="28"/>
              <w:szCs w:val="28"/>
            </w:rPr>
            <w:fldChar w:fldCharType="separate"/>
          </w:r>
          <w:r>
            <w:rPr>
              <w:rFonts w:hint="eastAsia" w:ascii="黑体" w:hAnsi="黑体" w:eastAsia="黑体"/>
              <w:sz w:val="28"/>
              <w:szCs w:val="28"/>
            </w:rPr>
            <w:t>二、机构设置</w:t>
          </w:r>
          <w:r>
            <w:rPr>
              <w:sz w:val="28"/>
              <w:szCs w:val="28"/>
            </w:rPr>
            <w:tab/>
          </w:r>
          <w:r>
            <w:rPr>
              <w:sz w:val="28"/>
              <w:szCs w:val="28"/>
            </w:rPr>
            <w:fldChar w:fldCharType="begin"/>
          </w:r>
          <w:r>
            <w:rPr>
              <w:sz w:val="28"/>
              <w:szCs w:val="28"/>
            </w:rPr>
            <w:instrText xml:space="preserve"> PAGEREF _Toc15911 \h </w:instrText>
          </w:r>
          <w:r>
            <w:rPr>
              <w:sz w:val="28"/>
              <w:szCs w:val="28"/>
            </w:rPr>
            <w:fldChar w:fldCharType="separate"/>
          </w:r>
          <w:r>
            <w:rPr>
              <w:sz w:val="28"/>
              <w:szCs w:val="28"/>
            </w:rPr>
            <w:t>4</w:t>
          </w:r>
          <w:r>
            <w:rPr>
              <w:sz w:val="28"/>
              <w:szCs w:val="28"/>
            </w:rPr>
            <w:fldChar w:fldCharType="end"/>
          </w:r>
          <w:r>
            <w:rPr>
              <w:sz w:val="28"/>
              <w:szCs w:val="28"/>
            </w:rPr>
            <w:fldChar w:fldCharType="end"/>
          </w:r>
        </w:p>
        <w:p w14:paraId="09469681">
          <w:pPr>
            <w:pStyle w:val="14"/>
            <w:tabs>
              <w:tab w:val="right" w:leader="dot" w:pos="8306"/>
              <w:tab w:val="clear" w:pos="8296"/>
            </w:tabs>
            <w:rPr>
              <w:sz w:val="28"/>
              <w:szCs w:val="28"/>
            </w:rPr>
          </w:pPr>
          <w:r>
            <w:rPr>
              <w:sz w:val="28"/>
              <w:szCs w:val="28"/>
            </w:rPr>
            <w:fldChar w:fldCharType="begin"/>
          </w:r>
          <w:r>
            <w:rPr>
              <w:sz w:val="28"/>
              <w:szCs w:val="28"/>
            </w:rPr>
            <w:instrText xml:space="preserve"> HYPERLINK \l _Toc8424 </w:instrText>
          </w:r>
          <w:r>
            <w:rPr>
              <w:sz w:val="28"/>
              <w:szCs w:val="28"/>
            </w:rPr>
            <w:fldChar w:fldCharType="separate"/>
          </w:r>
          <w:r>
            <w:rPr>
              <w:rFonts w:hint="eastAsia" w:ascii="黑体" w:hAnsi="黑体" w:eastAsia="黑体"/>
              <w:sz w:val="28"/>
              <w:szCs w:val="28"/>
            </w:rPr>
            <w:t>第二部分 202</w:t>
          </w:r>
          <w:r>
            <w:rPr>
              <w:rFonts w:hint="eastAsia" w:ascii="黑体" w:hAnsi="黑体" w:eastAsia="黑体"/>
              <w:sz w:val="28"/>
              <w:szCs w:val="28"/>
              <w:lang w:val="en-US" w:eastAsia="zh-CN"/>
            </w:rPr>
            <w:t>4</w:t>
          </w:r>
          <w:r>
            <w:rPr>
              <w:rFonts w:hint="eastAsia" w:ascii="黑体" w:hAnsi="黑体" w:eastAsia="黑体"/>
              <w:sz w:val="28"/>
              <w:szCs w:val="28"/>
            </w:rPr>
            <w:t>年度</w:t>
          </w:r>
          <w:r>
            <w:rPr>
              <w:rFonts w:hint="eastAsia" w:ascii="黑体" w:hAnsi="黑体" w:eastAsia="黑体"/>
              <w:bCs/>
              <w:sz w:val="28"/>
              <w:szCs w:val="28"/>
            </w:rPr>
            <w:t>单位决算情况说明</w:t>
          </w:r>
          <w:r>
            <w:rPr>
              <w:sz w:val="28"/>
              <w:szCs w:val="28"/>
            </w:rPr>
            <w:tab/>
          </w:r>
          <w:r>
            <w:rPr>
              <w:sz w:val="28"/>
              <w:szCs w:val="28"/>
            </w:rPr>
            <w:fldChar w:fldCharType="begin"/>
          </w:r>
          <w:r>
            <w:rPr>
              <w:sz w:val="28"/>
              <w:szCs w:val="28"/>
            </w:rPr>
            <w:instrText xml:space="preserve"> PAGEREF _Toc8424 \h </w:instrText>
          </w:r>
          <w:r>
            <w:rPr>
              <w:sz w:val="28"/>
              <w:szCs w:val="28"/>
            </w:rPr>
            <w:fldChar w:fldCharType="separate"/>
          </w:r>
          <w:r>
            <w:rPr>
              <w:sz w:val="28"/>
              <w:szCs w:val="28"/>
            </w:rPr>
            <w:t>5</w:t>
          </w:r>
          <w:r>
            <w:rPr>
              <w:sz w:val="28"/>
              <w:szCs w:val="28"/>
            </w:rPr>
            <w:fldChar w:fldCharType="end"/>
          </w:r>
          <w:r>
            <w:rPr>
              <w:sz w:val="28"/>
              <w:szCs w:val="28"/>
            </w:rPr>
            <w:fldChar w:fldCharType="end"/>
          </w:r>
        </w:p>
        <w:p w14:paraId="3B5F82DF">
          <w:pPr>
            <w:pStyle w:val="15"/>
            <w:tabs>
              <w:tab w:val="right" w:leader="dot" w:pos="8306"/>
              <w:tab w:val="clear" w:pos="8296"/>
            </w:tabs>
            <w:rPr>
              <w:sz w:val="28"/>
              <w:szCs w:val="28"/>
            </w:rPr>
          </w:pPr>
          <w:r>
            <w:rPr>
              <w:sz w:val="28"/>
              <w:szCs w:val="28"/>
            </w:rPr>
            <w:fldChar w:fldCharType="begin"/>
          </w:r>
          <w:r>
            <w:rPr>
              <w:sz w:val="28"/>
              <w:szCs w:val="28"/>
            </w:rPr>
            <w:instrText xml:space="preserve"> HYPERLINK \l _Toc29357 </w:instrText>
          </w:r>
          <w:r>
            <w:rPr>
              <w:sz w:val="28"/>
              <w:szCs w:val="28"/>
            </w:rPr>
            <w:fldChar w:fldCharType="separate"/>
          </w:r>
          <w:r>
            <w:rPr>
              <w:rFonts w:hint="default" w:ascii="黑体" w:hAnsi="黑体" w:eastAsia="黑体"/>
              <w:sz w:val="28"/>
              <w:szCs w:val="28"/>
            </w:rPr>
            <w:t>一、</w:t>
          </w:r>
          <w:r>
            <w:rPr>
              <w:rFonts w:hint="eastAsia" w:ascii="黑体" w:hAnsi="黑体" w:eastAsia="黑体"/>
              <w:sz w:val="28"/>
              <w:szCs w:val="28"/>
            </w:rPr>
            <w:t>收入支出决算总体情况说明</w:t>
          </w:r>
          <w:r>
            <w:rPr>
              <w:sz w:val="28"/>
              <w:szCs w:val="28"/>
            </w:rPr>
            <w:tab/>
          </w:r>
          <w:r>
            <w:rPr>
              <w:sz w:val="28"/>
              <w:szCs w:val="28"/>
            </w:rPr>
            <w:fldChar w:fldCharType="begin"/>
          </w:r>
          <w:r>
            <w:rPr>
              <w:sz w:val="28"/>
              <w:szCs w:val="28"/>
            </w:rPr>
            <w:instrText xml:space="preserve"> PAGEREF _Toc29357 \h </w:instrText>
          </w:r>
          <w:r>
            <w:rPr>
              <w:sz w:val="28"/>
              <w:szCs w:val="28"/>
            </w:rPr>
            <w:fldChar w:fldCharType="separate"/>
          </w:r>
          <w:r>
            <w:rPr>
              <w:sz w:val="28"/>
              <w:szCs w:val="28"/>
            </w:rPr>
            <w:t>5</w:t>
          </w:r>
          <w:r>
            <w:rPr>
              <w:sz w:val="28"/>
              <w:szCs w:val="28"/>
            </w:rPr>
            <w:fldChar w:fldCharType="end"/>
          </w:r>
          <w:r>
            <w:rPr>
              <w:sz w:val="28"/>
              <w:szCs w:val="28"/>
            </w:rPr>
            <w:fldChar w:fldCharType="end"/>
          </w:r>
        </w:p>
        <w:p w14:paraId="0A00DEBF">
          <w:pPr>
            <w:pStyle w:val="15"/>
            <w:tabs>
              <w:tab w:val="right" w:leader="dot" w:pos="8306"/>
              <w:tab w:val="clear" w:pos="8296"/>
            </w:tabs>
            <w:rPr>
              <w:sz w:val="28"/>
              <w:szCs w:val="28"/>
            </w:rPr>
          </w:pPr>
          <w:r>
            <w:rPr>
              <w:sz w:val="28"/>
              <w:szCs w:val="28"/>
            </w:rPr>
            <w:fldChar w:fldCharType="begin"/>
          </w:r>
          <w:r>
            <w:rPr>
              <w:sz w:val="28"/>
              <w:szCs w:val="28"/>
            </w:rPr>
            <w:instrText xml:space="preserve"> HYPERLINK \l _Toc6071 </w:instrText>
          </w:r>
          <w:r>
            <w:rPr>
              <w:sz w:val="28"/>
              <w:szCs w:val="28"/>
            </w:rPr>
            <w:fldChar w:fldCharType="separate"/>
          </w:r>
          <w:r>
            <w:rPr>
              <w:rFonts w:hint="default" w:ascii="黑体" w:hAnsi="黑体" w:eastAsia="黑体"/>
              <w:sz w:val="28"/>
              <w:szCs w:val="28"/>
            </w:rPr>
            <w:t>二、</w:t>
          </w:r>
          <w:r>
            <w:rPr>
              <w:rFonts w:hint="eastAsia" w:ascii="黑体" w:hAnsi="黑体" w:eastAsia="黑体"/>
              <w:sz w:val="28"/>
              <w:szCs w:val="28"/>
            </w:rPr>
            <w:t>收入决算情况说明</w:t>
          </w:r>
          <w:r>
            <w:rPr>
              <w:sz w:val="28"/>
              <w:szCs w:val="28"/>
            </w:rPr>
            <w:tab/>
          </w:r>
          <w:r>
            <w:rPr>
              <w:sz w:val="28"/>
              <w:szCs w:val="28"/>
            </w:rPr>
            <w:fldChar w:fldCharType="begin"/>
          </w:r>
          <w:r>
            <w:rPr>
              <w:sz w:val="28"/>
              <w:szCs w:val="28"/>
            </w:rPr>
            <w:instrText xml:space="preserve"> PAGEREF _Toc6071 \h </w:instrText>
          </w:r>
          <w:r>
            <w:rPr>
              <w:sz w:val="28"/>
              <w:szCs w:val="28"/>
            </w:rPr>
            <w:fldChar w:fldCharType="separate"/>
          </w:r>
          <w:r>
            <w:rPr>
              <w:sz w:val="28"/>
              <w:szCs w:val="28"/>
            </w:rPr>
            <w:t>5</w:t>
          </w:r>
          <w:r>
            <w:rPr>
              <w:sz w:val="28"/>
              <w:szCs w:val="28"/>
            </w:rPr>
            <w:fldChar w:fldCharType="end"/>
          </w:r>
          <w:r>
            <w:rPr>
              <w:sz w:val="28"/>
              <w:szCs w:val="28"/>
            </w:rPr>
            <w:fldChar w:fldCharType="end"/>
          </w:r>
        </w:p>
        <w:p w14:paraId="57B27F3B">
          <w:pPr>
            <w:pStyle w:val="15"/>
            <w:tabs>
              <w:tab w:val="right" w:leader="dot" w:pos="8306"/>
              <w:tab w:val="clear" w:pos="8296"/>
            </w:tabs>
            <w:rPr>
              <w:sz w:val="28"/>
              <w:szCs w:val="28"/>
            </w:rPr>
          </w:pPr>
          <w:r>
            <w:rPr>
              <w:sz w:val="28"/>
              <w:szCs w:val="28"/>
            </w:rPr>
            <w:fldChar w:fldCharType="begin"/>
          </w:r>
          <w:r>
            <w:rPr>
              <w:sz w:val="28"/>
              <w:szCs w:val="28"/>
            </w:rPr>
            <w:instrText xml:space="preserve"> HYPERLINK \l _Toc58 </w:instrText>
          </w:r>
          <w:r>
            <w:rPr>
              <w:sz w:val="28"/>
              <w:szCs w:val="28"/>
            </w:rPr>
            <w:fldChar w:fldCharType="separate"/>
          </w:r>
          <w:r>
            <w:rPr>
              <w:rFonts w:hint="default" w:ascii="黑体" w:hAnsi="黑体" w:eastAsia="黑体"/>
              <w:sz w:val="28"/>
              <w:szCs w:val="28"/>
            </w:rPr>
            <w:t>三、</w:t>
          </w:r>
          <w:r>
            <w:rPr>
              <w:rFonts w:hint="eastAsia" w:ascii="黑体" w:hAnsi="黑体" w:eastAsia="黑体"/>
              <w:sz w:val="28"/>
              <w:szCs w:val="28"/>
            </w:rPr>
            <w:t>支出决算情况说明</w:t>
          </w:r>
          <w:r>
            <w:rPr>
              <w:sz w:val="28"/>
              <w:szCs w:val="28"/>
            </w:rPr>
            <w:tab/>
          </w:r>
          <w:r>
            <w:rPr>
              <w:sz w:val="28"/>
              <w:szCs w:val="28"/>
            </w:rPr>
            <w:fldChar w:fldCharType="begin"/>
          </w:r>
          <w:r>
            <w:rPr>
              <w:sz w:val="28"/>
              <w:szCs w:val="28"/>
            </w:rPr>
            <w:instrText xml:space="preserve"> PAGEREF _Toc58 \h </w:instrText>
          </w:r>
          <w:r>
            <w:rPr>
              <w:sz w:val="28"/>
              <w:szCs w:val="28"/>
            </w:rPr>
            <w:fldChar w:fldCharType="separate"/>
          </w:r>
          <w:r>
            <w:rPr>
              <w:sz w:val="28"/>
              <w:szCs w:val="28"/>
            </w:rPr>
            <w:t>6</w:t>
          </w:r>
          <w:r>
            <w:rPr>
              <w:sz w:val="28"/>
              <w:szCs w:val="28"/>
            </w:rPr>
            <w:fldChar w:fldCharType="end"/>
          </w:r>
          <w:r>
            <w:rPr>
              <w:sz w:val="28"/>
              <w:szCs w:val="28"/>
            </w:rPr>
            <w:fldChar w:fldCharType="end"/>
          </w:r>
        </w:p>
        <w:p w14:paraId="5DFD61D5">
          <w:pPr>
            <w:pStyle w:val="15"/>
            <w:tabs>
              <w:tab w:val="right" w:leader="dot" w:pos="8306"/>
              <w:tab w:val="clear" w:pos="8296"/>
            </w:tabs>
            <w:rPr>
              <w:sz w:val="28"/>
              <w:szCs w:val="28"/>
            </w:rPr>
          </w:pPr>
          <w:r>
            <w:rPr>
              <w:sz w:val="28"/>
              <w:szCs w:val="28"/>
            </w:rPr>
            <w:fldChar w:fldCharType="begin"/>
          </w:r>
          <w:r>
            <w:rPr>
              <w:sz w:val="28"/>
              <w:szCs w:val="28"/>
            </w:rPr>
            <w:instrText xml:space="preserve"> HYPERLINK \l _Toc15063 </w:instrText>
          </w:r>
          <w:r>
            <w:rPr>
              <w:sz w:val="28"/>
              <w:szCs w:val="28"/>
            </w:rPr>
            <w:fldChar w:fldCharType="separate"/>
          </w:r>
          <w:r>
            <w:rPr>
              <w:rFonts w:hint="eastAsia" w:ascii="黑体" w:hAnsi="黑体" w:eastAsia="黑体"/>
              <w:sz w:val="28"/>
              <w:szCs w:val="28"/>
            </w:rPr>
            <w:t>四、财政拨款收入支出决算总体情况说明</w:t>
          </w:r>
          <w:r>
            <w:rPr>
              <w:sz w:val="28"/>
              <w:szCs w:val="28"/>
            </w:rPr>
            <w:tab/>
          </w:r>
          <w:r>
            <w:rPr>
              <w:sz w:val="28"/>
              <w:szCs w:val="28"/>
            </w:rPr>
            <w:fldChar w:fldCharType="begin"/>
          </w:r>
          <w:r>
            <w:rPr>
              <w:sz w:val="28"/>
              <w:szCs w:val="28"/>
            </w:rPr>
            <w:instrText xml:space="preserve"> PAGEREF _Toc15063 \h </w:instrText>
          </w:r>
          <w:r>
            <w:rPr>
              <w:sz w:val="28"/>
              <w:szCs w:val="28"/>
            </w:rPr>
            <w:fldChar w:fldCharType="separate"/>
          </w:r>
          <w:r>
            <w:rPr>
              <w:sz w:val="28"/>
              <w:szCs w:val="28"/>
            </w:rPr>
            <w:t>7</w:t>
          </w:r>
          <w:r>
            <w:rPr>
              <w:sz w:val="28"/>
              <w:szCs w:val="28"/>
            </w:rPr>
            <w:fldChar w:fldCharType="end"/>
          </w:r>
          <w:r>
            <w:rPr>
              <w:sz w:val="28"/>
              <w:szCs w:val="28"/>
            </w:rPr>
            <w:fldChar w:fldCharType="end"/>
          </w:r>
        </w:p>
        <w:p w14:paraId="38435CA6">
          <w:pPr>
            <w:pStyle w:val="15"/>
            <w:tabs>
              <w:tab w:val="right" w:leader="dot" w:pos="8306"/>
              <w:tab w:val="clear" w:pos="8296"/>
            </w:tabs>
            <w:rPr>
              <w:sz w:val="28"/>
              <w:szCs w:val="28"/>
            </w:rPr>
          </w:pPr>
          <w:r>
            <w:rPr>
              <w:sz w:val="28"/>
              <w:szCs w:val="28"/>
            </w:rPr>
            <w:fldChar w:fldCharType="begin"/>
          </w:r>
          <w:r>
            <w:rPr>
              <w:sz w:val="28"/>
              <w:szCs w:val="28"/>
            </w:rPr>
            <w:instrText xml:space="preserve"> HYPERLINK \l _Toc26552 </w:instrText>
          </w:r>
          <w:r>
            <w:rPr>
              <w:sz w:val="28"/>
              <w:szCs w:val="28"/>
            </w:rPr>
            <w:fldChar w:fldCharType="separate"/>
          </w:r>
          <w:r>
            <w:rPr>
              <w:rFonts w:hint="eastAsia" w:ascii="黑体" w:hAnsi="黑体" w:eastAsia="黑体"/>
              <w:sz w:val="28"/>
              <w:szCs w:val="28"/>
            </w:rPr>
            <w:t>五、一般公共预算财政拨款支出决算情况说明</w:t>
          </w:r>
          <w:r>
            <w:rPr>
              <w:sz w:val="28"/>
              <w:szCs w:val="28"/>
            </w:rPr>
            <w:tab/>
          </w:r>
          <w:r>
            <w:rPr>
              <w:sz w:val="28"/>
              <w:szCs w:val="28"/>
            </w:rPr>
            <w:fldChar w:fldCharType="begin"/>
          </w:r>
          <w:r>
            <w:rPr>
              <w:sz w:val="28"/>
              <w:szCs w:val="28"/>
            </w:rPr>
            <w:instrText xml:space="preserve"> PAGEREF _Toc26552 \h </w:instrText>
          </w:r>
          <w:r>
            <w:rPr>
              <w:sz w:val="28"/>
              <w:szCs w:val="28"/>
            </w:rPr>
            <w:fldChar w:fldCharType="separate"/>
          </w:r>
          <w:r>
            <w:rPr>
              <w:sz w:val="28"/>
              <w:szCs w:val="28"/>
            </w:rPr>
            <w:t>8</w:t>
          </w:r>
          <w:r>
            <w:rPr>
              <w:sz w:val="28"/>
              <w:szCs w:val="28"/>
            </w:rPr>
            <w:fldChar w:fldCharType="end"/>
          </w:r>
          <w:r>
            <w:rPr>
              <w:sz w:val="28"/>
              <w:szCs w:val="28"/>
            </w:rPr>
            <w:fldChar w:fldCharType="end"/>
          </w:r>
        </w:p>
        <w:p w14:paraId="217EC68E">
          <w:pPr>
            <w:pStyle w:val="15"/>
            <w:tabs>
              <w:tab w:val="right" w:leader="dot" w:pos="8306"/>
              <w:tab w:val="clear" w:pos="8296"/>
            </w:tabs>
            <w:rPr>
              <w:sz w:val="28"/>
              <w:szCs w:val="28"/>
            </w:rPr>
          </w:pPr>
          <w:r>
            <w:rPr>
              <w:sz w:val="28"/>
              <w:szCs w:val="28"/>
            </w:rPr>
            <w:fldChar w:fldCharType="begin"/>
          </w:r>
          <w:r>
            <w:rPr>
              <w:sz w:val="28"/>
              <w:szCs w:val="28"/>
            </w:rPr>
            <w:instrText xml:space="preserve"> HYPERLINK \l _Toc23404 </w:instrText>
          </w:r>
          <w:r>
            <w:rPr>
              <w:sz w:val="28"/>
              <w:szCs w:val="28"/>
            </w:rPr>
            <w:fldChar w:fldCharType="separate"/>
          </w:r>
          <w:r>
            <w:rPr>
              <w:rFonts w:hint="eastAsia" w:ascii="黑体" w:eastAsia="黑体"/>
              <w:sz w:val="28"/>
              <w:szCs w:val="28"/>
            </w:rPr>
            <w:t>六、</w:t>
          </w:r>
          <w:r>
            <w:rPr>
              <w:rFonts w:hint="eastAsia" w:ascii="黑体" w:hAnsi="黑体" w:eastAsia="黑体"/>
              <w:sz w:val="28"/>
              <w:szCs w:val="28"/>
            </w:rPr>
            <w:t>一般公共预算财政拨款基本支出决算情况说明</w:t>
          </w:r>
          <w:r>
            <w:rPr>
              <w:sz w:val="28"/>
              <w:szCs w:val="28"/>
            </w:rPr>
            <w:tab/>
          </w:r>
          <w:r>
            <w:rPr>
              <w:sz w:val="28"/>
              <w:szCs w:val="28"/>
            </w:rPr>
            <w:fldChar w:fldCharType="begin"/>
          </w:r>
          <w:r>
            <w:rPr>
              <w:sz w:val="28"/>
              <w:szCs w:val="28"/>
            </w:rPr>
            <w:instrText xml:space="preserve"> PAGEREF _Toc23404 \h </w:instrText>
          </w:r>
          <w:r>
            <w:rPr>
              <w:sz w:val="28"/>
              <w:szCs w:val="28"/>
            </w:rPr>
            <w:fldChar w:fldCharType="separate"/>
          </w:r>
          <w:r>
            <w:rPr>
              <w:sz w:val="28"/>
              <w:szCs w:val="28"/>
            </w:rPr>
            <w:t>11</w:t>
          </w:r>
          <w:r>
            <w:rPr>
              <w:sz w:val="28"/>
              <w:szCs w:val="28"/>
            </w:rPr>
            <w:fldChar w:fldCharType="end"/>
          </w:r>
          <w:r>
            <w:rPr>
              <w:sz w:val="28"/>
              <w:szCs w:val="28"/>
            </w:rPr>
            <w:fldChar w:fldCharType="end"/>
          </w:r>
        </w:p>
        <w:p w14:paraId="71C4C95A">
          <w:pPr>
            <w:pStyle w:val="15"/>
            <w:tabs>
              <w:tab w:val="right" w:leader="dot" w:pos="8306"/>
              <w:tab w:val="clear" w:pos="8296"/>
            </w:tabs>
            <w:rPr>
              <w:sz w:val="28"/>
              <w:szCs w:val="28"/>
            </w:rPr>
          </w:pPr>
          <w:r>
            <w:rPr>
              <w:sz w:val="28"/>
              <w:szCs w:val="28"/>
            </w:rPr>
            <w:fldChar w:fldCharType="begin"/>
          </w:r>
          <w:r>
            <w:rPr>
              <w:sz w:val="28"/>
              <w:szCs w:val="28"/>
            </w:rPr>
            <w:instrText xml:space="preserve"> HYPERLINK \l _Toc20073 </w:instrText>
          </w:r>
          <w:r>
            <w:rPr>
              <w:sz w:val="28"/>
              <w:szCs w:val="28"/>
            </w:rPr>
            <w:fldChar w:fldCharType="separate"/>
          </w:r>
          <w:r>
            <w:rPr>
              <w:rFonts w:hint="eastAsia" w:ascii="黑体" w:eastAsia="黑体"/>
              <w:sz w:val="28"/>
              <w:szCs w:val="28"/>
            </w:rPr>
            <w:t>七、</w:t>
          </w:r>
          <w:r>
            <w:rPr>
              <w:rFonts w:hint="eastAsia" w:ascii="黑体" w:hAnsi="黑体" w:eastAsia="黑体"/>
              <w:sz w:val="28"/>
              <w:szCs w:val="28"/>
            </w:rPr>
            <w:t>财政拨款“三公”经费支出决算情况说明</w:t>
          </w:r>
          <w:r>
            <w:rPr>
              <w:sz w:val="28"/>
              <w:szCs w:val="28"/>
            </w:rPr>
            <w:tab/>
          </w:r>
          <w:r>
            <w:rPr>
              <w:sz w:val="28"/>
              <w:szCs w:val="28"/>
            </w:rPr>
            <w:fldChar w:fldCharType="begin"/>
          </w:r>
          <w:r>
            <w:rPr>
              <w:sz w:val="28"/>
              <w:szCs w:val="28"/>
            </w:rPr>
            <w:instrText xml:space="preserve"> PAGEREF _Toc20073 \h </w:instrText>
          </w:r>
          <w:r>
            <w:rPr>
              <w:sz w:val="28"/>
              <w:szCs w:val="28"/>
            </w:rPr>
            <w:fldChar w:fldCharType="separate"/>
          </w:r>
          <w:r>
            <w:rPr>
              <w:sz w:val="28"/>
              <w:szCs w:val="28"/>
            </w:rPr>
            <w:t>11</w:t>
          </w:r>
          <w:r>
            <w:rPr>
              <w:sz w:val="28"/>
              <w:szCs w:val="28"/>
            </w:rPr>
            <w:fldChar w:fldCharType="end"/>
          </w:r>
          <w:r>
            <w:rPr>
              <w:sz w:val="28"/>
              <w:szCs w:val="28"/>
            </w:rPr>
            <w:fldChar w:fldCharType="end"/>
          </w:r>
        </w:p>
        <w:p w14:paraId="69F2AC1C">
          <w:pPr>
            <w:pStyle w:val="15"/>
            <w:tabs>
              <w:tab w:val="right" w:leader="dot" w:pos="8306"/>
              <w:tab w:val="clear" w:pos="8296"/>
            </w:tabs>
            <w:rPr>
              <w:sz w:val="28"/>
              <w:szCs w:val="28"/>
            </w:rPr>
          </w:pPr>
          <w:r>
            <w:rPr>
              <w:sz w:val="28"/>
              <w:szCs w:val="28"/>
            </w:rPr>
            <w:fldChar w:fldCharType="begin"/>
          </w:r>
          <w:r>
            <w:rPr>
              <w:sz w:val="28"/>
              <w:szCs w:val="28"/>
            </w:rPr>
            <w:instrText xml:space="preserve"> HYPERLINK \l _Toc4053 </w:instrText>
          </w:r>
          <w:r>
            <w:rPr>
              <w:sz w:val="28"/>
              <w:szCs w:val="28"/>
            </w:rPr>
            <w:fldChar w:fldCharType="separate"/>
          </w:r>
          <w:r>
            <w:rPr>
              <w:rFonts w:hint="eastAsia" w:ascii="黑体" w:eastAsia="黑体"/>
              <w:sz w:val="28"/>
              <w:szCs w:val="28"/>
            </w:rPr>
            <w:t>八、</w:t>
          </w:r>
          <w:r>
            <w:rPr>
              <w:rFonts w:hint="eastAsia" w:ascii="黑体" w:hAnsi="黑体" w:eastAsia="黑体"/>
              <w:sz w:val="28"/>
              <w:szCs w:val="28"/>
            </w:rPr>
            <w:t>政府性基金预算支出决算情况说明</w:t>
          </w:r>
          <w:r>
            <w:rPr>
              <w:sz w:val="28"/>
              <w:szCs w:val="28"/>
            </w:rPr>
            <w:tab/>
          </w:r>
          <w:r>
            <w:rPr>
              <w:sz w:val="28"/>
              <w:szCs w:val="28"/>
            </w:rPr>
            <w:fldChar w:fldCharType="begin"/>
          </w:r>
          <w:r>
            <w:rPr>
              <w:sz w:val="28"/>
              <w:szCs w:val="28"/>
            </w:rPr>
            <w:instrText xml:space="preserve"> PAGEREF _Toc4053 \h </w:instrText>
          </w:r>
          <w:r>
            <w:rPr>
              <w:sz w:val="28"/>
              <w:szCs w:val="28"/>
            </w:rPr>
            <w:fldChar w:fldCharType="separate"/>
          </w:r>
          <w:r>
            <w:rPr>
              <w:sz w:val="28"/>
              <w:szCs w:val="28"/>
            </w:rPr>
            <w:t>14</w:t>
          </w:r>
          <w:r>
            <w:rPr>
              <w:sz w:val="28"/>
              <w:szCs w:val="28"/>
            </w:rPr>
            <w:fldChar w:fldCharType="end"/>
          </w:r>
          <w:r>
            <w:rPr>
              <w:sz w:val="28"/>
              <w:szCs w:val="28"/>
            </w:rPr>
            <w:fldChar w:fldCharType="end"/>
          </w:r>
        </w:p>
        <w:p w14:paraId="7B254679">
          <w:pPr>
            <w:pStyle w:val="15"/>
            <w:tabs>
              <w:tab w:val="right" w:leader="dot" w:pos="8306"/>
              <w:tab w:val="clear" w:pos="8296"/>
            </w:tabs>
            <w:rPr>
              <w:sz w:val="28"/>
              <w:szCs w:val="28"/>
            </w:rPr>
          </w:pPr>
          <w:r>
            <w:rPr>
              <w:sz w:val="28"/>
              <w:szCs w:val="28"/>
            </w:rPr>
            <w:fldChar w:fldCharType="begin"/>
          </w:r>
          <w:r>
            <w:rPr>
              <w:sz w:val="28"/>
              <w:szCs w:val="28"/>
            </w:rPr>
            <w:instrText xml:space="preserve"> HYPERLINK \l _Toc11863 </w:instrText>
          </w:r>
          <w:r>
            <w:rPr>
              <w:sz w:val="28"/>
              <w:szCs w:val="28"/>
            </w:rPr>
            <w:fldChar w:fldCharType="separate"/>
          </w:r>
          <w:r>
            <w:rPr>
              <w:rFonts w:hint="eastAsia" w:ascii="黑体" w:hAnsi="黑体" w:eastAsia="黑体"/>
              <w:sz w:val="28"/>
              <w:szCs w:val="28"/>
            </w:rPr>
            <w:t>九、国有资本经营预算支出决算情况说明</w:t>
          </w:r>
          <w:r>
            <w:rPr>
              <w:sz w:val="28"/>
              <w:szCs w:val="28"/>
            </w:rPr>
            <w:tab/>
          </w:r>
          <w:r>
            <w:rPr>
              <w:sz w:val="28"/>
              <w:szCs w:val="28"/>
            </w:rPr>
            <w:fldChar w:fldCharType="begin"/>
          </w:r>
          <w:r>
            <w:rPr>
              <w:sz w:val="28"/>
              <w:szCs w:val="28"/>
            </w:rPr>
            <w:instrText xml:space="preserve"> PAGEREF _Toc11863 \h </w:instrText>
          </w:r>
          <w:r>
            <w:rPr>
              <w:sz w:val="28"/>
              <w:szCs w:val="28"/>
            </w:rPr>
            <w:fldChar w:fldCharType="separate"/>
          </w:r>
          <w:r>
            <w:rPr>
              <w:sz w:val="28"/>
              <w:szCs w:val="28"/>
            </w:rPr>
            <w:t>14</w:t>
          </w:r>
          <w:r>
            <w:rPr>
              <w:sz w:val="28"/>
              <w:szCs w:val="28"/>
            </w:rPr>
            <w:fldChar w:fldCharType="end"/>
          </w:r>
          <w:r>
            <w:rPr>
              <w:sz w:val="28"/>
              <w:szCs w:val="28"/>
            </w:rPr>
            <w:fldChar w:fldCharType="end"/>
          </w:r>
        </w:p>
        <w:p w14:paraId="0E0E9A4F">
          <w:pPr>
            <w:pStyle w:val="15"/>
            <w:tabs>
              <w:tab w:val="right" w:leader="dot" w:pos="8306"/>
              <w:tab w:val="clear" w:pos="8296"/>
            </w:tabs>
            <w:rPr>
              <w:sz w:val="28"/>
              <w:szCs w:val="28"/>
            </w:rPr>
          </w:pPr>
          <w:r>
            <w:rPr>
              <w:sz w:val="28"/>
              <w:szCs w:val="28"/>
            </w:rPr>
            <w:fldChar w:fldCharType="begin"/>
          </w:r>
          <w:r>
            <w:rPr>
              <w:sz w:val="28"/>
              <w:szCs w:val="28"/>
            </w:rPr>
            <w:instrText xml:space="preserve"> HYPERLINK \l _Toc21681 </w:instrText>
          </w:r>
          <w:r>
            <w:rPr>
              <w:sz w:val="28"/>
              <w:szCs w:val="28"/>
            </w:rPr>
            <w:fldChar w:fldCharType="separate"/>
          </w:r>
          <w:r>
            <w:rPr>
              <w:rFonts w:hint="eastAsia" w:ascii="黑体" w:hAnsi="黑体" w:eastAsia="黑体"/>
              <w:sz w:val="28"/>
              <w:szCs w:val="28"/>
            </w:rPr>
            <w:t>十、其他重要事项的情况说明</w:t>
          </w:r>
          <w:r>
            <w:rPr>
              <w:sz w:val="28"/>
              <w:szCs w:val="28"/>
            </w:rPr>
            <w:tab/>
          </w:r>
          <w:r>
            <w:rPr>
              <w:sz w:val="28"/>
              <w:szCs w:val="28"/>
            </w:rPr>
            <w:fldChar w:fldCharType="begin"/>
          </w:r>
          <w:r>
            <w:rPr>
              <w:sz w:val="28"/>
              <w:szCs w:val="28"/>
            </w:rPr>
            <w:instrText xml:space="preserve"> PAGEREF _Toc21681 \h </w:instrText>
          </w:r>
          <w:r>
            <w:rPr>
              <w:sz w:val="28"/>
              <w:szCs w:val="28"/>
            </w:rPr>
            <w:fldChar w:fldCharType="separate"/>
          </w:r>
          <w:r>
            <w:rPr>
              <w:sz w:val="28"/>
              <w:szCs w:val="28"/>
            </w:rPr>
            <w:t>14</w:t>
          </w:r>
          <w:r>
            <w:rPr>
              <w:sz w:val="28"/>
              <w:szCs w:val="28"/>
            </w:rPr>
            <w:fldChar w:fldCharType="end"/>
          </w:r>
          <w:r>
            <w:rPr>
              <w:sz w:val="28"/>
              <w:szCs w:val="28"/>
            </w:rPr>
            <w:fldChar w:fldCharType="end"/>
          </w:r>
        </w:p>
        <w:p w14:paraId="405CE59C">
          <w:pPr>
            <w:pStyle w:val="14"/>
            <w:tabs>
              <w:tab w:val="right" w:leader="dot" w:pos="8306"/>
              <w:tab w:val="clear" w:pos="8296"/>
            </w:tabs>
            <w:rPr>
              <w:sz w:val="28"/>
              <w:szCs w:val="28"/>
            </w:rPr>
          </w:pPr>
          <w:r>
            <w:rPr>
              <w:sz w:val="28"/>
              <w:szCs w:val="28"/>
            </w:rPr>
            <w:fldChar w:fldCharType="begin"/>
          </w:r>
          <w:r>
            <w:rPr>
              <w:sz w:val="28"/>
              <w:szCs w:val="28"/>
            </w:rPr>
            <w:instrText xml:space="preserve"> HYPERLINK \l _Toc7534 </w:instrText>
          </w:r>
          <w:r>
            <w:rPr>
              <w:sz w:val="28"/>
              <w:szCs w:val="28"/>
            </w:rPr>
            <w:fldChar w:fldCharType="separate"/>
          </w:r>
          <w:r>
            <w:rPr>
              <w:rFonts w:hint="eastAsia" w:ascii="黑体" w:hAnsi="黑体" w:eastAsia="黑体" w:cs="黑体"/>
              <w:sz w:val="28"/>
              <w:szCs w:val="28"/>
            </w:rPr>
            <w:t xml:space="preserve">第三部分 </w:t>
          </w:r>
          <w:r>
            <w:rPr>
              <w:rFonts w:hint="eastAsia" w:ascii="黑体" w:hAnsi="黑体" w:eastAsia="黑体"/>
              <w:sz w:val="28"/>
              <w:szCs w:val="28"/>
            </w:rPr>
            <w:t>名词解释</w:t>
          </w:r>
          <w:r>
            <w:rPr>
              <w:sz w:val="28"/>
              <w:szCs w:val="28"/>
            </w:rPr>
            <w:tab/>
          </w:r>
          <w:r>
            <w:rPr>
              <w:sz w:val="28"/>
              <w:szCs w:val="28"/>
            </w:rPr>
            <w:fldChar w:fldCharType="begin"/>
          </w:r>
          <w:r>
            <w:rPr>
              <w:sz w:val="28"/>
              <w:szCs w:val="28"/>
            </w:rPr>
            <w:instrText xml:space="preserve"> PAGEREF _Toc7534 \h </w:instrText>
          </w:r>
          <w:r>
            <w:rPr>
              <w:sz w:val="28"/>
              <w:szCs w:val="28"/>
            </w:rPr>
            <w:fldChar w:fldCharType="separate"/>
          </w:r>
          <w:r>
            <w:rPr>
              <w:sz w:val="28"/>
              <w:szCs w:val="28"/>
            </w:rPr>
            <w:t>16</w:t>
          </w:r>
          <w:r>
            <w:rPr>
              <w:sz w:val="28"/>
              <w:szCs w:val="28"/>
            </w:rPr>
            <w:fldChar w:fldCharType="end"/>
          </w:r>
          <w:r>
            <w:rPr>
              <w:sz w:val="28"/>
              <w:szCs w:val="28"/>
            </w:rPr>
            <w:fldChar w:fldCharType="end"/>
          </w:r>
        </w:p>
        <w:p w14:paraId="249D1C2A">
          <w:pPr>
            <w:pStyle w:val="14"/>
            <w:tabs>
              <w:tab w:val="right" w:leader="dot" w:pos="8306"/>
              <w:tab w:val="clear" w:pos="8296"/>
            </w:tabs>
            <w:rPr>
              <w:sz w:val="28"/>
              <w:szCs w:val="28"/>
            </w:rPr>
          </w:pPr>
          <w:r>
            <w:rPr>
              <w:sz w:val="28"/>
              <w:szCs w:val="28"/>
            </w:rPr>
            <w:fldChar w:fldCharType="begin"/>
          </w:r>
          <w:r>
            <w:rPr>
              <w:sz w:val="28"/>
              <w:szCs w:val="28"/>
            </w:rPr>
            <w:instrText xml:space="preserve"> HYPERLINK \l _Toc2951 </w:instrText>
          </w:r>
          <w:r>
            <w:rPr>
              <w:sz w:val="28"/>
              <w:szCs w:val="28"/>
            </w:rPr>
            <w:fldChar w:fldCharType="separate"/>
          </w:r>
          <w:r>
            <w:rPr>
              <w:rFonts w:hint="eastAsia" w:ascii="黑体" w:hAnsi="黑体" w:eastAsia="黑体"/>
              <w:sz w:val="28"/>
              <w:szCs w:val="28"/>
            </w:rPr>
            <w:t>第四部分 附件</w:t>
          </w:r>
          <w:r>
            <w:rPr>
              <w:sz w:val="28"/>
              <w:szCs w:val="28"/>
            </w:rPr>
            <w:tab/>
          </w:r>
          <w:r>
            <w:rPr>
              <w:sz w:val="28"/>
              <w:szCs w:val="28"/>
            </w:rPr>
            <w:fldChar w:fldCharType="begin"/>
          </w:r>
          <w:r>
            <w:rPr>
              <w:sz w:val="28"/>
              <w:szCs w:val="28"/>
            </w:rPr>
            <w:instrText xml:space="preserve"> PAGEREF _Toc2951 \h </w:instrText>
          </w:r>
          <w:r>
            <w:rPr>
              <w:sz w:val="28"/>
              <w:szCs w:val="28"/>
            </w:rPr>
            <w:fldChar w:fldCharType="separate"/>
          </w:r>
          <w:r>
            <w:rPr>
              <w:sz w:val="28"/>
              <w:szCs w:val="28"/>
            </w:rPr>
            <w:t>19</w:t>
          </w:r>
          <w:r>
            <w:rPr>
              <w:sz w:val="28"/>
              <w:szCs w:val="28"/>
            </w:rPr>
            <w:fldChar w:fldCharType="end"/>
          </w:r>
          <w:r>
            <w:rPr>
              <w:sz w:val="28"/>
              <w:szCs w:val="28"/>
            </w:rPr>
            <w:fldChar w:fldCharType="end"/>
          </w:r>
        </w:p>
        <w:p w14:paraId="776B5A1A">
          <w:pPr>
            <w:pStyle w:val="14"/>
            <w:tabs>
              <w:tab w:val="right" w:leader="dot" w:pos="8306"/>
              <w:tab w:val="clear" w:pos="8296"/>
            </w:tabs>
            <w:rPr>
              <w:sz w:val="28"/>
              <w:szCs w:val="28"/>
            </w:rPr>
          </w:pPr>
          <w:r>
            <w:rPr>
              <w:sz w:val="28"/>
              <w:szCs w:val="28"/>
            </w:rPr>
            <w:fldChar w:fldCharType="begin"/>
          </w:r>
          <w:r>
            <w:rPr>
              <w:sz w:val="28"/>
              <w:szCs w:val="28"/>
            </w:rPr>
            <w:instrText xml:space="preserve"> HYPERLINK \l _Toc13632 </w:instrText>
          </w:r>
          <w:r>
            <w:rPr>
              <w:sz w:val="28"/>
              <w:szCs w:val="28"/>
            </w:rPr>
            <w:fldChar w:fldCharType="separate"/>
          </w:r>
          <w:r>
            <w:rPr>
              <w:rFonts w:hint="eastAsia" w:ascii="黑体" w:hAnsi="黑体" w:eastAsia="黑体"/>
              <w:sz w:val="28"/>
              <w:szCs w:val="28"/>
            </w:rPr>
            <w:t>第五部分 附表</w:t>
          </w:r>
          <w:r>
            <w:rPr>
              <w:sz w:val="28"/>
              <w:szCs w:val="28"/>
            </w:rPr>
            <w:tab/>
          </w:r>
          <w:r>
            <w:rPr>
              <w:sz w:val="28"/>
              <w:szCs w:val="28"/>
            </w:rPr>
            <w:fldChar w:fldCharType="begin"/>
          </w:r>
          <w:r>
            <w:rPr>
              <w:sz w:val="28"/>
              <w:szCs w:val="28"/>
            </w:rPr>
            <w:instrText xml:space="preserve"> PAGEREF _Toc13632 \h </w:instrText>
          </w:r>
          <w:r>
            <w:rPr>
              <w:sz w:val="28"/>
              <w:szCs w:val="28"/>
            </w:rPr>
            <w:fldChar w:fldCharType="separate"/>
          </w:r>
          <w:r>
            <w:rPr>
              <w:sz w:val="28"/>
              <w:szCs w:val="28"/>
            </w:rPr>
            <w:t>20</w:t>
          </w:r>
          <w:r>
            <w:rPr>
              <w:sz w:val="28"/>
              <w:szCs w:val="28"/>
            </w:rPr>
            <w:fldChar w:fldCharType="end"/>
          </w:r>
          <w:r>
            <w:rPr>
              <w:sz w:val="28"/>
              <w:szCs w:val="28"/>
            </w:rPr>
            <w:fldChar w:fldCharType="end"/>
          </w:r>
        </w:p>
        <w:p w14:paraId="08B995AA">
          <w:pPr>
            <w:pStyle w:val="15"/>
            <w:tabs>
              <w:tab w:val="right" w:leader="dot" w:pos="8306"/>
              <w:tab w:val="clear" w:pos="8296"/>
            </w:tabs>
            <w:rPr>
              <w:sz w:val="28"/>
              <w:szCs w:val="28"/>
            </w:rPr>
          </w:pPr>
          <w:r>
            <w:rPr>
              <w:sz w:val="28"/>
              <w:szCs w:val="28"/>
            </w:rPr>
            <w:fldChar w:fldCharType="begin"/>
          </w:r>
          <w:r>
            <w:rPr>
              <w:sz w:val="28"/>
              <w:szCs w:val="28"/>
            </w:rPr>
            <w:instrText xml:space="preserve"> HYPERLINK \l _Toc13624 </w:instrText>
          </w:r>
          <w:r>
            <w:rPr>
              <w:sz w:val="28"/>
              <w:szCs w:val="28"/>
            </w:rPr>
            <w:fldChar w:fldCharType="separate"/>
          </w:r>
          <w:r>
            <w:rPr>
              <w:rFonts w:hint="eastAsia" w:ascii="仿宋" w:hAnsi="仿宋" w:eastAsia="仿宋"/>
              <w:sz w:val="28"/>
              <w:szCs w:val="28"/>
            </w:rPr>
            <w:t>一、收</w:t>
          </w:r>
          <w:r>
            <w:rPr>
              <w:rFonts w:hint="eastAsia" w:ascii="仿宋" w:hAnsi="仿宋" w:eastAsia="仿宋"/>
              <w:bCs w:val="0"/>
              <w:sz w:val="28"/>
              <w:szCs w:val="28"/>
            </w:rPr>
            <w:t>入支出决算总表</w:t>
          </w:r>
          <w:r>
            <w:rPr>
              <w:sz w:val="28"/>
              <w:szCs w:val="28"/>
            </w:rPr>
            <w:tab/>
          </w:r>
          <w:r>
            <w:rPr>
              <w:sz w:val="28"/>
              <w:szCs w:val="28"/>
            </w:rPr>
            <w:fldChar w:fldCharType="begin"/>
          </w:r>
          <w:r>
            <w:rPr>
              <w:sz w:val="28"/>
              <w:szCs w:val="28"/>
            </w:rPr>
            <w:instrText xml:space="preserve"> PAGEREF _Toc13624 \h </w:instrText>
          </w:r>
          <w:r>
            <w:rPr>
              <w:sz w:val="28"/>
              <w:szCs w:val="28"/>
            </w:rPr>
            <w:fldChar w:fldCharType="separate"/>
          </w:r>
          <w:r>
            <w:rPr>
              <w:sz w:val="28"/>
              <w:szCs w:val="28"/>
            </w:rPr>
            <w:t>20</w:t>
          </w:r>
          <w:r>
            <w:rPr>
              <w:sz w:val="28"/>
              <w:szCs w:val="28"/>
            </w:rPr>
            <w:fldChar w:fldCharType="end"/>
          </w:r>
          <w:r>
            <w:rPr>
              <w:sz w:val="28"/>
              <w:szCs w:val="28"/>
            </w:rPr>
            <w:fldChar w:fldCharType="end"/>
          </w:r>
        </w:p>
        <w:p w14:paraId="2BDF60DD">
          <w:pPr>
            <w:pStyle w:val="15"/>
            <w:tabs>
              <w:tab w:val="right" w:leader="dot" w:pos="8306"/>
              <w:tab w:val="clear" w:pos="8296"/>
            </w:tabs>
            <w:rPr>
              <w:sz w:val="28"/>
              <w:szCs w:val="28"/>
            </w:rPr>
          </w:pPr>
          <w:r>
            <w:rPr>
              <w:sz w:val="28"/>
              <w:szCs w:val="28"/>
            </w:rPr>
            <w:fldChar w:fldCharType="begin"/>
          </w:r>
          <w:r>
            <w:rPr>
              <w:sz w:val="28"/>
              <w:szCs w:val="28"/>
            </w:rPr>
            <w:instrText xml:space="preserve"> HYPERLINK \l _Toc29273 </w:instrText>
          </w:r>
          <w:r>
            <w:rPr>
              <w:sz w:val="28"/>
              <w:szCs w:val="28"/>
            </w:rPr>
            <w:fldChar w:fldCharType="separate"/>
          </w:r>
          <w:r>
            <w:rPr>
              <w:rFonts w:hint="eastAsia" w:ascii="仿宋" w:hAnsi="仿宋" w:eastAsia="仿宋"/>
              <w:sz w:val="28"/>
              <w:szCs w:val="28"/>
            </w:rPr>
            <w:t>二、收</w:t>
          </w:r>
          <w:r>
            <w:rPr>
              <w:rFonts w:hint="eastAsia" w:ascii="仿宋" w:hAnsi="仿宋" w:eastAsia="仿宋"/>
              <w:bCs w:val="0"/>
              <w:sz w:val="28"/>
              <w:szCs w:val="28"/>
            </w:rPr>
            <w:t>入决算表</w:t>
          </w:r>
          <w:r>
            <w:rPr>
              <w:sz w:val="28"/>
              <w:szCs w:val="28"/>
            </w:rPr>
            <w:tab/>
          </w:r>
          <w:r>
            <w:rPr>
              <w:sz w:val="28"/>
              <w:szCs w:val="28"/>
            </w:rPr>
            <w:fldChar w:fldCharType="begin"/>
          </w:r>
          <w:r>
            <w:rPr>
              <w:sz w:val="28"/>
              <w:szCs w:val="28"/>
            </w:rPr>
            <w:instrText xml:space="preserve"> PAGEREF _Toc29273 \h </w:instrText>
          </w:r>
          <w:r>
            <w:rPr>
              <w:sz w:val="28"/>
              <w:szCs w:val="28"/>
            </w:rPr>
            <w:fldChar w:fldCharType="separate"/>
          </w:r>
          <w:r>
            <w:rPr>
              <w:sz w:val="28"/>
              <w:szCs w:val="28"/>
            </w:rPr>
            <w:t>20</w:t>
          </w:r>
          <w:r>
            <w:rPr>
              <w:sz w:val="28"/>
              <w:szCs w:val="28"/>
            </w:rPr>
            <w:fldChar w:fldCharType="end"/>
          </w:r>
          <w:r>
            <w:rPr>
              <w:sz w:val="28"/>
              <w:szCs w:val="28"/>
            </w:rPr>
            <w:fldChar w:fldCharType="end"/>
          </w:r>
        </w:p>
        <w:p w14:paraId="69BD6105">
          <w:pPr>
            <w:pStyle w:val="15"/>
            <w:tabs>
              <w:tab w:val="right" w:leader="dot" w:pos="8306"/>
              <w:tab w:val="clear" w:pos="8296"/>
            </w:tabs>
            <w:rPr>
              <w:sz w:val="28"/>
              <w:szCs w:val="28"/>
            </w:rPr>
          </w:pPr>
          <w:r>
            <w:rPr>
              <w:sz w:val="28"/>
              <w:szCs w:val="28"/>
            </w:rPr>
            <w:fldChar w:fldCharType="begin"/>
          </w:r>
          <w:r>
            <w:rPr>
              <w:sz w:val="28"/>
              <w:szCs w:val="28"/>
            </w:rPr>
            <w:instrText xml:space="preserve"> HYPERLINK \l _Toc9867 </w:instrText>
          </w:r>
          <w:r>
            <w:rPr>
              <w:sz w:val="28"/>
              <w:szCs w:val="28"/>
            </w:rPr>
            <w:fldChar w:fldCharType="separate"/>
          </w:r>
          <w:r>
            <w:rPr>
              <w:rFonts w:hint="eastAsia" w:ascii="仿宋" w:hAnsi="仿宋" w:eastAsia="仿宋"/>
              <w:bCs w:val="0"/>
              <w:sz w:val="28"/>
              <w:szCs w:val="28"/>
            </w:rPr>
            <w:t>三、</w:t>
          </w:r>
          <w:r>
            <w:rPr>
              <w:rFonts w:hint="eastAsia" w:ascii="仿宋" w:hAnsi="仿宋" w:eastAsia="仿宋"/>
              <w:sz w:val="28"/>
              <w:szCs w:val="28"/>
            </w:rPr>
            <w:t>支</w:t>
          </w:r>
          <w:r>
            <w:rPr>
              <w:rFonts w:hint="eastAsia" w:ascii="仿宋" w:hAnsi="仿宋" w:eastAsia="仿宋"/>
              <w:bCs w:val="0"/>
              <w:sz w:val="28"/>
              <w:szCs w:val="28"/>
            </w:rPr>
            <w:t>出决算表</w:t>
          </w:r>
          <w:r>
            <w:rPr>
              <w:sz w:val="28"/>
              <w:szCs w:val="28"/>
            </w:rPr>
            <w:tab/>
          </w:r>
          <w:r>
            <w:rPr>
              <w:sz w:val="28"/>
              <w:szCs w:val="28"/>
            </w:rPr>
            <w:fldChar w:fldCharType="begin"/>
          </w:r>
          <w:r>
            <w:rPr>
              <w:sz w:val="28"/>
              <w:szCs w:val="28"/>
            </w:rPr>
            <w:instrText xml:space="preserve"> PAGEREF _Toc9867 \h </w:instrText>
          </w:r>
          <w:r>
            <w:rPr>
              <w:sz w:val="28"/>
              <w:szCs w:val="28"/>
            </w:rPr>
            <w:fldChar w:fldCharType="separate"/>
          </w:r>
          <w:r>
            <w:rPr>
              <w:sz w:val="28"/>
              <w:szCs w:val="28"/>
            </w:rPr>
            <w:t>20</w:t>
          </w:r>
          <w:r>
            <w:rPr>
              <w:sz w:val="28"/>
              <w:szCs w:val="28"/>
            </w:rPr>
            <w:fldChar w:fldCharType="end"/>
          </w:r>
          <w:r>
            <w:rPr>
              <w:sz w:val="28"/>
              <w:szCs w:val="28"/>
            </w:rPr>
            <w:fldChar w:fldCharType="end"/>
          </w:r>
        </w:p>
        <w:p w14:paraId="1E1D9EC3">
          <w:pPr>
            <w:pStyle w:val="15"/>
            <w:tabs>
              <w:tab w:val="right" w:leader="dot" w:pos="8306"/>
              <w:tab w:val="clear" w:pos="8296"/>
            </w:tabs>
            <w:rPr>
              <w:sz w:val="28"/>
              <w:szCs w:val="28"/>
            </w:rPr>
          </w:pPr>
          <w:r>
            <w:rPr>
              <w:sz w:val="28"/>
              <w:szCs w:val="28"/>
            </w:rPr>
            <w:fldChar w:fldCharType="begin"/>
          </w:r>
          <w:r>
            <w:rPr>
              <w:sz w:val="28"/>
              <w:szCs w:val="28"/>
            </w:rPr>
            <w:instrText xml:space="preserve"> HYPERLINK \l _Toc7973 </w:instrText>
          </w:r>
          <w:r>
            <w:rPr>
              <w:sz w:val="28"/>
              <w:szCs w:val="28"/>
            </w:rPr>
            <w:fldChar w:fldCharType="separate"/>
          </w:r>
          <w:r>
            <w:rPr>
              <w:rFonts w:hint="eastAsia" w:ascii="仿宋" w:hAnsi="仿宋" w:eastAsia="仿宋"/>
              <w:bCs w:val="0"/>
              <w:sz w:val="28"/>
              <w:szCs w:val="28"/>
            </w:rPr>
            <w:t>四、</w:t>
          </w:r>
          <w:r>
            <w:rPr>
              <w:rFonts w:hint="eastAsia" w:ascii="仿宋" w:hAnsi="仿宋" w:eastAsia="仿宋"/>
              <w:sz w:val="28"/>
              <w:szCs w:val="28"/>
            </w:rPr>
            <w:t>财</w:t>
          </w:r>
          <w:r>
            <w:rPr>
              <w:rFonts w:hint="eastAsia" w:ascii="仿宋" w:hAnsi="仿宋" w:eastAsia="仿宋"/>
              <w:bCs w:val="0"/>
              <w:sz w:val="28"/>
              <w:szCs w:val="28"/>
            </w:rPr>
            <w:t>政拨款收入支出决算总表</w:t>
          </w:r>
          <w:r>
            <w:rPr>
              <w:sz w:val="28"/>
              <w:szCs w:val="28"/>
            </w:rPr>
            <w:tab/>
          </w:r>
          <w:r>
            <w:rPr>
              <w:sz w:val="28"/>
              <w:szCs w:val="28"/>
            </w:rPr>
            <w:fldChar w:fldCharType="begin"/>
          </w:r>
          <w:r>
            <w:rPr>
              <w:sz w:val="28"/>
              <w:szCs w:val="28"/>
            </w:rPr>
            <w:instrText xml:space="preserve"> PAGEREF _Toc7973 \h </w:instrText>
          </w:r>
          <w:r>
            <w:rPr>
              <w:sz w:val="28"/>
              <w:szCs w:val="28"/>
            </w:rPr>
            <w:fldChar w:fldCharType="separate"/>
          </w:r>
          <w:r>
            <w:rPr>
              <w:sz w:val="28"/>
              <w:szCs w:val="28"/>
            </w:rPr>
            <w:t>20</w:t>
          </w:r>
          <w:r>
            <w:rPr>
              <w:sz w:val="28"/>
              <w:szCs w:val="28"/>
            </w:rPr>
            <w:fldChar w:fldCharType="end"/>
          </w:r>
          <w:r>
            <w:rPr>
              <w:sz w:val="28"/>
              <w:szCs w:val="28"/>
            </w:rPr>
            <w:fldChar w:fldCharType="end"/>
          </w:r>
        </w:p>
        <w:p w14:paraId="0CEB6FA0">
          <w:pPr>
            <w:pStyle w:val="15"/>
            <w:tabs>
              <w:tab w:val="right" w:leader="dot" w:pos="8306"/>
              <w:tab w:val="clear" w:pos="8296"/>
            </w:tabs>
            <w:rPr>
              <w:sz w:val="28"/>
              <w:szCs w:val="28"/>
            </w:rPr>
          </w:pPr>
          <w:r>
            <w:rPr>
              <w:sz w:val="28"/>
              <w:szCs w:val="28"/>
            </w:rPr>
            <w:fldChar w:fldCharType="begin"/>
          </w:r>
          <w:r>
            <w:rPr>
              <w:sz w:val="28"/>
              <w:szCs w:val="28"/>
            </w:rPr>
            <w:instrText xml:space="preserve"> HYPERLINK \l _Toc11766 </w:instrText>
          </w:r>
          <w:r>
            <w:rPr>
              <w:sz w:val="28"/>
              <w:szCs w:val="28"/>
            </w:rPr>
            <w:fldChar w:fldCharType="separate"/>
          </w:r>
          <w:r>
            <w:rPr>
              <w:rFonts w:hint="eastAsia" w:ascii="仿宋" w:hAnsi="仿宋" w:eastAsia="仿宋"/>
              <w:bCs w:val="0"/>
              <w:sz w:val="28"/>
              <w:szCs w:val="28"/>
            </w:rPr>
            <w:t>五、</w:t>
          </w:r>
          <w:r>
            <w:rPr>
              <w:rFonts w:hint="eastAsia" w:ascii="仿宋" w:hAnsi="仿宋" w:eastAsia="仿宋"/>
              <w:sz w:val="28"/>
              <w:szCs w:val="28"/>
            </w:rPr>
            <w:t>财</w:t>
          </w:r>
          <w:r>
            <w:rPr>
              <w:rFonts w:hint="eastAsia" w:ascii="仿宋" w:hAnsi="仿宋" w:eastAsia="仿宋"/>
              <w:bCs w:val="0"/>
              <w:sz w:val="28"/>
              <w:szCs w:val="28"/>
            </w:rPr>
            <w:t>政拨款支出决算明细表</w:t>
          </w:r>
          <w:r>
            <w:rPr>
              <w:sz w:val="28"/>
              <w:szCs w:val="28"/>
            </w:rPr>
            <w:tab/>
          </w:r>
          <w:r>
            <w:rPr>
              <w:sz w:val="28"/>
              <w:szCs w:val="28"/>
            </w:rPr>
            <w:fldChar w:fldCharType="begin"/>
          </w:r>
          <w:r>
            <w:rPr>
              <w:sz w:val="28"/>
              <w:szCs w:val="28"/>
            </w:rPr>
            <w:instrText xml:space="preserve"> PAGEREF _Toc11766 \h </w:instrText>
          </w:r>
          <w:r>
            <w:rPr>
              <w:sz w:val="28"/>
              <w:szCs w:val="28"/>
            </w:rPr>
            <w:fldChar w:fldCharType="separate"/>
          </w:r>
          <w:r>
            <w:rPr>
              <w:sz w:val="28"/>
              <w:szCs w:val="28"/>
            </w:rPr>
            <w:t>20</w:t>
          </w:r>
          <w:r>
            <w:rPr>
              <w:sz w:val="28"/>
              <w:szCs w:val="28"/>
            </w:rPr>
            <w:fldChar w:fldCharType="end"/>
          </w:r>
          <w:r>
            <w:rPr>
              <w:sz w:val="28"/>
              <w:szCs w:val="28"/>
            </w:rPr>
            <w:fldChar w:fldCharType="end"/>
          </w:r>
        </w:p>
        <w:p w14:paraId="48829048">
          <w:pPr>
            <w:pStyle w:val="15"/>
            <w:tabs>
              <w:tab w:val="right" w:leader="dot" w:pos="8306"/>
              <w:tab w:val="clear" w:pos="8296"/>
            </w:tabs>
            <w:rPr>
              <w:sz w:val="28"/>
              <w:szCs w:val="28"/>
            </w:rPr>
          </w:pPr>
          <w:r>
            <w:rPr>
              <w:sz w:val="28"/>
              <w:szCs w:val="28"/>
            </w:rPr>
            <w:fldChar w:fldCharType="begin"/>
          </w:r>
          <w:r>
            <w:rPr>
              <w:sz w:val="28"/>
              <w:szCs w:val="28"/>
            </w:rPr>
            <w:instrText xml:space="preserve"> HYPERLINK \l _Toc12054 </w:instrText>
          </w:r>
          <w:r>
            <w:rPr>
              <w:sz w:val="28"/>
              <w:szCs w:val="28"/>
            </w:rPr>
            <w:fldChar w:fldCharType="separate"/>
          </w:r>
          <w:r>
            <w:rPr>
              <w:rFonts w:hint="eastAsia" w:ascii="仿宋" w:hAnsi="仿宋" w:eastAsia="仿宋"/>
              <w:bCs w:val="0"/>
              <w:sz w:val="28"/>
              <w:szCs w:val="28"/>
            </w:rPr>
            <w:t>六、</w:t>
          </w:r>
          <w:r>
            <w:rPr>
              <w:rFonts w:hint="eastAsia" w:ascii="仿宋" w:hAnsi="仿宋" w:eastAsia="仿宋"/>
              <w:sz w:val="28"/>
              <w:szCs w:val="28"/>
            </w:rPr>
            <w:t>一</w:t>
          </w:r>
          <w:r>
            <w:rPr>
              <w:rFonts w:hint="eastAsia" w:ascii="仿宋" w:hAnsi="仿宋" w:eastAsia="仿宋"/>
              <w:bCs w:val="0"/>
              <w:sz w:val="28"/>
              <w:szCs w:val="28"/>
            </w:rPr>
            <w:t>般公共预算财政拨款支出决算表</w:t>
          </w:r>
          <w:r>
            <w:rPr>
              <w:sz w:val="28"/>
              <w:szCs w:val="28"/>
            </w:rPr>
            <w:tab/>
          </w:r>
          <w:r>
            <w:rPr>
              <w:sz w:val="28"/>
              <w:szCs w:val="28"/>
            </w:rPr>
            <w:fldChar w:fldCharType="begin"/>
          </w:r>
          <w:r>
            <w:rPr>
              <w:sz w:val="28"/>
              <w:szCs w:val="28"/>
            </w:rPr>
            <w:instrText xml:space="preserve"> PAGEREF _Toc12054 \h </w:instrText>
          </w:r>
          <w:r>
            <w:rPr>
              <w:sz w:val="28"/>
              <w:szCs w:val="28"/>
            </w:rPr>
            <w:fldChar w:fldCharType="separate"/>
          </w:r>
          <w:r>
            <w:rPr>
              <w:sz w:val="28"/>
              <w:szCs w:val="28"/>
            </w:rPr>
            <w:t>20</w:t>
          </w:r>
          <w:r>
            <w:rPr>
              <w:sz w:val="28"/>
              <w:szCs w:val="28"/>
            </w:rPr>
            <w:fldChar w:fldCharType="end"/>
          </w:r>
          <w:r>
            <w:rPr>
              <w:sz w:val="28"/>
              <w:szCs w:val="28"/>
            </w:rPr>
            <w:fldChar w:fldCharType="end"/>
          </w:r>
        </w:p>
        <w:p w14:paraId="2F545491">
          <w:pPr>
            <w:pStyle w:val="15"/>
            <w:tabs>
              <w:tab w:val="right" w:leader="dot" w:pos="8306"/>
              <w:tab w:val="clear" w:pos="8296"/>
            </w:tabs>
            <w:rPr>
              <w:sz w:val="28"/>
              <w:szCs w:val="28"/>
            </w:rPr>
          </w:pPr>
          <w:r>
            <w:rPr>
              <w:sz w:val="28"/>
              <w:szCs w:val="28"/>
            </w:rPr>
            <w:fldChar w:fldCharType="begin"/>
          </w:r>
          <w:r>
            <w:rPr>
              <w:sz w:val="28"/>
              <w:szCs w:val="28"/>
            </w:rPr>
            <w:instrText xml:space="preserve"> HYPERLINK \l _Toc7343 </w:instrText>
          </w:r>
          <w:r>
            <w:rPr>
              <w:sz w:val="28"/>
              <w:szCs w:val="28"/>
            </w:rPr>
            <w:fldChar w:fldCharType="separate"/>
          </w:r>
          <w:r>
            <w:rPr>
              <w:rFonts w:hint="eastAsia" w:ascii="仿宋" w:hAnsi="仿宋" w:eastAsia="仿宋"/>
              <w:bCs w:val="0"/>
              <w:sz w:val="28"/>
              <w:szCs w:val="28"/>
            </w:rPr>
            <w:t>七、</w:t>
          </w:r>
          <w:r>
            <w:rPr>
              <w:rFonts w:hint="eastAsia" w:ascii="仿宋" w:hAnsi="仿宋" w:eastAsia="仿宋"/>
              <w:sz w:val="28"/>
              <w:szCs w:val="28"/>
            </w:rPr>
            <w:t>一</w:t>
          </w:r>
          <w:r>
            <w:rPr>
              <w:rFonts w:hint="eastAsia" w:ascii="仿宋" w:hAnsi="仿宋" w:eastAsia="仿宋"/>
              <w:bCs w:val="0"/>
              <w:sz w:val="28"/>
              <w:szCs w:val="28"/>
            </w:rPr>
            <w:t>般公共预算财政拨款支出决算明细表</w:t>
          </w:r>
          <w:r>
            <w:rPr>
              <w:sz w:val="28"/>
              <w:szCs w:val="28"/>
            </w:rPr>
            <w:tab/>
          </w:r>
          <w:r>
            <w:rPr>
              <w:sz w:val="28"/>
              <w:szCs w:val="28"/>
            </w:rPr>
            <w:fldChar w:fldCharType="begin"/>
          </w:r>
          <w:r>
            <w:rPr>
              <w:sz w:val="28"/>
              <w:szCs w:val="28"/>
            </w:rPr>
            <w:instrText xml:space="preserve"> PAGEREF _Toc7343 \h </w:instrText>
          </w:r>
          <w:r>
            <w:rPr>
              <w:sz w:val="28"/>
              <w:szCs w:val="28"/>
            </w:rPr>
            <w:fldChar w:fldCharType="separate"/>
          </w:r>
          <w:r>
            <w:rPr>
              <w:sz w:val="28"/>
              <w:szCs w:val="28"/>
            </w:rPr>
            <w:t>20</w:t>
          </w:r>
          <w:r>
            <w:rPr>
              <w:sz w:val="28"/>
              <w:szCs w:val="28"/>
            </w:rPr>
            <w:fldChar w:fldCharType="end"/>
          </w:r>
          <w:r>
            <w:rPr>
              <w:sz w:val="28"/>
              <w:szCs w:val="28"/>
            </w:rPr>
            <w:fldChar w:fldCharType="end"/>
          </w:r>
        </w:p>
        <w:p w14:paraId="731EFF91">
          <w:pPr>
            <w:pStyle w:val="15"/>
            <w:tabs>
              <w:tab w:val="right" w:leader="dot" w:pos="8306"/>
              <w:tab w:val="clear" w:pos="8296"/>
            </w:tabs>
            <w:rPr>
              <w:sz w:val="28"/>
              <w:szCs w:val="28"/>
            </w:rPr>
          </w:pPr>
          <w:r>
            <w:rPr>
              <w:sz w:val="28"/>
              <w:szCs w:val="28"/>
            </w:rPr>
            <w:fldChar w:fldCharType="begin"/>
          </w:r>
          <w:r>
            <w:rPr>
              <w:sz w:val="28"/>
              <w:szCs w:val="28"/>
            </w:rPr>
            <w:instrText xml:space="preserve"> HYPERLINK \l _Toc21483 </w:instrText>
          </w:r>
          <w:r>
            <w:rPr>
              <w:sz w:val="28"/>
              <w:szCs w:val="28"/>
            </w:rPr>
            <w:fldChar w:fldCharType="separate"/>
          </w:r>
          <w:r>
            <w:rPr>
              <w:rFonts w:hint="eastAsia" w:ascii="仿宋" w:hAnsi="仿宋" w:eastAsia="仿宋"/>
              <w:bCs w:val="0"/>
              <w:sz w:val="28"/>
              <w:szCs w:val="28"/>
            </w:rPr>
            <w:t>八、</w:t>
          </w:r>
          <w:r>
            <w:rPr>
              <w:rFonts w:hint="eastAsia" w:ascii="仿宋" w:hAnsi="仿宋" w:eastAsia="仿宋"/>
              <w:sz w:val="28"/>
              <w:szCs w:val="28"/>
            </w:rPr>
            <w:t>一</w:t>
          </w:r>
          <w:r>
            <w:rPr>
              <w:rFonts w:hint="eastAsia" w:ascii="仿宋" w:hAnsi="仿宋" w:eastAsia="仿宋"/>
              <w:bCs w:val="0"/>
              <w:sz w:val="28"/>
              <w:szCs w:val="28"/>
            </w:rPr>
            <w:t>般公共预算财政拨款基本支出决算表</w:t>
          </w:r>
          <w:r>
            <w:rPr>
              <w:sz w:val="28"/>
              <w:szCs w:val="28"/>
            </w:rPr>
            <w:tab/>
          </w:r>
          <w:r>
            <w:rPr>
              <w:sz w:val="28"/>
              <w:szCs w:val="28"/>
            </w:rPr>
            <w:fldChar w:fldCharType="begin"/>
          </w:r>
          <w:r>
            <w:rPr>
              <w:sz w:val="28"/>
              <w:szCs w:val="28"/>
            </w:rPr>
            <w:instrText xml:space="preserve"> PAGEREF _Toc21483 \h </w:instrText>
          </w:r>
          <w:r>
            <w:rPr>
              <w:sz w:val="28"/>
              <w:szCs w:val="28"/>
            </w:rPr>
            <w:fldChar w:fldCharType="separate"/>
          </w:r>
          <w:r>
            <w:rPr>
              <w:sz w:val="28"/>
              <w:szCs w:val="28"/>
            </w:rPr>
            <w:t>20</w:t>
          </w:r>
          <w:r>
            <w:rPr>
              <w:sz w:val="28"/>
              <w:szCs w:val="28"/>
            </w:rPr>
            <w:fldChar w:fldCharType="end"/>
          </w:r>
          <w:r>
            <w:rPr>
              <w:sz w:val="28"/>
              <w:szCs w:val="28"/>
            </w:rPr>
            <w:fldChar w:fldCharType="end"/>
          </w:r>
        </w:p>
        <w:p w14:paraId="6046953F">
          <w:pPr>
            <w:pStyle w:val="15"/>
            <w:tabs>
              <w:tab w:val="right" w:leader="dot" w:pos="8306"/>
              <w:tab w:val="clear" w:pos="8296"/>
            </w:tabs>
            <w:rPr>
              <w:sz w:val="28"/>
              <w:szCs w:val="28"/>
            </w:rPr>
          </w:pPr>
          <w:r>
            <w:rPr>
              <w:sz w:val="28"/>
              <w:szCs w:val="28"/>
            </w:rPr>
            <w:fldChar w:fldCharType="begin"/>
          </w:r>
          <w:r>
            <w:rPr>
              <w:sz w:val="28"/>
              <w:szCs w:val="28"/>
            </w:rPr>
            <w:instrText xml:space="preserve"> HYPERLINK \l _Toc30031 </w:instrText>
          </w:r>
          <w:r>
            <w:rPr>
              <w:sz w:val="28"/>
              <w:szCs w:val="28"/>
            </w:rPr>
            <w:fldChar w:fldCharType="separate"/>
          </w:r>
          <w:r>
            <w:rPr>
              <w:rFonts w:hint="eastAsia" w:ascii="仿宋" w:hAnsi="仿宋" w:eastAsia="仿宋"/>
              <w:bCs w:val="0"/>
              <w:sz w:val="28"/>
              <w:szCs w:val="28"/>
            </w:rPr>
            <w:t>九、</w:t>
          </w:r>
          <w:r>
            <w:rPr>
              <w:rFonts w:hint="eastAsia" w:ascii="仿宋" w:hAnsi="仿宋" w:eastAsia="仿宋"/>
              <w:sz w:val="28"/>
              <w:szCs w:val="28"/>
            </w:rPr>
            <w:t>一</w:t>
          </w:r>
          <w:r>
            <w:rPr>
              <w:rFonts w:hint="eastAsia" w:ascii="仿宋" w:hAnsi="仿宋" w:eastAsia="仿宋"/>
              <w:bCs w:val="0"/>
              <w:sz w:val="28"/>
              <w:szCs w:val="28"/>
            </w:rPr>
            <w:t>般公共预算财政拨款项目支出决算表</w:t>
          </w:r>
          <w:r>
            <w:rPr>
              <w:sz w:val="28"/>
              <w:szCs w:val="28"/>
            </w:rPr>
            <w:tab/>
          </w:r>
          <w:r>
            <w:rPr>
              <w:sz w:val="28"/>
              <w:szCs w:val="28"/>
            </w:rPr>
            <w:fldChar w:fldCharType="begin"/>
          </w:r>
          <w:r>
            <w:rPr>
              <w:sz w:val="28"/>
              <w:szCs w:val="28"/>
            </w:rPr>
            <w:instrText xml:space="preserve"> PAGEREF _Toc30031 \h </w:instrText>
          </w:r>
          <w:r>
            <w:rPr>
              <w:sz w:val="28"/>
              <w:szCs w:val="28"/>
            </w:rPr>
            <w:fldChar w:fldCharType="separate"/>
          </w:r>
          <w:r>
            <w:rPr>
              <w:sz w:val="28"/>
              <w:szCs w:val="28"/>
            </w:rPr>
            <w:t>20</w:t>
          </w:r>
          <w:r>
            <w:rPr>
              <w:sz w:val="28"/>
              <w:szCs w:val="28"/>
            </w:rPr>
            <w:fldChar w:fldCharType="end"/>
          </w:r>
          <w:r>
            <w:rPr>
              <w:sz w:val="28"/>
              <w:szCs w:val="28"/>
            </w:rPr>
            <w:fldChar w:fldCharType="end"/>
          </w:r>
        </w:p>
        <w:p w14:paraId="27783FF6">
          <w:pPr>
            <w:pStyle w:val="15"/>
            <w:tabs>
              <w:tab w:val="right" w:leader="dot" w:pos="8306"/>
              <w:tab w:val="clear" w:pos="8296"/>
            </w:tabs>
            <w:rPr>
              <w:sz w:val="28"/>
              <w:szCs w:val="28"/>
            </w:rPr>
          </w:pPr>
          <w:r>
            <w:rPr>
              <w:sz w:val="28"/>
              <w:szCs w:val="28"/>
            </w:rPr>
            <w:fldChar w:fldCharType="begin"/>
          </w:r>
          <w:r>
            <w:rPr>
              <w:sz w:val="28"/>
              <w:szCs w:val="28"/>
            </w:rPr>
            <w:instrText xml:space="preserve"> HYPERLINK \l _Toc9802 </w:instrText>
          </w:r>
          <w:r>
            <w:rPr>
              <w:sz w:val="28"/>
              <w:szCs w:val="28"/>
            </w:rPr>
            <w:fldChar w:fldCharType="separate"/>
          </w:r>
          <w:r>
            <w:rPr>
              <w:rFonts w:hint="eastAsia" w:ascii="仿宋" w:hAnsi="仿宋" w:eastAsia="仿宋"/>
              <w:bCs w:val="0"/>
              <w:sz w:val="28"/>
              <w:szCs w:val="28"/>
            </w:rPr>
            <w:t>十、</w:t>
          </w:r>
          <w:r>
            <w:rPr>
              <w:rFonts w:hint="eastAsia" w:ascii="仿宋" w:hAnsi="仿宋" w:eastAsia="仿宋"/>
              <w:sz w:val="28"/>
              <w:szCs w:val="28"/>
            </w:rPr>
            <w:t>政</w:t>
          </w:r>
          <w:r>
            <w:rPr>
              <w:rFonts w:hint="eastAsia" w:ascii="仿宋" w:hAnsi="仿宋" w:eastAsia="仿宋"/>
              <w:bCs w:val="0"/>
              <w:sz w:val="28"/>
              <w:szCs w:val="28"/>
            </w:rPr>
            <w:t>府性基金预算财政拨款收入支出决算表</w:t>
          </w:r>
          <w:r>
            <w:rPr>
              <w:sz w:val="28"/>
              <w:szCs w:val="28"/>
            </w:rPr>
            <w:tab/>
          </w:r>
          <w:r>
            <w:rPr>
              <w:sz w:val="28"/>
              <w:szCs w:val="28"/>
            </w:rPr>
            <w:fldChar w:fldCharType="begin"/>
          </w:r>
          <w:r>
            <w:rPr>
              <w:sz w:val="28"/>
              <w:szCs w:val="28"/>
            </w:rPr>
            <w:instrText xml:space="preserve"> PAGEREF _Toc9802 \h </w:instrText>
          </w:r>
          <w:r>
            <w:rPr>
              <w:sz w:val="28"/>
              <w:szCs w:val="28"/>
            </w:rPr>
            <w:fldChar w:fldCharType="separate"/>
          </w:r>
          <w:r>
            <w:rPr>
              <w:sz w:val="28"/>
              <w:szCs w:val="28"/>
            </w:rPr>
            <w:t>20</w:t>
          </w:r>
          <w:r>
            <w:rPr>
              <w:sz w:val="28"/>
              <w:szCs w:val="28"/>
            </w:rPr>
            <w:fldChar w:fldCharType="end"/>
          </w:r>
          <w:r>
            <w:rPr>
              <w:sz w:val="28"/>
              <w:szCs w:val="28"/>
            </w:rPr>
            <w:fldChar w:fldCharType="end"/>
          </w:r>
        </w:p>
        <w:p w14:paraId="541E7FAF">
          <w:pPr>
            <w:pStyle w:val="15"/>
            <w:tabs>
              <w:tab w:val="right" w:leader="dot" w:pos="8306"/>
              <w:tab w:val="clear" w:pos="8296"/>
            </w:tabs>
            <w:rPr>
              <w:sz w:val="28"/>
              <w:szCs w:val="28"/>
            </w:rPr>
          </w:pPr>
          <w:r>
            <w:rPr>
              <w:sz w:val="28"/>
              <w:szCs w:val="28"/>
            </w:rPr>
            <w:fldChar w:fldCharType="begin"/>
          </w:r>
          <w:r>
            <w:rPr>
              <w:sz w:val="28"/>
              <w:szCs w:val="28"/>
            </w:rPr>
            <w:instrText xml:space="preserve"> HYPERLINK \l _Toc21648 </w:instrText>
          </w:r>
          <w:r>
            <w:rPr>
              <w:sz w:val="28"/>
              <w:szCs w:val="28"/>
            </w:rPr>
            <w:fldChar w:fldCharType="separate"/>
          </w:r>
          <w:r>
            <w:rPr>
              <w:rFonts w:hint="eastAsia" w:ascii="仿宋" w:hAnsi="仿宋" w:eastAsia="仿宋"/>
              <w:bCs w:val="0"/>
              <w:sz w:val="28"/>
              <w:szCs w:val="28"/>
            </w:rPr>
            <w:t>十一、</w:t>
          </w:r>
          <w:r>
            <w:rPr>
              <w:rFonts w:hint="eastAsia" w:ascii="仿宋" w:hAnsi="仿宋" w:eastAsia="仿宋"/>
              <w:sz w:val="28"/>
              <w:szCs w:val="28"/>
            </w:rPr>
            <w:t>国</w:t>
          </w:r>
          <w:r>
            <w:rPr>
              <w:rFonts w:hint="eastAsia" w:ascii="仿宋" w:hAnsi="仿宋" w:eastAsia="仿宋"/>
              <w:bCs w:val="0"/>
              <w:sz w:val="28"/>
              <w:szCs w:val="28"/>
            </w:rPr>
            <w:t>有资本经营预算财政拨款收入支出决算表</w:t>
          </w:r>
          <w:r>
            <w:rPr>
              <w:sz w:val="28"/>
              <w:szCs w:val="28"/>
            </w:rPr>
            <w:tab/>
          </w:r>
          <w:r>
            <w:rPr>
              <w:sz w:val="28"/>
              <w:szCs w:val="28"/>
            </w:rPr>
            <w:fldChar w:fldCharType="begin"/>
          </w:r>
          <w:r>
            <w:rPr>
              <w:sz w:val="28"/>
              <w:szCs w:val="28"/>
            </w:rPr>
            <w:instrText xml:space="preserve"> PAGEREF _Toc21648 \h </w:instrText>
          </w:r>
          <w:r>
            <w:rPr>
              <w:sz w:val="28"/>
              <w:szCs w:val="28"/>
            </w:rPr>
            <w:fldChar w:fldCharType="separate"/>
          </w:r>
          <w:r>
            <w:rPr>
              <w:sz w:val="28"/>
              <w:szCs w:val="28"/>
            </w:rPr>
            <w:t>20</w:t>
          </w:r>
          <w:r>
            <w:rPr>
              <w:sz w:val="28"/>
              <w:szCs w:val="28"/>
            </w:rPr>
            <w:fldChar w:fldCharType="end"/>
          </w:r>
          <w:r>
            <w:rPr>
              <w:sz w:val="28"/>
              <w:szCs w:val="28"/>
            </w:rPr>
            <w:fldChar w:fldCharType="end"/>
          </w:r>
        </w:p>
        <w:p w14:paraId="750F0A98">
          <w:pPr>
            <w:pStyle w:val="15"/>
            <w:tabs>
              <w:tab w:val="right" w:leader="dot" w:pos="8306"/>
              <w:tab w:val="clear" w:pos="8296"/>
            </w:tabs>
            <w:rPr>
              <w:sz w:val="28"/>
              <w:szCs w:val="28"/>
            </w:rPr>
          </w:pPr>
          <w:r>
            <w:rPr>
              <w:sz w:val="28"/>
              <w:szCs w:val="28"/>
            </w:rPr>
            <w:fldChar w:fldCharType="begin"/>
          </w:r>
          <w:r>
            <w:rPr>
              <w:sz w:val="28"/>
              <w:szCs w:val="28"/>
            </w:rPr>
            <w:instrText xml:space="preserve"> HYPERLINK \l _Toc17419 </w:instrText>
          </w:r>
          <w:r>
            <w:rPr>
              <w:sz w:val="28"/>
              <w:szCs w:val="28"/>
            </w:rPr>
            <w:fldChar w:fldCharType="separate"/>
          </w:r>
          <w:r>
            <w:rPr>
              <w:rFonts w:hint="eastAsia" w:ascii="仿宋" w:hAnsi="仿宋" w:eastAsia="仿宋"/>
              <w:bCs w:val="0"/>
              <w:sz w:val="28"/>
              <w:szCs w:val="28"/>
            </w:rPr>
            <w:t>十二、国有资本经营预算财政拨款支出决算表</w:t>
          </w:r>
          <w:r>
            <w:rPr>
              <w:sz w:val="28"/>
              <w:szCs w:val="28"/>
            </w:rPr>
            <w:tab/>
          </w:r>
          <w:r>
            <w:rPr>
              <w:sz w:val="28"/>
              <w:szCs w:val="28"/>
            </w:rPr>
            <w:fldChar w:fldCharType="begin"/>
          </w:r>
          <w:r>
            <w:rPr>
              <w:sz w:val="28"/>
              <w:szCs w:val="28"/>
            </w:rPr>
            <w:instrText xml:space="preserve"> PAGEREF _Toc17419 \h </w:instrText>
          </w:r>
          <w:r>
            <w:rPr>
              <w:sz w:val="28"/>
              <w:szCs w:val="28"/>
            </w:rPr>
            <w:fldChar w:fldCharType="separate"/>
          </w:r>
          <w:r>
            <w:rPr>
              <w:sz w:val="28"/>
              <w:szCs w:val="28"/>
            </w:rPr>
            <w:t>20</w:t>
          </w:r>
          <w:r>
            <w:rPr>
              <w:sz w:val="28"/>
              <w:szCs w:val="28"/>
            </w:rPr>
            <w:fldChar w:fldCharType="end"/>
          </w:r>
          <w:r>
            <w:rPr>
              <w:sz w:val="28"/>
              <w:szCs w:val="28"/>
            </w:rPr>
            <w:fldChar w:fldCharType="end"/>
          </w:r>
        </w:p>
        <w:p w14:paraId="5091E282">
          <w:pPr>
            <w:pStyle w:val="15"/>
            <w:tabs>
              <w:tab w:val="right" w:leader="dot" w:pos="8306"/>
              <w:tab w:val="clear" w:pos="8296"/>
            </w:tabs>
            <w:rPr>
              <w:sz w:val="28"/>
              <w:szCs w:val="28"/>
            </w:rPr>
          </w:pPr>
          <w:r>
            <w:rPr>
              <w:sz w:val="28"/>
              <w:szCs w:val="28"/>
            </w:rPr>
            <w:fldChar w:fldCharType="begin"/>
          </w:r>
          <w:r>
            <w:rPr>
              <w:sz w:val="28"/>
              <w:szCs w:val="28"/>
            </w:rPr>
            <w:instrText xml:space="preserve"> HYPERLINK \l _Toc3303 </w:instrText>
          </w:r>
          <w:r>
            <w:rPr>
              <w:sz w:val="28"/>
              <w:szCs w:val="28"/>
            </w:rPr>
            <w:fldChar w:fldCharType="separate"/>
          </w:r>
          <w:r>
            <w:rPr>
              <w:rFonts w:hint="eastAsia" w:ascii="仿宋" w:hAnsi="仿宋" w:eastAsia="仿宋"/>
              <w:bCs w:val="0"/>
              <w:sz w:val="28"/>
              <w:szCs w:val="28"/>
            </w:rPr>
            <w:t>十三、财政拨款“三公”经费支出决算表</w:t>
          </w:r>
          <w:r>
            <w:rPr>
              <w:sz w:val="28"/>
              <w:szCs w:val="28"/>
            </w:rPr>
            <w:tab/>
          </w:r>
          <w:r>
            <w:rPr>
              <w:sz w:val="28"/>
              <w:szCs w:val="28"/>
            </w:rPr>
            <w:fldChar w:fldCharType="begin"/>
          </w:r>
          <w:r>
            <w:rPr>
              <w:sz w:val="28"/>
              <w:szCs w:val="28"/>
            </w:rPr>
            <w:instrText xml:space="preserve"> PAGEREF _Toc3303 \h </w:instrText>
          </w:r>
          <w:r>
            <w:rPr>
              <w:sz w:val="28"/>
              <w:szCs w:val="28"/>
            </w:rPr>
            <w:fldChar w:fldCharType="separate"/>
          </w:r>
          <w:r>
            <w:rPr>
              <w:sz w:val="28"/>
              <w:szCs w:val="28"/>
            </w:rPr>
            <w:t>20</w:t>
          </w:r>
          <w:r>
            <w:rPr>
              <w:sz w:val="28"/>
              <w:szCs w:val="28"/>
            </w:rPr>
            <w:fldChar w:fldCharType="end"/>
          </w:r>
          <w:r>
            <w:rPr>
              <w:sz w:val="28"/>
              <w:szCs w:val="28"/>
            </w:rPr>
            <w:fldChar w:fldCharType="end"/>
          </w:r>
        </w:p>
        <w:p w14:paraId="6CA0DD07">
          <w:pPr>
            <w:pStyle w:val="2"/>
            <w:rPr>
              <w:rFonts w:ascii="Times New Roman" w:hAnsi="Times New Roman" w:eastAsia="宋体" w:cs="Times New Roman"/>
              <w:kern w:val="2"/>
              <w:sz w:val="28"/>
              <w:szCs w:val="28"/>
              <w:lang w:val="en-US" w:eastAsia="zh-CN" w:bidi="ar-SA"/>
            </w:rPr>
          </w:pPr>
          <w:r>
            <w:rPr>
              <w:sz w:val="28"/>
              <w:szCs w:val="28"/>
            </w:rPr>
            <w:fldChar w:fldCharType="end"/>
          </w:r>
        </w:p>
      </w:sdtContent>
    </w:sdt>
    <w:p w14:paraId="0C1C5F18">
      <w:pPr>
        <w:pStyle w:val="3"/>
        <w:rPr>
          <w:sz w:val="28"/>
          <w:szCs w:val="28"/>
        </w:rPr>
      </w:pPr>
    </w:p>
    <w:p w14:paraId="4F9D08B9">
      <w:pPr>
        <w:pStyle w:val="5"/>
        <w:jc w:val="center"/>
        <w:outlineLvl w:val="0"/>
        <w:rPr>
          <w:rFonts w:hint="eastAsia" w:ascii="黑体" w:hAnsi="黑体" w:eastAsia="黑体"/>
          <w:b w:val="0"/>
        </w:rPr>
      </w:pPr>
      <w:bookmarkStart w:id="12" w:name="_Toc15377196"/>
      <w:bookmarkStart w:id="13" w:name="_Toc15396599"/>
    </w:p>
    <w:p w14:paraId="12E261DB">
      <w:pPr>
        <w:spacing w:line="600" w:lineRule="exact"/>
        <w:jc w:val="left"/>
        <w:outlineLvl w:val="0"/>
        <w:rPr>
          <w:rFonts w:ascii="方正小标宋简体" w:hAnsi="宋体" w:eastAsia="方正小标宋简体"/>
          <w:szCs w:val="21"/>
        </w:rPr>
      </w:pPr>
    </w:p>
    <w:p w14:paraId="462E84B5">
      <w:pPr>
        <w:pStyle w:val="8"/>
        <w:spacing w:before="93"/>
      </w:pPr>
    </w:p>
    <w:p w14:paraId="71C7C9C2">
      <w:pPr>
        <w:pStyle w:val="5"/>
        <w:jc w:val="both"/>
        <w:outlineLvl w:val="0"/>
        <w:rPr>
          <w:rFonts w:hint="eastAsia" w:ascii="黑体" w:hAnsi="黑体" w:eastAsia="黑体"/>
          <w:b w:val="0"/>
        </w:rPr>
      </w:pPr>
      <w:bookmarkStart w:id="14" w:name="_Toc30574"/>
    </w:p>
    <w:p w14:paraId="2FC48889">
      <w:pPr>
        <w:rPr>
          <w:rFonts w:hint="eastAsia"/>
        </w:rPr>
      </w:pPr>
    </w:p>
    <w:p w14:paraId="57362381">
      <w:pPr>
        <w:pStyle w:val="5"/>
        <w:jc w:val="center"/>
        <w:outlineLvl w:val="0"/>
        <w:rPr>
          <w:rStyle w:val="30"/>
          <w:rFonts w:ascii="黑体" w:hAnsi="黑体" w:eastAsia="黑体"/>
          <w:b/>
          <w:bCs w:val="0"/>
        </w:rPr>
      </w:pPr>
      <w:r>
        <w:rPr>
          <w:rFonts w:hint="eastAsia" w:ascii="黑体" w:hAnsi="黑体" w:eastAsia="黑体"/>
          <w:b w:val="0"/>
        </w:rPr>
        <w:t xml:space="preserve">第一部分 </w:t>
      </w:r>
      <w:r>
        <w:rPr>
          <w:rFonts w:hint="eastAsia" w:ascii="黑体" w:hAnsi="黑体" w:eastAsia="黑体"/>
          <w:b w:val="0"/>
          <w:lang w:val="en-US" w:eastAsia="zh-CN"/>
        </w:rPr>
        <w:t xml:space="preserve"> </w:t>
      </w:r>
      <w:r>
        <w:rPr>
          <w:rFonts w:hint="eastAsia" w:ascii="黑体" w:hAnsi="黑体" w:eastAsia="黑体"/>
          <w:b w:val="0"/>
        </w:rPr>
        <w:t>单位</w:t>
      </w:r>
      <w:r>
        <w:rPr>
          <w:rStyle w:val="30"/>
          <w:rFonts w:hint="eastAsia" w:ascii="黑体" w:hAnsi="黑体" w:eastAsia="黑体"/>
          <w:b w:val="0"/>
          <w:bCs w:val="0"/>
        </w:rPr>
        <w:t>概况</w:t>
      </w:r>
      <w:bookmarkEnd w:id="14"/>
    </w:p>
    <w:p w14:paraId="2CE04A49">
      <w:pPr>
        <w:widowControl/>
        <w:jc w:val="left"/>
        <w:rPr>
          <w:rFonts w:ascii="黑体" w:eastAsia="黑体"/>
          <w:sz w:val="32"/>
          <w:szCs w:val="32"/>
        </w:rPr>
      </w:pPr>
    </w:p>
    <w:p w14:paraId="6233B2F6">
      <w:pPr>
        <w:pStyle w:val="6"/>
        <w:numPr>
          <w:ilvl w:val="0"/>
          <w:numId w:val="1"/>
        </w:numPr>
        <w:outlineLvl w:val="1"/>
        <w:rPr>
          <w:rStyle w:val="31"/>
          <w:rFonts w:ascii="黑体" w:hAnsi="黑体" w:eastAsia="黑体"/>
          <w:b w:val="0"/>
          <w:bCs w:val="0"/>
        </w:rPr>
      </w:pPr>
      <w:bookmarkStart w:id="15" w:name="_Toc7864"/>
      <w:bookmarkStart w:id="16" w:name="_Toc15377197"/>
      <w:bookmarkStart w:id="17" w:name="_Toc15396600"/>
      <w:r>
        <w:rPr>
          <w:rStyle w:val="31"/>
          <w:rFonts w:hint="eastAsia" w:ascii="黑体" w:hAnsi="黑体" w:eastAsia="黑体"/>
          <w:b w:val="0"/>
          <w:bCs w:val="0"/>
          <w:lang w:val="en-US" w:eastAsia="zh-CN"/>
        </w:rPr>
        <w:t>单位</w:t>
      </w:r>
      <w:r>
        <w:rPr>
          <w:rStyle w:val="31"/>
          <w:rFonts w:hint="eastAsia" w:ascii="黑体" w:hAnsi="黑体" w:eastAsia="黑体"/>
          <w:b w:val="0"/>
          <w:bCs w:val="0"/>
        </w:rPr>
        <w:t>职责</w:t>
      </w:r>
      <w:bookmarkEnd w:id="15"/>
    </w:p>
    <w:p w14:paraId="3CF09AB2">
      <w:r>
        <w:rPr>
          <w:rFonts w:hint="eastAsia" w:ascii="仿宋_GB2312" w:hAnsi="仿宋" w:eastAsia="仿宋_GB2312" w:cs="Times New Roman"/>
          <w:kern w:val="2"/>
          <w:sz w:val="32"/>
          <w:szCs w:val="32"/>
          <w:lang w:val="en-US" w:eastAsia="zh-CN" w:bidi="ar-SA"/>
        </w:rPr>
        <w:t xml:space="preserve">    攀枝花市卫生和计划生育监督执法支队(参照公务员法管理事业单位)受卫生行政主管部门委托，依照法律、法规和国务院、省政府有关规定，组织开展权限范围内的卫生和计划生育监督执法工作。</w:t>
      </w:r>
    </w:p>
    <w:p w14:paraId="0EB17B1E">
      <w:pPr>
        <w:pStyle w:val="6"/>
        <w:numPr>
          <w:ilvl w:val="0"/>
          <w:numId w:val="1"/>
        </w:numPr>
        <w:rPr>
          <w:rFonts w:hint="eastAsia" w:ascii="黑体" w:hAnsi="黑体" w:eastAsia="黑体"/>
          <w:b w:val="0"/>
        </w:rPr>
      </w:pPr>
      <w:bookmarkStart w:id="18" w:name="_Toc15911"/>
      <w:r>
        <w:rPr>
          <w:rFonts w:hint="eastAsia" w:ascii="黑体" w:hAnsi="黑体" w:eastAsia="黑体"/>
          <w:b w:val="0"/>
        </w:rPr>
        <w:t>机构设置</w:t>
      </w:r>
      <w:bookmarkEnd w:id="18"/>
    </w:p>
    <w:p w14:paraId="61776306">
      <w:pPr>
        <w:numPr>
          <w:ilvl w:val="0"/>
          <w:numId w:val="0"/>
        </w:numPr>
        <w:outlineLvl w:val="9"/>
        <w:rPr>
          <w:rFonts w:hint="eastAsia" w:eastAsia="宋体"/>
          <w:lang w:val="en-US" w:eastAsia="zh-CN"/>
        </w:rPr>
      </w:pPr>
      <w:r>
        <w:rPr>
          <w:rFonts w:hint="eastAsia"/>
          <w:lang w:val="en-US" w:eastAsia="zh-CN"/>
        </w:rPr>
        <w:t xml:space="preserve">     </w:t>
      </w:r>
      <w:r>
        <w:rPr>
          <w:rFonts w:hint="eastAsia" w:ascii="仿宋_GB2312" w:eastAsia="仿宋_GB2312" w:cs="仿宋_GB2312"/>
          <w:sz w:val="32"/>
          <w:szCs w:val="32"/>
        </w:rPr>
        <w:t>攀枝花市卫生和计划生育监督执法支队为参照公</w:t>
      </w:r>
      <w:bookmarkStart w:id="98" w:name="_GoBack"/>
      <w:bookmarkEnd w:id="98"/>
      <w:r>
        <w:rPr>
          <w:rFonts w:hint="eastAsia" w:ascii="仿宋_GB2312" w:eastAsia="仿宋_GB2312" w:cs="仿宋_GB2312"/>
          <w:sz w:val="32"/>
          <w:szCs w:val="32"/>
        </w:rPr>
        <w:t>务员</w:t>
      </w:r>
      <w:r>
        <w:rPr>
          <w:rFonts w:hint="eastAsia" w:ascii="仿宋_GB2312" w:eastAsia="仿宋_GB2312" w:cs="仿宋_GB2312"/>
          <w:sz w:val="32"/>
          <w:szCs w:val="32"/>
          <w:lang w:eastAsia="zh-CN"/>
        </w:rPr>
        <w:t>法</w:t>
      </w:r>
      <w:r>
        <w:rPr>
          <w:rFonts w:hint="eastAsia" w:ascii="仿宋_GB2312" w:eastAsia="仿宋_GB2312" w:cs="仿宋_GB2312"/>
          <w:sz w:val="32"/>
          <w:szCs w:val="32"/>
        </w:rPr>
        <w:t>管理</w:t>
      </w:r>
      <w:r>
        <w:rPr>
          <w:rFonts w:hint="eastAsia" w:ascii="仿宋_GB2312" w:eastAsia="仿宋_GB2312" w:cs="仿宋_GB2312"/>
          <w:sz w:val="32"/>
          <w:szCs w:val="32"/>
          <w:lang w:eastAsia="zh-CN"/>
        </w:rPr>
        <w:t>的副县级行政执法类事业</w:t>
      </w:r>
      <w:r>
        <w:rPr>
          <w:rFonts w:hint="eastAsia" w:ascii="仿宋_GB2312" w:eastAsia="仿宋_GB2312" w:cs="仿宋_GB2312"/>
          <w:sz w:val="32"/>
          <w:szCs w:val="32"/>
        </w:rPr>
        <w:t>单位，现有编制1</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名</w:t>
      </w:r>
      <w:r>
        <w:rPr>
          <w:rFonts w:hint="eastAsia" w:ascii="仿宋_GB2312" w:eastAsia="仿宋_GB2312" w:cs="仿宋_GB2312"/>
          <w:sz w:val="32"/>
          <w:szCs w:val="32"/>
          <w:lang w:eastAsia="zh-CN"/>
        </w:rPr>
        <w:t>，内设</w:t>
      </w:r>
      <w:r>
        <w:rPr>
          <w:rFonts w:hint="eastAsia" w:ascii="仿宋_GB2312" w:eastAsia="仿宋_GB2312" w:cs="仿宋_GB2312"/>
          <w:sz w:val="32"/>
          <w:szCs w:val="32"/>
          <w:lang w:val="en-US" w:eastAsia="zh-CN"/>
        </w:rPr>
        <w:t>学校与公共卫生监督科、传染病与医疗服务监督科、计划生育与妇幼卫生监督科、许可稽查科、综合科等5个职能科室</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 xml:space="preserve"> </w:t>
      </w:r>
    </w:p>
    <w:bookmarkEnd w:id="16"/>
    <w:bookmarkEnd w:id="17"/>
    <w:p w14:paraId="30E254E1">
      <w:pPr>
        <w:widowControl/>
        <w:jc w:val="left"/>
        <w:outlineLvl w:val="9"/>
        <w:rPr>
          <w:rFonts w:ascii="仿宋" w:hAnsi="仿宋" w:eastAsia="仿宋"/>
          <w:kern w:val="0"/>
          <w:sz w:val="32"/>
          <w:szCs w:val="32"/>
        </w:rPr>
      </w:pPr>
      <w:r>
        <w:rPr>
          <w:rFonts w:ascii="仿宋" w:hAnsi="仿宋" w:eastAsia="仿宋"/>
          <w:sz w:val="32"/>
          <w:szCs w:val="32"/>
        </w:rPr>
        <w:br w:type="page"/>
      </w:r>
    </w:p>
    <w:p w14:paraId="5B88414F">
      <w:pPr>
        <w:rPr>
          <w:rFonts w:hint="eastAsia"/>
        </w:rPr>
      </w:pPr>
    </w:p>
    <w:bookmarkEnd w:id="12"/>
    <w:bookmarkEnd w:id="13"/>
    <w:p w14:paraId="43705ECA">
      <w:pPr>
        <w:pStyle w:val="5"/>
        <w:ind w:right="-94" w:rightChars="0"/>
        <w:jc w:val="center"/>
        <w:outlineLvl w:val="0"/>
        <w:rPr>
          <w:rStyle w:val="30"/>
          <w:rFonts w:ascii="黑体" w:hAnsi="黑体" w:eastAsia="黑体"/>
          <w:b w:val="0"/>
          <w:bCs/>
        </w:rPr>
      </w:pPr>
      <w:bookmarkStart w:id="19" w:name="_Toc8424"/>
      <w:bookmarkStart w:id="20" w:name="_Toc15396602"/>
      <w:bookmarkStart w:id="21" w:name="_Toc15377204"/>
      <w:r>
        <w:rPr>
          <w:rFonts w:hint="eastAsia" w:ascii="黑体" w:hAnsi="黑体" w:eastAsia="黑体"/>
          <w:b w:val="0"/>
        </w:rPr>
        <w:t xml:space="preserve">第二部分 </w:t>
      </w:r>
      <w:r>
        <w:rPr>
          <w:rFonts w:hint="eastAsia" w:ascii="黑体" w:hAnsi="黑体" w:eastAsia="黑体"/>
          <w:b w:val="0"/>
          <w:lang w:val="en-US" w:eastAsia="zh-CN"/>
        </w:rPr>
        <w:t xml:space="preserve"> </w:t>
      </w:r>
      <w:r>
        <w:rPr>
          <w:rFonts w:hint="eastAsia" w:ascii="黑体" w:hAnsi="黑体" w:eastAsia="黑体"/>
          <w:b w:val="0"/>
        </w:rPr>
        <w:t>202</w:t>
      </w:r>
      <w:r>
        <w:rPr>
          <w:rFonts w:hint="eastAsia" w:ascii="黑体" w:hAnsi="黑体" w:eastAsia="黑体"/>
          <w:b w:val="0"/>
          <w:lang w:val="en-US" w:eastAsia="zh-CN"/>
        </w:rPr>
        <w:t>4</w:t>
      </w:r>
      <w:r>
        <w:rPr>
          <w:rFonts w:hint="eastAsia" w:ascii="黑体" w:hAnsi="黑体" w:eastAsia="黑体"/>
          <w:b w:val="0"/>
        </w:rPr>
        <w:t>年度</w:t>
      </w:r>
      <w:r>
        <w:rPr>
          <w:rStyle w:val="30"/>
          <w:rFonts w:hint="eastAsia" w:ascii="黑体" w:hAnsi="黑体" w:eastAsia="黑体"/>
          <w:b w:val="0"/>
          <w:bCs/>
        </w:rPr>
        <w:t>单位决算情况说明</w:t>
      </w:r>
      <w:bookmarkEnd w:id="19"/>
      <w:bookmarkEnd w:id="20"/>
      <w:bookmarkEnd w:id="21"/>
    </w:p>
    <w:p w14:paraId="7DC665E9"/>
    <w:p w14:paraId="72B84B5E">
      <w:pPr>
        <w:pStyle w:val="29"/>
        <w:numPr>
          <w:ilvl w:val="0"/>
          <w:numId w:val="2"/>
        </w:numPr>
        <w:spacing w:line="600" w:lineRule="exact"/>
        <w:ind w:firstLineChars="0"/>
        <w:outlineLvl w:val="1"/>
        <w:rPr>
          <w:rStyle w:val="31"/>
          <w:rFonts w:ascii="黑体" w:hAnsi="黑体" w:eastAsia="黑体"/>
          <w:b w:val="0"/>
        </w:rPr>
      </w:pPr>
      <w:bookmarkStart w:id="22" w:name="_Toc15396603"/>
      <w:bookmarkStart w:id="23" w:name="_Toc15377205"/>
      <w:bookmarkStart w:id="24" w:name="_Toc29357"/>
      <w:r>
        <w:rPr>
          <w:rFonts w:hint="eastAsia" w:ascii="黑体" w:hAnsi="黑体" w:eastAsia="黑体"/>
          <w:sz w:val="32"/>
          <w:szCs w:val="32"/>
        </w:rPr>
        <w:t>收</w:t>
      </w:r>
      <w:r>
        <w:rPr>
          <w:rStyle w:val="31"/>
          <w:rFonts w:hint="eastAsia" w:ascii="黑体" w:hAnsi="黑体" w:eastAsia="黑体"/>
          <w:b w:val="0"/>
        </w:rPr>
        <w:t>入支出决算总体情况说明</w:t>
      </w:r>
      <w:bookmarkEnd w:id="22"/>
      <w:bookmarkEnd w:id="23"/>
      <w:bookmarkEnd w:id="24"/>
    </w:p>
    <w:p w14:paraId="08CE7C6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年度收、支总计均为576.64万元。与</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年度相比，收、支总计各减少</w:t>
      </w:r>
      <w:r>
        <w:rPr>
          <w:rFonts w:hint="eastAsia" w:ascii="仿宋" w:hAnsi="仿宋" w:eastAsia="仿宋"/>
          <w:sz w:val="32"/>
          <w:szCs w:val="32"/>
          <w:lang w:val="en-US" w:eastAsia="zh-CN"/>
        </w:rPr>
        <w:t>105.69</w:t>
      </w:r>
      <w:r>
        <w:rPr>
          <w:rFonts w:hint="eastAsia" w:ascii="仿宋" w:hAnsi="仿宋" w:eastAsia="仿宋"/>
          <w:sz w:val="32"/>
          <w:szCs w:val="32"/>
        </w:rPr>
        <w:t>万元，下降</w:t>
      </w:r>
      <w:r>
        <w:rPr>
          <w:rFonts w:hint="eastAsia" w:ascii="仿宋" w:hAnsi="仿宋" w:eastAsia="仿宋"/>
          <w:sz w:val="32"/>
          <w:szCs w:val="32"/>
          <w:lang w:val="en-US" w:eastAsia="zh-CN"/>
        </w:rPr>
        <w:t>15.49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其他卫生健康支出减少</w:t>
      </w:r>
      <w:r>
        <w:rPr>
          <w:rFonts w:hint="eastAsia" w:ascii="仿宋" w:hAnsi="仿宋" w:eastAsia="仿宋"/>
          <w:sz w:val="32"/>
          <w:szCs w:val="32"/>
        </w:rPr>
        <w:t>。</w:t>
      </w:r>
    </w:p>
    <w:p w14:paraId="29224BAE">
      <w:pPr>
        <w:spacing w:line="600" w:lineRule="exact"/>
        <w:ind w:left="638" w:leftChars="304" w:firstLine="0" w:firstLineChars="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7F0C94DE">
      <w:pPr>
        <w:pStyle w:val="2"/>
        <w:rPr>
          <w:rFonts w:hint="eastAsia" w:ascii="仿宋" w:hAnsi="仿宋" w:eastAsia="仿宋"/>
          <w:color w:val="auto"/>
          <w:sz w:val="32"/>
          <w:szCs w:val="32"/>
          <w:highlight w:val="none"/>
        </w:rPr>
      </w:pPr>
    </w:p>
    <w:p w14:paraId="2833AB3E">
      <w:pPr>
        <w:pStyle w:val="3"/>
        <w:rPr>
          <w:rFonts w:hint="eastAsia" w:ascii="仿宋" w:hAnsi="仿宋" w:eastAsia="仿宋"/>
          <w:sz w:val="32"/>
          <w:szCs w:val="32"/>
        </w:rPr>
      </w:pPr>
      <w:r>
        <w:rPr>
          <w:rFonts w:hint="eastAsia" w:eastAsia="仿宋"/>
          <w:lang w:eastAsia="zh-CN"/>
        </w:rPr>
        <w:drawing>
          <wp:inline distT="0" distB="0" distL="114300" distR="114300">
            <wp:extent cx="5080000" cy="3810000"/>
            <wp:effectExtent l="4445" t="4445"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A022D9A">
      <w:pPr>
        <w:pStyle w:val="29"/>
        <w:numPr>
          <w:ilvl w:val="0"/>
          <w:numId w:val="2"/>
        </w:numPr>
        <w:spacing w:line="600" w:lineRule="exact"/>
        <w:ind w:firstLineChars="0"/>
        <w:outlineLvl w:val="1"/>
        <w:rPr>
          <w:rStyle w:val="31"/>
          <w:rFonts w:ascii="黑体" w:hAnsi="黑体" w:eastAsia="黑体"/>
          <w:b w:val="0"/>
        </w:rPr>
      </w:pPr>
      <w:bookmarkStart w:id="25" w:name="_Toc6071"/>
      <w:bookmarkStart w:id="26" w:name="_Toc15377206"/>
      <w:bookmarkStart w:id="27" w:name="_Toc15396604"/>
      <w:r>
        <w:rPr>
          <w:rFonts w:hint="eastAsia" w:ascii="黑体" w:hAnsi="黑体" w:eastAsia="黑体"/>
          <w:sz w:val="32"/>
          <w:szCs w:val="32"/>
        </w:rPr>
        <w:t>收</w:t>
      </w:r>
      <w:r>
        <w:rPr>
          <w:rStyle w:val="31"/>
          <w:rFonts w:hint="eastAsia" w:ascii="黑体" w:hAnsi="黑体" w:eastAsia="黑体"/>
          <w:b w:val="0"/>
        </w:rPr>
        <w:t>入决算情况说明</w:t>
      </w:r>
      <w:bookmarkEnd w:id="25"/>
      <w:bookmarkEnd w:id="26"/>
      <w:bookmarkEnd w:id="27"/>
    </w:p>
    <w:p w14:paraId="4DBDC76F">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576.59万元，其中：一般公共预算财政拨款收入576.59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29E4FE03">
      <w:pPr>
        <w:spacing w:line="600" w:lineRule="exact"/>
        <w:ind w:firstLine="640" w:firstLineChars="200"/>
        <w:rPr>
          <w:rFonts w:hint="eastAsia" w:ascii="仿宋" w:hAnsi="仿宋" w:eastAsia="仿宋"/>
          <w:b/>
          <w:sz w:val="32"/>
          <w:szCs w:val="32"/>
          <w:lang w:eastAsia="zh-CN"/>
        </w:rPr>
      </w:pPr>
      <w:r>
        <w:rPr>
          <w:rFonts w:hint="eastAsia" w:ascii="仿宋" w:hAnsi="仿宋" w:eastAsia="仿宋"/>
          <w:color w:val="auto"/>
          <w:sz w:val="32"/>
          <w:szCs w:val="32"/>
          <w:highlight w:val="none"/>
        </w:rPr>
        <w:t>（图2：收入决算结构图）（饼状图）</w:t>
      </w:r>
    </w:p>
    <w:p w14:paraId="64E9809D">
      <w:pPr>
        <w:pStyle w:val="21"/>
        <w:ind w:left="638" w:leftChars="304" w:firstLine="0" w:firstLineChars="0"/>
        <w:jc w:val="both"/>
        <w:outlineLvl w:val="9"/>
        <w:rPr>
          <w:rFonts w:hint="eastAsia" w:ascii="仿宋" w:hAnsi="仿宋" w:eastAsia="仿宋"/>
          <w:b/>
          <w:sz w:val="32"/>
          <w:szCs w:val="32"/>
          <w:lang w:eastAsia="zh-CN"/>
        </w:rPr>
      </w:pPr>
      <w:r>
        <w:rPr>
          <w:rFonts w:hint="eastAsia" w:ascii="仿宋" w:hAnsi="仿宋" w:eastAsia="仿宋"/>
          <w:b/>
          <w:sz w:val="32"/>
          <w:szCs w:val="32"/>
          <w:lang w:eastAsia="zh-CN"/>
        </w:rPr>
        <w:drawing>
          <wp:inline distT="0" distB="0" distL="114300" distR="114300">
            <wp:extent cx="3911600" cy="2972435"/>
            <wp:effectExtent l="4445" t="4445" r="15875" b="101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3EC216">
      <w:pPr>
        <w:pStyle w:val="29"/>
        <w:numPr>
          <w:ilvl w:val="0"/>
          <w:numId w:val="2"/>
        </w:numPr>
        <w:spacing w:line="600" w:lineRule="exact"/>
        <w:ind w:firstLineChars="0"/>
        <w:outlineLvl w:val="1"/>
        <w:rPr>
          <w:rStyle w:val="31"/>
          <w:rFonts w:ascii="黑体" w:hAnsi="黑体" w:eastAsia="黑体"/>
          <w:b w:val="0"/>
        </w:rPr>
      </w:pPr>
      <w:bookmarkStart w:id="28" w:name="_Toc15396605"/>
      <w:bookmarkStart w:id="29" w:name="_Toc58"/>
      <w:bookmarkStart w:id="30" w:name="_Toc15377207"/>
      <w:r>
        <w:rPr>
          <w:rFonts w:hint="eastAsia" w:ascii="黑体" w:hAnsi="黑体" w:eastAsia="黑体"/>
          <w:sz w:val="32"/>
          <w:szCs w:val="32"/>
        </w:rPr>
        <w:t>支</w:t>
      </w:r>
      <w:r>
        <w:rPr>
          <w:rStyle w:val="31"/>
          <w:rFonts w:hint="eastAsia" w:ascii="黑体" w:hAnsi="黑体" w:eastAsia="黑体"/>
          <w:b w:val="0"/>
        </w:rPr>
        <w:t>出决算情况说明</w:t>
      </w:r>
      <w:bookmarkEnd w:id="28"/>
      <w:bookmarkEnd w:id="29"/>
      <w:bookmarkEnd w:id="30"/>
    </w:p>
    <w:p w14:paraId="71F330C7">
      <w:pPr>
        <w:spacing w:line="600" w:lineRule="exact"/>
        <w:ind w:firstLine="640" w:firstLineChars="200"/>
        <w:outlineLvl w:val="9"/>
        <w:rPr>
          <w:rFonts w:ascii="仿宋" w:hAnsi="仿宋" w:eastAsia="仿宋"/>
          <w:sz w:val="32"/>
          <w:szCs w:val="32"/>
        </w:rPr>
      </w:pPr>
      <w:bookmarkStart w:id="31" w:name="_Toc3004"/>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576.64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491.1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85.16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85.55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14.83</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bookmarkEnd w:id="31"/>
    </w:p>
    <w:p w14:paraId="0C8E2271">
      <w:pPr>
        <w:spacing w:line="600" w:lineRule="exact"/>
        <w:ind w:firstLine="640" w:firstLineChars="200"/>
        <w:outlineLvl w:val="9"/>
        <w:rPr>
          <w:rFonts w:ascii="仿宋" w:hAnsi="仿宋" w:eastAsia="仿宋"/>
          <w:sz w:val="32"/>
          <w:szCs w:val="32"/>
        </w:rPr>
      </w:pPr>
      <w:r>
        <w:rPr>
          <w:rFonts w:hint="eastAsia" w:ascii="仿宋" w:hAnsi="仿宋" w:eastAsia="仿宋"/>
          <w:sz w:val="32"/>
          <w:szCs w:val="32"/>
        </w:rPr>
        <w:t>（图3：支出决算结构图）（饼状图）</w:t>
      </w:r>
    </w:p>
    <w:p w14:paraId="471E96B1">
      <w:pPr>
        <w:spacing w:line="600" w:lineRule="exact"/>
        <w:ind w:firstLine="640" w:firstLineChars="200"/>
        <w:outlineLvl w:val="9"/>
        <w:rPr>
          <w:rFonts w:hint="eastAsia" w:ascii="黑体" w:hAnsi="黑体" w:eastAsia="黑体"/>
          <w:sz w:val="32"/>
          <w:szCs w:val="32"/>
        </w:rPr>
      </w:pPr>
      <w:bookmarkStart w:id="32" w:name="_Toc15396606"/>
      <w:bookmarkStart w:id="33" w:name="_Toc15377208"/>
    </w:p>
    <w:p w14:paraId="185EBB5D">
      <w:pPr>
        <w:spacing w:line="600" w:lineRule="exact"/>
        <w:ind w:firstLine="640" w:firstLineChars="200"/>
        <w:outlineLvl w:val="9"/>
        <w:rPr>
          <w:rFonts w:hint="eastAsia" w:ascii="黑体" w:hAnsi="黑体" w:eastAsia="黑体"/>
          <w:sz w:val="32"/>
          <w:szCs w:val="32"/>
        </w:rPr>
      </w:pPr>
    </w:p>
    <w:p w14:paraId="1B925288">
      <w:pPr>
        <w:pStyle w:val="3"/>
        <w:ind w:left="0" w:leftChars="0" w:firstLine="0" w:firstLineChars="0"/>
        <w:rPr>
          <w:rFonts w:hint="eastAsia" w:ascii="黑体" w:hAnsi="黑体" w:eastAsia="黑体"/>
          <w:sz w:val="32"/>
          <w:szCs w:val="32"/>
          <w:lang w:val="en-US" w:eastAsia="zh-CN"/>
        </w:rPr>
      </w:pPr>
    </w:p>
    <w:p w14:paraId="4D08E202">
      <w:pPr>
        <w:pStyle w:val="3"/>
        <w:rPr>
          <w:rFonts w:hint="eastAsia" w:ascii="黑体" w:hAnsi="黑体" w:eastAsia="黑体"/>
          <w:sz w:val="32"/>
          <w:szCs w:val="32"/>
        </w:rPr>
      </w:pPr>
      <w:r>
        <w:rPr>
          <w:rFonts w:hint="eastAsia" w:ascii="黑体" w:hAnsi="黑体" w:eastAsia="黑体"/>
          <w:sz w:val="32"/>
          <w:szCs w:val="32"/>
          <w:lang w:eastAsia="zh-CN"/>
        </w:rPr>
        <w:drawing>
          <wp:inline distT="0" distB="0" distL="114300" distR="114300">
            <wp:extent cx="4784090" cy="3565525"/>
            <wp:effectExtent l="4445" t="5080" r="1206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8F609D">
      <w:pPr>
        <w:spacing w:line="600" w:lineRule="exact"/>
        <w:ind w:firstLine="640" w:firstLineChars="200"/>
        <w:outlineLvl w:val="1"/>
        <w:rPr>
          <w:rStyle w:val="31"/>
          <w:rFonts w:ascii="黑体" w:hAnsi="黑体" w:eastAsia="黑体"/>
          <w:b w:val="0"/>
        </w:rPr>
      </w:pPr>
      <w:bookmarkStart w:id="34" w:name="_Toc15063"/>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2"/>
      <w:bookmarkEnd w:id="33"/>
      <w:bookmarkEnd w:id="34"/>
    </w:p>
    <w:p w14:paraId="4E92CC67">
      <w:pPr>
        <w:spacing w:line="600" w:lineRule="exact"/>
        <w:ind w:firstLine="640" w:firstLineChars="200"/>
        <w:rPr>
          <w:rFonts w:hint="eastAsia"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576.59</w:t>
      </w:r>
      <w:r>
        <w:rPr>
          <w:rFonts w:hint="eastAsia" w:ascii="Times New Roman" w:hAnsi="Times New Roman" w:eastAsia="仿宋_GB2312" w:cs="仿宋_GB2312"/>
          <w:color w:val="auto"/>
          <w:kern w:val="2"/>
          <w:sz w:val="32"/>
          <w:szCs w:val="32"/>
          <w:highlight w:val="none"/>
          <w:lang w:val="en-US" w:eastAsia="zh-CN" w:bidi="ar-SA"/>
        </w:rPr>
        <w:t>万元。与202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年度相比，财政拨款收入总计、支出总计各减少</w:t>
      </w:r>
      <w:r>
        <w:rPr>
          <w:rFonts w:hint="eastAsia" w:ascii="仿宋" w:hAnsi="仿宋" w:eastAsia="仿宋"/>
          <w:sz w:val="32"/>
          <w:szCs w:val="32"/>
          <w:lang w:val="en-US" w:eastAsia="zh-CN"/>
        </w:rPr>
        <w:t>102.68</w:t>
      </w:r>
      <w:r>
        <w:rPr>
          <w:rFonts w:hint="eastAsia" w:ascii="仿宋" w:hAnsi="仿宋" w:eastAsia="仿宋"/>
          <w:sz w:val="32"/>
          <w:szCs w:val="32"/>
        </w:rPr>
        <w:t>万元，下降</w:t>
      </w:r>
      <w:r>
        <w:rPr>
          <w:rFonts w:hint="eastAsia" w:ascii="仿宋" w:hAnsi="仿宋" w:eastAsia="仿宋"/>
          <w:sz w:val="32"/>
          <w:szCs w:val="32"/>
          <w:lang w:val="en-US" w:eastAsia="zh-CN"/>
        </w:rPr>
        <w:t>15.12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其他卫生健康支出减少</w:t>
      </w:r>
      <w:r>
        <w:rPr>
          <w:rFonts w:hint="eastAsia" w:ascii="仿宋" w:hAnsi="仿宋" w:eastAsia="仿宋"/>
          <w:sz w:val="32"/>
          <w:szCs w:val="32"/>
        </w:rPr>
        <w:t>。</w:t>
      </w:r>
    </w:p>
    <w:p w14:paraId="4E7B9310">
      <w:pPr>
        <w:spacing w:line="600" w:lineRule="exact"/>
        <w:ind w:firstLine="640"/>
        <w:rPr>
          <w:rFonts w:hint="eastAsia" w:ascii="仿宋" w:hAnsi="仿宋" w:eastAsia="仿宋"/>
          <w:sz w:val="32"/>
          <w:szCs w:val="32"/>
        </w:rPr>
      </w:pPr>
      <w:r>
        <w:rPr>
          <w:rFonts w:hint="eastAsia" w:ascii="仿宋" w:hAnsi="仿宋" w:eastAsia="仿宋"/>
          <w:sz w:val="32"/>
          <w:szCs w:val="32"/>
        </w:rPr>
        <w:t>（图4：财政拨款收、支决算总计变动情况）（柱状图）</w:t>
      </w:r>
    </w:p>
    <w:p w14:paraId="2421B6A2">
      <w:pPr>
        <w:pStyle w:val="2"/>
        <w:rPr>
          <w:rFonts w:hint="eastAsia" w:ascii="仿宋" w:hAnsi="仿宋" w:eastAsia="仿宋"/>
          <w:sz w:val="32"/>
          <w:szCs w:val="32"/>
        </w:rPr>
      </w:pPr>
    </w:p>
    <w:p w14:paraId="70FCAF8F">
      <w:pPr>
        <w:pStyle w:val="3"/>
        <w:rPr>
          <w:rFonts w:hint="eastAsia" w:eastAsia="仿宋"/>
          <w:lang w:eastAsia="zh-CN"/>
        </w:rPr>
      </w:pPr>
      <w:r>
        <w:rPr>
          <w:rFonts w:hint="eastAsia" w:eastAsia="仿宋"/>
          <w:lang w:eastAsia="zh-CN"/>
        </w:rPr>
        <w:drawing>
          <wp:inline distT="0" distB="0" distL="114300" distR="114300">
            <wp:extent cx="3599815" cy="2245360"/>
            <wp:effectExtent l="4445" t="4445" r="7620"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2E57F8">
      <w:pPr>
        <w:spacing w:line="600" w:lineRule="exact"/>
        <w:ind w:firstLine="640" w:firstLineChars="200"/>
        <w:outlineLvl w:val="1"/>
        <w:rPr>
          <w:rStyle w:val="31"/>
          <w:rFonts w:ascii="黑体" w:hAnsi="黑体" w:eastAsia="黑体"/>
          <w:b w:val="0"/>
        </w:rPr>
      </w:pPr>
      <w:bookmarkStart w:id="35" w:name="_Toc15377209"/>
      <w:bookmarkStart w:id="36" w:name="_Toc26552"/>
      <w:bookmarkStart w:id="37" w:name="_Toc1539660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5"/>
      <w:bookmarkEnd w:id="36"/>
      <w:bookmarkEnd w:id="37"/>
    </w:p>
    <w:p w14:paraId="62A7CB06">
      <w:pPr>
        <w:spacing w:line="600" w:lineRule="exact"/>
        <w:ind w:firstLine="643" w:firstLineChars="200"/>
        <w:outlineLvl w:val="2"/>
        <w:rPr>
          <w:rFonts w:ascii="仿宋" w:hAnsi="仿宋" w:eastAsia="仿宋"/>
          <w:b/>
          <w:sz w:val="32"/>
          <w:szCs w:val="32"/>
        </w:rPr>
      </w:pPr>
      <w:bookmarkStart w:id="38" w:name="_Toc15377210"/>
      <w:r>
        <w:rPr>
          <w:rFonts w:hint="eastAsia" w:ascii="仿宋" w:hAnsi="仿宋" w:eastAsia="仿宋"/>
          <w:b/>
          <w:sz w:val="32"/>
          <w:szCs w:val="32"/>
        </w:rPr>
        <w:t>（一）一般公共预算财政拨款支出决算总体情况</w:t>
      </w:r>
      <w:bookmarkEnd w:id="38"/>
    </w:p>
    <w:p w14:paraId="49F56A1E">
      <w:pPr>
        <w:spacing w:line="600" w:lineRule="exact"/>
        <w:ind w:firstLine="640" w:firstLineChars="200"/>
        <w:rPr>
          <w:rFonts w:hint="eastAsia" w:ascii="仿宋" w:hAnsi="仿宋" w:eastAsia="仿宋"/>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576.59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99.99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ascii="仿宋" w:hAnsi="仿宋" w:eastAsia="仿宋"/>
          <w:sz w:val="32"/>
          <w:szCs w:val="32"/>
          <w:lang w:val="en-US" w:eastAsia="zh-CN"/>
        </w:rPr>
        <w:t>102.68</w:t>
      </w:r>
      <w:r>
        <w:rPr>
          <w:rFonts w:hint="eastAsia" w:ascii="仿宋" w:hAnsi="仿宋" w:eastAsia="仿宋"/>
          <w:sz w:val="32"/>
          <w:szCs w:val="32"/>
        </w:rPr>
        <w:t>万元，下降</w:t>
      </w:r>
      <w:r>
        <w:rPr>
          <w:rFonts w:hint="eastAsia" w:ascii="仿宋" w:hAnsi="仿宋" w:eastAsia="仿宋"/>
          <w:sz w:val="32"/>
          <w:szCs w:val="32"/>
          <w:lang w:val="en-US" w:eastAsia="zh-CN"/>
        </w:rPr>
        <w:t>15.12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其他卫生健康支出减少</w:t>
      </w:r>
      <w:r>
        <w:rPr>
          <w:rFonts w:hint="eastAsia" w:ascii="仿宋" w:hAnsi="仿宋" w:eastAsia="仿宋"/>
          <w:sz w:val="32"/>
          <w:szCs w:val="32"/>
        </w:rPr>
        <w:t>。</w:t>
      </w:r>
    </w:p>
    <w:p w14:paraId="097BF805">
      <w:pPr>
        <w:spacing w:line="600" w:lineRule="exact"/>
        <w:ind w:firstLine="960" w:firstLineChars="3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14:paraId="34EAEB99">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393055" cy="5102860"/>
            <wp:effectExtent l="4445" t="4445" r="12700"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F81E35">
      <w:pPr>
        <w:spacing w:line="600" w:lineRule="exact"/>
        <w:outlineLvl w:val="9"/>
        <w:rPr>
          <w:rFonts w:hint="eastAsia" w:ascii="仿宋" w:hAnsi="仿宋" w:eastAsia="仿宋"/>
          <w:b/>
          <w:sz w:val="32"/>
          <w:szCs w:val="32"/>
        </w:rPr>
      </w:pPr>
      <w:bookmarkStart w:id="39" w:name="_Toc15377211"/>
    </w:p>
    <w:p w14:paraId="60F1048E">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9"/>
    </w:p>
    <w:p w14:paraId="7B083A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576.59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一般公共服务支出0万元，占0%；教育支出0万元，占0%；科学技术支出0万元，占0%；文化旅游体育与传媒支出0万元，占0%；社会保障和就业支出100.59万元，占17.</w:t>
      </w:r>
      <w:r>
        <w:rPr>
          <w:rFonts w:hint="eastAsia" w:eastAsia="仿宋_GB2312" w:cs="仿宋_GB2312"/>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en-US" w:eastAsia="zh-CN" w:bidi="ar-SA"/>
        </w:rPr>
        <w:t>%；卫生健康支出441.9</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万元，占76.6</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%；住房保障支出34.06万元，占</w:t>
      </w:r>
      <w:r>
        <w:rPr>
          <w:rFonts w:hint="eastAsia" w:eastAsia="仿宋_GB2312" w:cs="仿宋_GB2312"/>
          <w:color w:val="auto"/>
          <w:kern w:val="2"/>
          <w:sz w:val="32"/>
          <w:szCs w:val="32"/>
          <w:highlight w:val="none"/>
          <w:lang w:val="en-US" w:eastAsia="zh-CN" w:bidi="ar-SA"/>
        </w:rPr>
        <w:t>5.9</w:t>
      </w:r>
      <w:r>
        <w:rPr>
          <w:rFonts w:hint="eastAsia" w:ascii="Times New Roman" w:hAnsi="Times New Roman" w:eastAsia="仿宋_GB2312" w:cs="仿宋_GB2312"/>
          <w:color w:val="auto"/>
          <w:kern w:val="2"/>
          <w:sz w:val="32"/>
          <w:szCs w:val="32"/>
          <w:highlight w:val="none"/>
          <w:lang w:val="en-US" w:eastAsia="zh-CN" w:bidi="ar-SA"/>
        </w:rPr>
        <w:t>%；</w:t>
      </w:r>
    </w:p>
    <w:p w14:paraId="102AC03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041C761B">
      <w:pPr>
        <w:pStyle w:val="2"/>
        <w:rPr>
          <w:rFonts w:hint="eastAsia" w:ascii="仿宋" w:hAnsi="仿宋" w:eastAsia="仿宋"/>
          <w:b/>
          <w:sz w:val="32"/>
          <w:szCs w:val="32"/>
        </w:rPr>
      </w:pPr>
      <w:r>
        <w:rPr>
          <w:rFonts w:hint="eastAsia" w:eastAsia="仿宋"/>
          <w:lang w:eastAsia="zh-CN"/>
        </w:rPr>
        <w:drawing>
          <wp:inline distT="0" distB="0" distL="114300" distR="114300">
            <wp:extent cx="5080000" cy="3810000"/>
            <wp:effectExtent l="4445" t="4445" r="5715" b="107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40" w:name="_Toc15377212"/>
    </w:p>
    <w:p w14:paraId="58711AE1">
      <w:pPr>
        <w:spacing w:line="600" w:lineRule="exact"/>
        <w:ind w:firstLine="643" w:firstLineChars="200"/>
        <w:outlineLvl w:val="9"/>
        <w:rPr>
          <w:rFonts w:ascii="仿宋" w:hAnsi="仿宋" w:eastAsia="仿宋"/>
          <w:b/>
          <w:sz w:val="32"/>
          <w:szCs w:val="32"/>
        </w:rPr>
      </w:pPr>
      <w:r>
        <w:rPr>
          <w:rFonts w:hint="eastAsia" w:ascii="仿宋" w:hAnsi="仿宋" w:eastAsia="仿宋"/>
          <w:b/>
          <w:sz w:val="32"/>
          <w:szCs w:val="32"/>
          <w:lang w:val="en-US" w:eastAsia="zh-CN"/>
        </w:rPr>
        <w:t xml:space="preserve"> </w:t>
      </w:r>
      <w:r>
        <w:rPr>
          <w:rFonts w:hint="eastAsia" w:ascii="仿宋" w:hAnsi="仿宋" w:eastAsia="仿宋"/>
          <w:b/>
          <w:sz w:val="32"/>
          <w:szCs w:val="32"/>
        </w:rPr>
        <w:t>（三）一般公共预算财政拨款支出决算具体情况</w:t>
      </w:r>
      <w:bookmarkEnd w:id="40"/>
    </w:p>
    <w:p w14:paraId="28913D31">
      <w:pPr>
        <w:spacing w:line="600" w:lineRule="exact"/>
        <w:ind w:firstLine="640" w:firstLineChars="200"/>
        <w:rPr>
          <w:rFonts w:hint="eastAsia" w:ascii="仿宋" w:hAnsi="仿宋" w:eastAsia="仿宋"/>
          <w:sz w:val="32"/>
          <w:szCs w:val="32"/>
          <w:lang w:val="en-US" w:eastAsia="zh-CN"/>
        </w:rPr>
      </w:pPr>
      <w:bookmarkStart w:id="41" w:name="_Toc15378460"/>
      <w:bookmarkStart w:id="42" w:name="_Toc15377213"/>
      <w:bookmarkStart w:id="43" w:name="_Toc15377444"/>
      <w:r>
        <w:rPr>
          <w:rFonts w:hint="eastAsia" w:ascii="仿宋" w:hAnsi="仿宋" w:eastAsia="仿宋"/>
          <w:sz w:val="32"/>
          <w:szCs w:val="32"/>
          <w:lang w:val="en-US" w:eastAsia="zh-CN"/>
        </w:rPr>
        <w:t>2024年度一般公共预算支出决算数为576.59万元，完成预算100%。其中：</w:t>
      </w:r>
      <w:bookmarkEnd w:id="41"/>
      <w:bookmarkEnd w:id="42"/>
      <w:bookmarkEnd w:id="43"/>
    </w:p>
    <w:p w14:paraId="0F2D61D4">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1.社会保障和就业支出（类）行政事业单位养老支出（款）行政单位离退休（项）：支出决算数为58.39万元，完成预算100%，决算数等于预算数。</w:t>
      </w:r>
    </w:p>
    <w:p w14:paraId="262A3C84">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2.社会保障和就业支出（类）行政事业单位养老支出（款）机关事业单位基本养老保险缴费支出（项）：支出决算为42.2万元，完成预算100%，决算数等于预算数。</w:t>
      </w:r>
    </w:p>
    <w:p w14:paraId="26F75946">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3.卫生健康支出（类）公共卫生（款）卫生监督机构（项）：支出决算数为329.89万元，完成预算100%，决算数等于预算数。</w:t>
      </w:r>
    </w:p>
    <w:p w14:paraId="0325FEBD">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4.卫生健康支出（类）公共卫生（款）基本公共卫生服务（项）：支出决算数为40.47万元，完成预算100%,决算数等于预算数。</w:t>
      </w:r>
    </w:p>
    <w:p w14:paraId="1482EE75">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5.卫生健康支出（类）行政事业单位医疗（款）行政单位医疗（项）：支出决算数为21.89万元，完成预算100%，决算数等于预算数。</w:t>
      </w:r>
    </w:p>
    <w:p w14:paraId="7FC77F6C">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6.卫生健康支出（类）行政事业单位医疗（款）公务员医疗补助（项）：支出决算数为2.28万元，完成预算100%，决算数等于预算数。</w:t>
      </w:r>
    </w:p>
    <w:p w14:paraId="2264008E">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7.卫生健康支出（类）行政事业单位医疗（款）其他行政事业单位医疗支出（项）：支出决算数为2.8万元，完成预算100%，决算数等于预算数。</w:t>
      </w:r>
    </w:p>
    <w:p w14:paraId="0A8C88B7">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8.卫生健康（类）其他卫生健康支出（款）其他卫生健康支出（项）：支出决算数为44.63万元，成预算100%，决算数等于预算数。</w:t>
      </w:r>
    </w:p>
    <w:p w14:paraId="2561F815">
      <w:pPr>
        <w:spacing w:line="600" w:lineRule="exact"/>
        <w:ind w:firstLine="640" w:firstLineChars="200"/>
        <w:rPr>
          <w:rFonts w:hint="eastAsia" w:ascii="仿宋" w:hAnsi="仿宋" w:eastAsia="仿宋"/>
          <w:b/>
          <w:sz w:val="32"/>
          <w:szCs w:val="32"/>
          <w:lang w:val="en-US" w:eastAsia="zh-CN"/>
        </w:rPr>
      </w:pPr>
      <w:r>
        <w:rPr>
          <w:rFonts w:hint="eastAsia" w:ascii="仿宋" w:hAnsi="仿宋" w:eastAsia="仿宋"/>
          <w:sz w:val="32"/>
          <w:szCs w:val="32"/>
          <w:lang w:val="en-US" w:eastAsia="zh-CN"/>
        </w:rPr>
        <w:t>9.住房保障支出（类）住房改革支出（款）住房公积金（项）：支出决算</w:t>
      </w:r>
      <w:r>
        <w:rPr>
          <w:rFonts w:hint="eastAsia" w:eastAsia="仿宋"/>
          <w:color w:val="000000"/>
          <w:sz w:val="32"/>
          <w:szCs w:val="32"/>
        </w:rPr>
        <w:t>数为</w:t>
      </w:r>
      <w:r>
        <w:rPr>
          <w:rStyle w:val="19"/>
          <w:rFonts w:hint="eastAsia" w:ascii="仿宋" w:hAnsi="仿宋" w:eastAsia="仿宋"/>
          <w:b w:val="0"/>
          <w:bCs/>
          <w:color w:val="000000"/>
          <w:sz w:val="32"/>
          <w:szCs w:val="32"/>
          <w:lang w:val="en-US" w:eastAsia="zh-CN"/>
        </w:rPr>
        <w:t>34.06</w:t>
      </w:r>
      <w:r>
        <w:rPr>
          <w:rFonts w:hint="eastAsia" w:eastAsia="仿宋"/>
          <w:color w:val="000000"/>
          <w:sz w:val="32"/>
          <w:szCs w:val="32"/>
        </w:rPr>
        <w:t>万元，</w:t>
      </w:r>
      <w:r>
        <w:rPr>
          <w:rFonts w:hint="eastAsia" w:eastAsia="仿宋"/>
          <w:sz w:val="32"/>
          <w:szCs w:val="32"/>
        </w:rPr>
        <w:t>完成预算</w:t>
      </w:r>
      <w:r>
        <w:rPr>
          <w:rFonts w:hint="eastAsia" w:ascii="仿宋" w:hAnsi="仿宋" w:eastAsia="仿宋"/>
          <w:sz w:val="32"/>
          <w:szCs w:val="32"/>
          <w:lang w:val="en-US" w:eastAsia="zh-CN"/>
        </w:rPr>
        <w:t>100%</w:t>
      </w:r>
      <w:r>
        <w:rPr>
          <w:rStyle w:val="19"/>
          <w:rFonts w:hint="eastAsia" w:ascii="仿宋" w:hAnsi="仿宋" w:eastAsia="仿宋"/>
          <w:b w:val="0"/>
          <w:bCs/>
          <w:color w:val="000000"/>
          <w:sz w:val="32"/>
          <w:szCs w:val="32"/>
        </w:rPr>
        <w:t>，决算数等于预算数</w:t>
      </w:r>
      <w:r>
        <w:rPr>
          <w:rFonts w:hint="eastAsia" w:eastAsia="仿宋"/>
          <w:sz w:val="32"/>
          <w:szCs w:val="32"/>
        </w:rPr>
        <w:t>。</w:t>
      </w:r>
    </w:p>
    <w:p w14:paraId="2CB6A0EB">
      <w:pPr>
        <w:tabs>
          <w:tab w:val="right" w:pos="8306"/>
        </w:tabs>
        <w:spacing w:line="600" w:lineRule="exact"/>
        <w:ind w:firstLine="640"/>
        <w:outlineLvl w:val="1"/>
        <w:rPr>
          <w:rStyle w:val="31"/>
        </w:rPr>
      </w:pPr>
      <w:bookmarkStart w:id="44" w:name="_Toc23404"/>
      <w:bookmarkStart w:id="45" w:name="_Toc15396608"/>
      <w:bookmarkStart w:id="46"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4"/>
      <w:bookmarkEnd w:id="45"/>
      <w:bookmarkEnd w:id="46"/>
      <w:r>
        <w:rPr>
          <w:rStyle w:val="31"/>
          <w:rFonts w:ascii="黑体" w:hAnsi="黑体" w:eastAsia="黑体"/>
          <w:b w:val="0"/>
        </w:rPr>
        <w:tab/>
      </w:r>
    </w:p>
    <w:p w14:paraId="4A4FF9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7" w:name="_Toc15377215"/>
      <w:bookmarkStart w:id="48" w:name="_Toc15396609"/>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491.1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984C0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447.31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43.79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6FB5884">
      <w:pPr>
        <w:spacing w:line="600" w:lineRule="exact"/>
        <w:ind w:firstLine="640"/>
        <w:outlineLvl w:val="1"/>
        <w:rPr>
          <w:rStyle w:val="31"/>
          <w:rFonts w:ascii="黑体" w:hAnsi="黑体" w:eastAsia="黑体"/>
          <w:b w:val="0"/>
        </w:rPr>
      </w:pPr>
      <w:bookmarkStart w:id="49" w:name="_Toc20073"/>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47"/>
      <w:bookmarkEnd w:id="48"/>
      <w:bookmarkEnd w:id="49"/>
    </w:p>
    <w:p w14:paraId="33CB0E1A">
      <w:pPr>
        <w:spacing w:line="600" w:lineRule="exact"/>
        <w:ind w:firstLine="640"/>
        <w:outlineLvl w:val="2"/>
        <w:rPr>
          <w:rFonts w:ascii="仿宋" w:hAnsi="仿宋" w:eastAsia="仿宋"/>
          <w:b/>
          <w:sz w:val="32"/>
          <w:szCs w:val="32"/>
        </w:rPr>
      </w:pPr>
      <w:bookmarkStart w:id="50" w:name="_Toc15377216"/>
      <w:r>
        <w:rPr>
          <w:rFonts w:hint="eastAsia" w:ascii="仿宋" w:hAnsi="仿宋" w:eastAsia="仿宋"/>
          <w:b/>
          <w:sz w:val="32"/>
          <w:szCs w:val="32"/>
        </w:rPr>
        <w:t>（一）“三公”经费财政拨款支出决算总体情况说明</w:t>
      </w:r>
      <w:bookmarkEnd w:id="50"/>
    </w:p>
    <w:p w14:paraId="4D6DA2FB">
      <w:pPr>
        <w:spacing w:line="600" w:lineRule="exact"/>
        <w:ind w:firstLine="640"/>
        <w:rPr>
          <w:rFonts w:ascii="仿宋" w:hAnsi="仿宋" w:eastAsia="仿宋"/>
          <w:color w:val="auto"/>
          <w:sz w:val="32"/>
          <w:szCs w:val="32"/>
        </w:rPr>
      </w:pPr>
      <w:r>
        <w:rPr>
          <w:rFonts w:hint="eastAsia" w:ascii="仿宋" w:hAnsi="仿宋" w:eastAsia="仿宋"/>
          <w:color w:val="auto"/>
          <w:sz w:val="32"/>
          <w:szCs w:val="32"/>
          <w:lang w:eastAsia="zh-CN"/>
        </w:rPr>
        <w:t>2024</w:t>
      </w:r>
      <w:r>
        <w:rPr>
          <w:rFonts w:hint="eastAsia" w:ascii="仿宋" w:hAnsi="仿宋" w:eastAsia="仿宋"/>
          <w:color w:val="auto"/>
          <w:sz w:val="32"/>
          <w:szCs w:val="32"/>
        </w:rPr>
        <w:t>年度“三公”经费财政拨款支出决算为</w:t>
      </w:r>
      <w:r>
        <w:rPr>
          <w:rFonts w:hint="eastAsia" w:ascii="仿宋" w:hAnsi="仿宋" w:eastAsia="仿宋"/>
          <w:sz w:val="32"/>
          <w:szCs w:val="32"/>
          <w:lang w:val="en-US" w:eastAsia="zh-CN"/>
        </w:rPr>
        <w:t>2.29</w:t>
      </w:r>
      <w:r>
        <w:rPr>
          <w:rFonts w:hint="eastAsia" w:ascii="仿宋" w:hAnsi="仿宋" w:eastAsia="仿宋"/>
          <w:color w:val="auto"/>
          <w:sz w:val="32"/>
          <w:szCs w:val="32"/>
        </w:rPr>
        <w:t>万元，完成预算</w:t>
      </w:r>
      <w:r>
        <w:rPr>
          <w:rFonts w:hint="eastAsia" w:ascii="仿宋" w:hAnsi="仿宋" w:eastAsia="仿宋"/>
          <w:sz w:val="32"/>
          <w:szCs w:val="32"/>
          <w:lang w:val="en-US" w:eastAsia="zh-CN"/>
        </w:rPr>
        <w:t>100.00</w:t>
      </w:r>
      <w:r>
        <w:rPr>
          <w:rFonts w:ascii="仿宋" w:hAnsi="仿宋" w:eastAsia="仿宋"/>
          <w:color w:val="auto"/>
          <w:sz w:val="32"/>
          <w:szCs w:val="32"/>
        </w:rPr>
        <w:t>%</w:t>
      </w:r>
      <w:r>
        <w:rPr>
          <w:rFonts w:hint="eastAsia" w:ascii="仿宋" w:hAnsi="仿宋" w:eastAsia="仿宋"/>
          <w:color w:val="auto"/>
          <w:sz w:val="32"/>
          <w:szCs w:val="32"/>
        </w:rPr>
        <w:t>，较上年度减少</w:t>
      </w:r>
      <w:r>
        <w:rPr>
          <w:rFonts w:hint="eastAsia" w:ascii="仿宋" w:hAnsi="仿宋" w:eastAsia="仿宋"/>
          <w:color w:val="auto"/>
          <w:sz w:val="32"/>
          <w:szCs w:val="32"/>
          <w:lang w:val="en-US" w:eastAsia="zh-CN"/>
        </w:rPr>
        <w:t>4.85</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211.79</w:t>
      </w:r>
      <w:r>
        <w:rPr>
          <w:rFonts w:hint="eastAsia" w:ascii="仿宋" w:hAnsi="仿宋" w:eastAsia="仿宋"/>
          <w:color w:val="auto"/>
          <w:sz w:val="32"/>
          <w:szCs w:val="32"/>
        </w:rPr>
        <w:t>%。决算数小于预算数的主要原因是年内单位厉行节约，减少开支。</w:t>
      </w:r>
    </w:p>
    <w:p w14:paraId="23733C29">
      <w:pPr>
        <w:spacing w:line="600" w:lineRule="exact"/>
        <w:ind w:firstLine="640"/>
        <w:outlineLvl w:val="2"/>
        <w:rPr>
          <w:rFonts w:ascii="仿宋" w:hAnsi="仿宋" w:eastAsia="仿宋"/>
          <w:b/>
          <w:sz w:val="32"/>
          <w:szCs w:val="32"/>
        </w:rPr>
      </w:pPr>
      <w:bookmarkStart w:id="51" w:name="_Toc15377217"/>
      <w:r>
        <w:rPr>
          <w:rFonts w:hint="eastAsia" w:ascii="仿宋" w:hAnsi="仿宋" w:eastAsia="仿宋"/>
          <w:b/>
          <w:sz w:val="32"/>
          <w:szCs w:val="32"/>
        </w:rPr>
        <w:t>（二）“三公”经费财政拨款支出决算具体情况说明</w:t>
      </w:r>
      <w:bookmarkEnd w:id="51"/>
    </w:p>
    <w:p w14:paraId="6BDACE93">
      <w:pPr>
        <w:spacing w:line="60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年度“三公”经费财政拨款支出决算中，因公出国（境）费支出决算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1.62</w:t>
      </w:r>
      <w:r>
        <w:rPr>
          <w:rFonts w:hint="eastAsia" w:ascii="仿宋" w:hAnsi="仿宋" w:eastAsia="仿宋"/>
          <w:sz w:val="32"/>
          <w:szCs w:val="32"/>
        </w:rPr>
        <w:t>万元，占</w:t>
      </w:r>
      <w:r>
        <w:rPr>
          <w:rFonts w:hint="eastAsia" w:ascii="仿宋" w:hAnsi="仿宋" w:eastAsia="仿宋"/>
          <w:sz w:val="32"/>
          <w:szCs w:val="32"/>
          <w:lang w:val="en-US" w:eastAsia="zh-CN"/>
        </w:rPr>
        <w:t>71</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0.67</w:t>
      </w:r>
      <w:r>
        <w:rPr>
          <w:rFonts w:hint="eastAsia" w:ascii="仿宋" w:hAnsi="仿宋" w:eastAsia="仿宋"/>
          <w:sz w:val="32"/>
          <w:szCs w:val="32"/>
        </w:rPr>
        <w:t>万元，占</w:t>
      </w:r>
      <w:r>
        <w:rPr>
          <w:rFonts w:hint="eastAsia" w:ascii="仿宋" w:hAnsi="仿宋" w:eastAsia="仿宋"/>
          <w:sz w:val="32"/>
          <w:szCs w:val="32"/>
          <w:lang w:val="en-US" w:eastAsia="zh-CN"/>
        </w:rPr>
        <w:t>29</w:t>
      </w:r>
      <w:r>
        <w:rPr>
          <w:rFonts w:ascii="仿宋" w:hAnsi="仿宋" w:eastAsia="仿宋"/>
          <w:sz w:val="32"/>
          <w:szCs w:val="32"/>
        </w:rPr>
        <w:t>%</w:t>
      </w:r>
      <w:r>
        <w:rPr>
          <w:rFonts w:hint="eastAsia" w:ascii="仿宋" w:hAnsi="仿宋" w:eastAsia="仿宋"/>
          <w:sz w:val="32"/>
          <w:szCs w:val="32"/>
        </w:rPr>
        <w:t>。具体情况如下：</w:t>
      </w:r>
    </w:p>
    <w:p w14:paraId="031341FC">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3C51FF85">
      <w:pPr>
        <w:spacing w:line="600" w:lineRule="exact"/>
        <w:ind w:firstLine="640"/>
        <w:rPr>
          <w:rFonts w:hint="eastAsia" w:ascii="仿宋_GB2312" w:eastAsia="仿宋_GB2312"/>
          <w:b/>
          <w:sz w:val="32"/>
          <w:szCs w:val="32"/>
          <w:lang w:eastAsia="zh-CN"/>
        </w:rPr>
      </w:pPr>
      <w:bookmarkStart w:id="52" w:name="_Toc15377218"/>
      <w:bookmarkStart w:id="53" w:name="_Toc15396610"/>
    </w:p>
    <w:p w14:paraId="5EE70ECA">
      <w:pPr>
        <w:spacing w:line="600" w:lineRule="exact"/>
        <w:ind w:firstLine="640"/>
        <w:rPr>
          <w:rFonts w:ascii="仿宋_GB2312" w:eastAsia="仿宋_GB2312"/>
          <w:b/>
          <w:sz w:val="32"/>
          <w:szCs w:val="32"/>
        </w:rPr>
      </w:pPr>
    </w:p>
    <w:p w14:paraId="55B63EB9">
      <w:pPr>
        <w:spacing w:line="600" w:lineRule="exact"/>
        <w:ind w:firstLine="640"/>
        <w:rPr>
          <w:rFonts w:ascii="仿宋_GB2312" w:eastAsia="仿宋_GB2312"/>
          <w:b/>
          <w:sz w:val="32"/>
          <w:szCs w:val="32"/>
        </w:rPr>
      </w:pPr>
    </w:p>
    <w:p w14:paraId="54EF6DC3">
      <w:pPr>
        <w:spacing w:line="600" w:lineRule="exact"/>
        <w:ind w:firstLine="640"/>
        <w:rPr>
          <w:rFonts w:ascii="仿宋_GB2312" w:eastAsia="仿宋_GB2312"/>
          <w:b/>
          <w:sz w:val="32"/>
          <w:szCs w:val="32"/>
        </w:rPr>
      </w:pPr>
    </w:p>
    <w:p w14:paraId="5B89A5A3">
      <w:pPr>
        <w:spacing w:line="600" w:lineRule="exact"/>
        <w:ind w:firstLine="640"/>
        <w:rPr>
          <w:rFonts w:ascii="仿宋_GB2312" w:eastAsia="仿宋_GB2312"/>
          <w:b/>
          <w:sz w:val="32"/>
          <w:szCs w:val="32"/>
        </w:rPr>
      </w:pPr>
    </w:p>
    <w:p w14:paraId="0BB929F4">
      <w:pPr>
        <w:spacing w:line="600" w:lineRule="exact"/>
        <w:ind w:firstLine="640"/>
        <w:rPr>
          <w:rFonts w:ascii="仿宋_GB2312" w:eastAsia="仿宋_GB2312"/>
          <w:b/>
          <w:sz w:val="32"/>
          <w:szCs w:val="32"/>
        </w:rPr>
      </w:pPr>
    </w:p>
    <w:p w14:paraId="5F8F397D">
      <w:pPr>
        <w:spacing w:line="600" w:lineRule="exact"/>
        <w:ind w:firstLine="640"/>
        <w:rPr>
          <w:rFonts w:ascii="仿宋_GB2312" w:eastAsia="仿宋_GB2312"/>
          <w:b/>
          <w:sz w:val="32"/>
          <w:szCs w:val="32"/>
        </w:rPr>
      </w:pPr>
      <w:r>
        <w:rPr>
          <w:rFonts w:hint="eastAsia" w:ascii="仿宋_GB2312" w:eastAsia="仿宋_GB2312"/>
          <w:b/>
          <w:sz w:val="32"/>
          <w:szCs w:val="32"/>
          <w:lang w:eastAsia="zh-CN"/>
        </w:rPr>
        <w:drawing>
          <wp:anchor distT="0" distB="0" distL="114300" distR="114300" simplePos="0" relativeHeight="251659264" behindDoc="0" locked="0" layoutInCell="1" allowOverlap="1">
            <wp:simplePos x="0" y="0"/>
            <wp:positionH relativeFrom="column">
              <wp:posOffset>410845</wp:posOffset>
            </wp:positionH>
            <wp:positionV relativeFrom="paragraph">
              <wp:posOffset>-2143760</wp:posOffset>
            </wp:positionV>
            <wp:extent cx="3843655" cy="2430145"/>
            <wp:effectExtent l="4445" t="5080" r="7620" b="1841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3ADE333">
      <w:pPr>
        <w:spacing w:line="600" w:lineRule="exact"/>
        <w:ind w:firstLine="640"/>
        <w:rPr>
          <w:rFonts w:ascii="仿宋_GB2312" w:eastAsia="仿宋_GB2312"/>
          <w:b/>
          <w:sz w:val="32"/>
          <w:szCs w:val="32"/>
        </w:rPr>
      </w:pPr>
      <w:r>
        <w:rPr>
          <w:rFonts w:hint="eastAsia" w:ascii="仿宋" w:hAnsi="仿宋" w:eastAsia="仿宋"/>
          <w:sz w:val="32"/>
          <w:szCs w:val="32"/>
          <w:lang w:val="en-US" w:eastAsia="zh-CN"/>
        </w:rPr>
        <w:t>1.因公出国（境）经费支出0万元，完成预算0%。全年安排因公出国（境）团组0次</w:t>
      </w:r>
      <w:r>
        <w:rPr>
          <w:rFonts w:hint="eastAsia" w:ascii="仿宋_GB2312" w:eastAsia="仿宋_GB2312"/>
          <w:sz w:val="32"/>
          <w:szCs w:val="32"/>
        </w:rPr>
        <w:t>，出国（境）</w:t>
      </w:r>
      <w:r>
        <w:rPr>
          <w:rFonts w:hint="eastAsia" w:ascii="仿宋" w:hAnsi="仿宋" w:eastAsia="仿宋"/>
          <w:sz w:val="32"/>
          <w:szCs w:val="32"/>
          <w:lang w:val="en-US" w:eastAsia="zh-CN"/>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hAnsi="Times New Roman" w:eastAsia="仿宋_GB2312" w:cs="仿宋_GB2312"/>
          <w:b w:val="0"/>
          <w:bCs w:val="0"/>
          <w:caps w:val="0"/>
          <w:color w:val="auto"/>
          <w:kern w:val="2"/>
          <w:sz w:val="32"/>
          <w:szCs w:val="32"/>
          <w:vertAlign w:val="baseline"/>
          <w:lang w:val="en-US" w:eastAsia="zh-CN" w:bidi="ar"/>
        </w:rPr>
        <w:t>持平</w:t>
      </w:r>
      <w:r>
        <w:rPr>
          <w:rFonts w:hint="eastAsia" w:ascii="仿宋_GB2312" w:eastAsia="仿宋_GB2312"/>
          <w:sz w:val="32"/>
          <w:szCs w:val="32"/>
        </w:rPr>
        <w:t>。</w:t>
      </w:r>
    </w:p>
    <w:p w14:paraId="3ADAA1F2">
      <w:pPr>
        <w:spacing w:line="600" w:lineRule="exact"/>
        <w:ind w:firstLine="640"/>
        <w:rPr>
          <w:rFonts w:ascii="仿宋_GB2312" w:eastAsia="仿宋_GB2312"/>
          <w:b/>
          <w:sz w:val="32"/>
          <w:szCs w:val="32"/>
        </w:rPr>
      </w:pPr>
      <w:r>
        <w:rPr>
          <w:rFonts w:hint="eastAsia" w:ascii="仿宋" w:hAnsi="仿宋" w:eastAsia="仿宋"/>
          <w:sz w:val="32"/>
          <w:szCs w:val="32"/>
          <w:lang w:val="en-US" w:eastAsia="zh-CN"/>
        </w:rPr>
        <w:t>2.公务用车购置及运行维护费支出1.62</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Fonts w:hint="eastAsia" w:ascii="仿宋" w:hAnsi="仿宋" w:eastAsia="仿宋"/>
          <w:sz w:val="32"/>
          <w:szCs w:val="32"/>
          <w:highlight w:val="none"/>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年度减少</w:t>
      </w:r>
      <w:r>
        <w:rPr>
          <w:rFonts w:hint="eastAsia" w:ascii="仿宋_GB2312" w:eastAsia="仿宋_GB2312"/>
          <w:sz w:val="32"/>
          <w:szCs w:val="32"/>
          <w:lang w:val="en-US" w:eastAsia="zh-CN"/>
        </w:rPr>
        <w:t>5.05</w:t>
      </w:r>
      <w:r>
        <w:rPr>
          <w:rFonts w:hint="eastAsia" w:ascii="仿宋_GB2312" w:eastAsia="仿宋_GB2312"/>
          <w:sz w:val="32"/>
          <w:szCs w:val="32"/>
        </w:rPr>
        <w:t>万元，下降</w:t>
      </w:r>
      <w:r>
        <w:rPr>
          <w:rFonts w:hint="eastAsia" w:ascii="仿宋_GB2312" w:eastAsia="仿宋_GB2312"/>
          <w:sz w:val="32"/>
          <w:szCs w:val="32"/>
          <w:lang w:val="en-US" w:eastAsia="zh-CN"/>
        </w:rPr>
        <w:t>311.72</w:t>
      </w:r>
      <w:r>
        <w:rPr>
          <w:rFonts w:ascii="仿宋_GB2312" w:eastAsia="仿宋_GB2312"/>
          <w:sz w:val="32"/>
          <w:szCs w:val="32"/>
        </w:rPr>
        <w:t>%</w:t>
      </w:r>
      <w:r>
        <w:rPr>
          <w:rFonts w:hint="eastAsia" w:ascii="仿宋_GB2312" w:eastAsia="仿宋_GB2312"/>
          <w:sz w:val="32"/>
          <w:szCs w:val="32"/>
        </w:rPr>
        <w:t>。主要</w:t>
      </w:r>
      <w:r>
        <w:rPr>
          <w:rFonts w:hint="eastAsia" w:ascii="仿宋_GB2312" w:eastAsia="仿宋_GB2312"/>
          <w:sz w:val="32"/>
          <w:szCs w:val="32"/>
          <w:lang w:eastAsia="zh-CN"/>
        </w:rPr>
        <w:t>由于</w:t>
      </w:r>
      <w:r>
        <w:rPr>
          <w:rFonts w:hint="eastAsia" w:ascii="仿宋_GB2312" w:eastAsia="仿宋_GB2312"/>
          <w:sz w:val="32"/>
          <w:szCs w:val="32"/>
          <w:lang w:val="en-US" w:eastAsia="zh-CN"/>
        </w:rPr>
        <w:t>2024年机构改革，支队整体划转到市计划生育协会机关，市计划生育协会机关属于群团性组织，无行政执法职能，导致执法工作大幅减少，用车频率减少；2辆车下半年已报废未下账</w:t>
      </w:r>
      <w:r>
        <w:rPr>
          <w:rFonts w:hint="eastAsia" w:ascii="仿宋" w:hAnsi="仿宋" w:eastAsia="仿宋"/>
          <w:color w:val="auto"/>
          <w:sz w:val="32"/>
          <w:szCs w:val="32"/>
        </w:rPr>
        <w:t>。</w:t>
      </w:r>
    </w:p>
    <w:p w14:paraId="5126BA0D">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 w:hAnsi="仿宋" w:eastAsia="仿宋"/>
          <w:sz w:val="32"/>
          <w:szCs w:val="32"/>
          <w:lang w:val="en-US" w:eastAsia="zh-CN"/>
        </w:rPr>
        <w:t>：公务用车购置支出0万</w:t>
      </w:r>
      <w:r>
        <w:rPr>
          <w:rFonts w:hint="eastAsia" w:ascii="仿宋_GB2312" w:eastAsia="仿宋_GB2312"/>
          <w:sz w:val="32"/>
          <w:szCs w:val="32"/>
        </w:rPr>
        <w:t>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5</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2</w:t>
      </w:r>
      <w:r>
        <w:rPr>
          <w:rFonts w:hint="eastAsia" w:ascii="仿宋_GB2312" w:eastAsia="仿宋_GB2312"/>
          <w:sz w:val="32"/>
          <w:szCs w:val="32"/>
        </w:rPr>
        <w:t>辆、载客汽车</w:t>
      </w:r>
      <w:r>
        <w:rPr>
          <w:rFonts w:hint="eastAsia" w:ascii="仿宋_GB2312" w:eastAsia="仿宋_GB2312"/>
          <w:sz w:val="32"/>
          <w:szCs w:val="32"/>
          <w:lang w:val="en-US" w:eastAsia="zh-CN"/>
        </w:rPr>
        <w:t>3</w:t>
      </w:r>
      <w:r>
        <w:rPr>
          <w:rFonts w:hint="eastAsia" w:ascii="仿宋_GB2312" w:eastAsia="仿宋_GB2312"/>
          <w:sz w:val="32"/>
          <w:szCs w:val="32"/>
        </w:rPr>
        <w:t>辆。</w:t>
      </w:r>
    </w:p>
    <w:p w14:paraId="7BB1C7A7">
      <w:pPr>
        <w:spacing w:line="600" w:lineRule="exact"/>
        <w:ind w:firstLine="640"/>
        <w:rPr>
          <w:rFonts w:ascii="仿宋_GB2312" w:eastAsia="仿宋_GB2312"/>
          <w:sz w:val="32"/>
          <w:szCs w:val="32"/>
        </w:rPr>
      </w:pPr>
      <w:r>
        <w:rPr>
          <w:rFonts w:hint="eastAsia" w:ascii="仿宋" w:hAnsi="仿宋" w:eastAsia="仿宋"/>
          <w:sz w:val="32"/>
          <w:szCs w:val="32"/>
          <w:lang w:val="en-US" w:eastAsia="zh-CN"/>
        </w:rPr>
        <w:t>公务用车运行维护费支出1.62</w:t>
      </w:r>
      <w:r>
        <w:rPr>
          <w:rFonts w:hint="eastAsia" w:ascii="仿宋_GB2312" w:eastAsia="仿宋_GB2312"/>
          <w:sz w:val="32"/>
          <w:szCs w:val="32"/>
        </w:rPr>
        <w:t>万元。主要用于</w:t>
      </w:r>
      <w:r>
        <w:rPr>
          <w:rFonts w:hint="eastAsia" w:ascii="仿宋_GB2312" w:eastAsia="仿宋_GB2312"/>
          <w:sz w:val="32"/>
          <w:szCs w:val="32"/>
          <w:lang w:eastAsia="zh-CN"/>
        </w:rPr>
        <w:t>开展</w:t>
      </w:r>
      <w:r>
        <w:rPr>
          <w:rFonts w:hint="eastAsia" w:ascii="仿宋_GB2312" w:eastAsia="仿宋_GB2312"/>
          <w:color w:val="000000"/>
          <w:sz w:val="32"/>
          <w:szCs w:val="32"/>
          <w:lang w:eastAsia="zh-CN"/>
        </w:rPr>
        <w:t>卫生监督</w:t>
      </w:r>
      <w:r>
        <w:rPr>
          <w:rFonts w:hint="eastAsia" w:ascii="仿宋_GB2312" w:eastAsia="仿宋_GB2312"/>
          <w:color w:val="000000"/>
          <w:sz w:val="32"/>
          <w:szCs w:val="32"/>
        </w:rPr>
        <w:t>工作</w:t>
      </w:r>
      <w:r>
        <w:rPr>
          <w:rFonts w:hint="eastAsia" w:ascii="仿宋_GB2312" w:eastAsia="仿宋_GB2312"/>
          <w:sz w:val="32"/>
          <w:szCs w:val="32"/>
        </w:rPr>
        <w:t>等所需的公务用车燃料费、维修费、过路过桥费、保险费等支出。</w:t>
      </w:r>
    </w:p>
    <w:p w14:paraId="31F05465">
      <w:pPr>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rPr>
        <w:t>3.公务接待费支出</w:t>
      </w:r>
      <w:r>
        <w:rPr>
          <w:rFonts w:hint="eastAsia" w:ascii="仿宋" w:hAnsi="仿宋" w:eastAsia="仿宋"/>
          <w:color w:val="auto"/>
          <w:sz w:val="32"/>
          <w:szCs w:val="32"/>
          <w:lang w:val="en-US" w:eastAsia="zh-CN"/>
        </w:rPr>
        <w:t>0.67</w:t>
      </w:r>
      <w:r>
        <w:rPr>
          <w:rFonts w:hint="eastAsia" w:ascii="仿宋" w:hAnsi="仿宋" w:eastAsia="仿宋"/>
          <w:color w:val="auto"/>
          <w:sz w:val="32"/>
          <w:szCs w:val="32"/>
        </w:rPr>
        <w:t>万元，完成预算</w:t>
      </w:r>
      <w:r>
        <w:rPr>
          <w:rFonts w:hint="eastAsia" w:ascii="仿宋_GB2312" w:eastAsia="仿宋_GB2312"/>
          <w:color w:val="auto"/>
          <w:sz w:val="32"/>
          <w:szCs w:val="32"/>
          <w:lang w:val="en-US" w:eastAsia="zh-CN"/>
        </w:rPr>
        <w:t>100</w:t>
      </w:r>
      <w:r>
        <w:rPr>
          <w:rFonts w:hint="eastAsia" w:ascii="仿宋" w:hAnsi="仿宋" w:eastAsia="仿宋"/>
          <w:color w:val="auto"/>
          <w:sz w:val="32"/>
          <w:szCs w:val="32"/>
        </w:rPr>
        <w:t>%。公务接待费支出决算比202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年度</w:t>
      </w:r>
      <w:r>
        <w:rPr>
          <w:rFonts w:hint="eastAsia" w:ascii="仿宋" w:hAnsi="仿宋" w:eastAsia="仿宋"/>
          <w:color w:val="auto"/>
          <w:sz w:val="32"/>
          <w:szCs w:val="32"/>
          <w:lang w:eastAsia="zh-CN"/>
        </w:rPr>
        <w:t>增加</w:t>
      </w:r>
      <w:r>
        <w:rPr>
          <w:rFonts w:hint="eastAsia" w:ascii="仿宋" w:hAnsi="仿宋" w:eastAsia="仿宋"/>
          <w:color w:val="auto"/>
          <w:sz w:val="32"/>
          <w:szCs w:val="32"/>
          <w:lang w:val="en-US" w:eastAsia="zh-CN"/>
        </w:rPr>
        <w:t>0.3</w:t>
      </w:r>
      <w:r>
        <w:rPr>
          <w:rFonts w:hint="eastAsia" w:ascii="仿宋" w:hAnsi="仿宋" w:eastAsia="仿宋"/>
          <w:color w:val="auto"/>
          <w:sz w:val="32"/>
          <w:szCs w:val="32"/>
        </w:rPr>
        <w:t>万元，</w:t>
      </w:r>
      <w:r>
        <w:rPr>
          <w:rFonts w:hint="eastAsia" w:ascii="仿宋" w:hAnsi="仿宋" w:eastAsia="仿宋"/>
          <w:color w:val="auto"/>
          <w:sz w:val="32"/>
          <w:szCs w:val="32"/>
          <w:lang w:eastAsia="zh-CN"/>
        </w:rPr>
        <w:t>上升</w:t>
      </w:r>
      <w:r>
        <w:rPr>
          <w:rFonts w:hint="eastAsia" w:ascii="仿宋" w:hAnsi="仿宋" w:eastAsia="仿宋"/>
          <w:color w:val="auto"/>
          <w:sz w:val="32"/>
          <w:szCs w:val="32"/>
          <w:lang w:val="en-US" w:eastAsia="zh-CN"/>
        </w:rPr>
        <w:t>44.78</w:t>
      </w:r>
      <w:r>
        <w:rPr>
          <w:rFonts w:hint="eastAsia" w:ascii="仿宋" w:hAnsi="仿宋" w:eastAsia="仿宋"/>
          <w:color w:val="auto"/>
          <w:sz w:val="32"/>
          <w:szCs w:val="32"/>
        </w:rPr>
        <w:t>%。主要原因是年内单位厉行节约，减少开支。</w:t>
      </w:r>
      <w:r>
        <w:rPr>
          <w:rFonts w:hint="eastAsia" w:ascii="仿宋_GB2312" w:eastAsia="仿宋_GB2312"/>
          <w:color w:val="auto"/>
          <w:sz w:val="32"/>
          <w:szCs w:val="32"/>
        </w:rPr>
        <w:t>其中：</w:t>
      </w:r>
    </w:p>
    <w:p w14:paraId="0ECAFC53">
      <w:pPr>
        <w:spacing w:line="600" w:lineRule="exact"/>
        <w:ind w:firstLine="640"/>
        <w:rPr>
          <w:rFonts w:ascii="仿宋_GB2312" w:eastAsia="仿宋_GB2312"/>
          <w:sz w:val="32"/>
          <w:szCs w:val="32"/>
          <w:highlight w:val="none"/>
        </w:rPr>
      </w:pPr>
      <w:r>
        <w:rPr>
          <w:rFonts w:hint="eastAsia" w:ascii="仿宋" w:hAnsi="仿宋" w:eastAsia="仿宋"/>
          <w:sz w:val="32"/>
          <w:szCs w:val="32"/>
          <w:highlight w:val="none"/>
          <w:lang w:val="en-US" w:eastAsia="zh-CN"/>
        </w:rPr>
        <w:t>国内公务接待支出0.67</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卫生监督</w:t>
      </w:r>
      <w:r>
        <w:rPr>
          <w:rFonts w:hint="eastAsia" w:ascii="仿宋_GB2312" w:eastAsia="仿宋_GB2312"/>
          <w:sz w:val="32"/>
          <w:szCs w:val="32"/>
          <w:highlight w:val="none"/>
        </w:rPr>
        <w:t>执行公务、开展业务活动开支的用餐费。国内公务接待</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41</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0.67</w:t>
      </w:r>
      <w:r>
        <w:rPr>
          <w:rFonts w:hint="eastAsia" w:ascii="仿宋_GB2312" w:eastAsia="仿宋_GB2312"/>
          <w:sz w:val="32"/>
          <w:szCs w:val="32"/>
          <w:highlight w:val="none"/>
        </w:rPr>
        <w:t>万元，具体内容包括：</w:t>
      </w:r>
      <w:r>
        <w:rPr>
          <w:rFonts w:hint="eastAsia" w:ascii="仿宋_GB2312" w:eastAsia="仿宋_GB2312"/>
          <w:sz w:val="32"/>
          <w:szCs w:val="32"/>
          <w:highlight w:val="none"/>
          <w:lang w:val="en-US" w:eastAsia="zh-CN"/>
        </w:rPr>
        <w:t>接待连云港卫监所来攀交流学习840.00元，接待国家疾控局来攀调研职业卫生工作1794.00元，接待省卫健委执法监督局来攀调研机构改革进展情况980.00元，接待省督导调研专家调研职业卫生重点工作情况718.00元，接待楚雄卫健委执法局交流学习728.00元。接待省疾控局来攀督察卫生健康领域重点机构生态环保工作850.00元，接待省卫健委执法监督局来攀督导传染病分类监督综合评价省级抽查工作827.00元。</w:t>
      </w:r>
    </w:p>
    <w:p w14:paraId="37189488">
      <w:pPr>
        <w:spacing w:line="600" w:lineRule="exact"/>
        <w:ind w:firstLine="640" w:firstLineChars="200"/>
        <w:rPr>
          <w:rFonts w:ascii="黑体" w:eastAsia="黑体"/>
          <w:sz w:val="32"/>
          <w:szCs w:val="32"/>
        </w:rPr>
      </w:pPr>
      <w:r>
        <w:rPr>
          <w:rFonts w:hint="eastAsia" w:ascii="仿宋" w:hAnsi="仿宋" w:eastAsia="仿宋"/>
          <w:sz w:val="32"/>
          <w:szCs w:val="32"/>
          <w:lang w:val="en-US" w:eastAsia="zh-CN"/>
        </w:rPr>
        <w:t>外事接待支出0万</w:t>
      </w:r>
      <w:r>
        <w:rPr>
          <w:rFonts w:hint="eastAsia" w:ascii="仿宋_GB2312" w:eastAsia="仿宋_GB2312"/>
          <w:sz w:val="32"/>
          <w:szCs w:val="32"/>
        </w:rPr>
        <w:t>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359A931">
      <w:pPr>
        <w:spacing w:line="600" w:lineRule="exact"/>
        <w:ind w:firstLine="640"/>
        <w:outlineLvl w:val="1"/>
        <w:rPr>
          <w:rStyle w:val="31"/>
          <w:rFonts w:ascii="黑体" w:hAnsi="黑体" w:eastAsia="黑体"/>
        </w:rPr>
      </w:pPr>
      <w:bookmarkStart w:id="54" w:name="_Toc4053"/>
      <w:r>
        <w:rPr>
          <w:rFonts w:hint="eastAsia" w:ascii="黑体" w:eastAsia="黑体"/>
          <w:sz w:val="32"/>
          <w:szCs w:val="32"/>
        </w:rPr>
        <w:t>八、</w:t>
      </w:r>
      <w:r>
        <w:rPr>
          <w:rStyle w:val="31"/>
          <w:rFonts w:hint="eastAsia" w:ascii="黑体" w:hAnsi="黑体" w:eastAsia="黑体"/>
          <w:b w:val="0"/>
        </w:rPr>
        <w:t>政府性基金预算支出决算情况说明</w:t>
      </w:r>
      <w:bookmarkEnd w:id="52"/>
      <w:bookmarkEnd w:id="53"/>
      <w:bookmarkEnd w:id="54"/>
    </w:p>
    <w:p w14:paraId="53401D3B">
      <w:pPr>
        <w:spacing w:line="600" w:lineRule="exact"/>
        <w:ind w:firstLine="64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年度政府性基金预算财政拨款支出</w:t>
      </w:r>
      <w:r>
        <w:rPr>
          <w:rFonts w:hint="eastAsia" w:ascii="仿宋" w:hAnsi="仿宋" w:eastAsia="仿宋"/>
          <w:sz w:val="32"/>
          <w:szCs w:val="32"/>
          <w:lang w:val="en-US" w:eastAsia="zh-CN"/>
        </w:rPr>
        <w:t>0</w:t>
      </w:r>
      <w:r>
        <w:rPr>
          <w:rFonts w:hint="eastAsia" w:ascii="仿宋_GB2312" w:eastAsia="仿宋_GB2312"/>
          <w:sz w:val="32"/>
          <w:szCs w:val="32"/>
        </w:rPr>
        <w:t>万元。</w:t>
      </w:r>
    </w:p>
    <w:p w14:paraId="583448CC">
      <w:pPr>
        <w:numPr>
          <w:ilvl w:val="0"/>
          <w:numId w:val="3"/>
        </w:numPr>
        <w:spacing w:line="600" w:lineRule="exact"/>
        <w:ind w:firstLine="640"/>
        <w:outlineLvl w:val="1"/>
        <w:rPr>
          <w:rStyle w:val="31"/>
          <w:rFonts w:ascii="黑体" w:hAnsi="黑体" w:eastAsia="黑体"/>
          <w:b w:val="0"/>
        </w:rPr>
      </w:pPr>
      <w:bookmarkStart w:id="55" w:name="_Toc15377219"/>
      <w:bookmarkStart w:id="56" w:name="_Toc11863"/>
      <w:bookmarkStart w:id="57" w:name="_Toc15396611"/>
      <w:r>
        <w:rPr>
          <w:rStyle w:val="31"/>
          <w:rFonts w:hint="eastAsia" w:ascii="黑体" w:hAnsi="黑体" w:eastAsia="黑体"/>
          <w:b w:val="0"/>
        </w:rPr>
        <w:t>国有资本经营预算支出决算情况说明</w:t>
      </w:r>
      <w:bookmarkEnd w:id="55"/>
      <w:bookmarkEnd w:id="56"/>
      <w:bookmarkEnd w:id="57"/>
    </w:p>
    <w:p w14:paraId="76CA7537">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lang w:eastAsia="zh-CN"/>
        </w:rPr>
        <w:t>2024</w:t>
      </w:r>
      <w:r>
        <w:rPr>
          <w:rFonts w:hint="eastAsia" w:ascii="仿宋_GB2312" w:eastAsia="仿宋_GB2312"/>
          <w:sz w:val="32"/>
          <w:szCs w:val="32"/>
        </w:rPr>
        <w:t>年度国有资本经营预算财政拨款支出</w:t>
      </w:r>
      <w:r>
        <w:rPr>
          <w:rFonts w:hint="eastAsia" w:ascii="仿宋" w:hAnsi="仿宋" w:eastAsia="仿宋"/>
          <w:sz w:val="32"/>
          <w:szCs w:val="32"/>
          <w:lang w:val="en-US" w:eastAsia="zh-CN"/>
        </w:rPr>
        <w:t>0</w:t>
      </w:r>
      <w:r>
        <w:rPr>
          <w:rFonts w:hint="eastAsia" w:ascii="仿宋_GB2312" w:eastAsia="仿宋_GB2312"/>
          <w:sz w:val="32"/>
          <w:szCs w:val="32"/>
        </w:rPr>
        <w:t>万元。</w:t>
      </w:r>
    </w:p>
    <w:p w14:paraId="46DBF5FC">
      <w:pPr>
        <w:numPr>
          <w:ilvl w:val="0"/>
          <w:numId w:val="3"/>
        </w:numPr>
        <w:spacing w:line="600" w:lineRule="exact"/>
        <w:ind w:firstLine="640"/>
        <w:outlineLvl w:val="1"/>
        <w:rPr>
          <w:rStyle w:val="31"/>
          <w:rFonts w:ascii="黑体" w:hAnsi="黑体" w:eastAsia="黑体"/>
          <w:b w:val="0"/>
        </w:rPr>
      </w:pPr>
      <w:bookmarkStart w:id="58" w:name="_Toc15377221"/>
      <w:bookmarkStart w:id="59" w:name="_Toc21681"/>
      <w:bookmarkStart w:id="60" w:name="_Toc15396612"/>
      <w:r>
        <w:rPr>
          <w:rStyle w:val="31"/>
          <w:rFonts w:hint="eastAsia" w:ascii="黑体" w:hAnsi="黑体" w:eastAsia="黑体"/>
          <w:b w:val="0"/>
        </w:rPr>
        <w:t>其他重要事项的情况说明</w:t>
      </w:r>
      <w:bookmarkEnd w:id="58"/>
      <w:bookmarkEnd w:id="59"/>
      <w:bookmarkEnd w:id="60"/>
    </w:p>
    <w:p w14:paraId="7319B75F">
      <w:pPr>
        <w:spacing w:line="600" w:lineRule="exact"/>
        <w:ind w:firstLine="643" w:firstLineChars="200"/>
        <w:outlineLvl w:val="2"/>
        <w:rPr>
          <w:rFonts w:ascii="仿宋" w:hAnsi="仿宋" w:eastAsia="仿宋"/>
          <w:sz w:val="32"/>
          <w:szCs w:val="32"/>
        </w:rPr>
      </w:pPr>
      <w:bookmarkStart w:id="61" w:name="_Toc15377222"/>
      <w:r>
        <w:rPr>
          <w:rFonts w:hint="eastAsia" w:ascii="仿宋" w:hAnsi="仿宋" w:eastAsia="仿宋"/>
          <w:b/>
          <w:sz w:val="32"/>
          <w:szCs w:val="32"/>
        </w:rPr>
        <w:t>（一）机关运行经费支出情况</w:t>
      </w:r>
      <w:bookmarkEnd w:id="61"/>
    </w:p>
    <w:p w14:paraId="33A2B962">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年度，四川省攀枝花市卫生和计划生育监督执法支队机关运行经费支出</w:t>
      </w:r>
      <w:r>
        <w:rPr>
          <w:rFonts w:hint="eastAsia" w:ascii="仿宋" w:hAnsi="仿宋" w:eastAsia="仿宋"/>
          <w:sz w:val="32"/>
          <w:szCs w:val="32"/>
          <w:lang w:val="en-US" w:eastAsia="zh-CN"/>
        </w:rPr>
        <w:t>43.79</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减少</w:t>
      </w:r>
      <w:r>
        <w:rPr>
          <w:rFonts w:hint="eastAsia" w:ascii="仿宋" w:hAnsi="仿宋" w:eastAsia="仿宋"/>
          <w:sz w:val="32"/>
          <w:szCs w:val="32"/>
          <w:lang w:val="en-US" w:eastAsia="zh-CN"/>
        </w:rPr>
        <w:t>21.34</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32.77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2023年度支付了</w:t>
      </w:r>
      <w:r>
        <w:rPr>
          <w:rFonts w:hint="eastAsia" w:ascii="仿宋_GB2312" w:eastAsia="仿宋_GB2312"/>
          <w:sz w:val="32"/>
          <w:szCs w:val="32"/>
        </w:rPr>
        <w:t>部分以前年度应付未付的款项</w:t>
      </w:r>
      <w:r>
        <w:rPr>
          <w:rFonts w:hint="eastAsia" w:ascii="仿宋_GB2312" w:eastAsia="仿宋_GB2312"/>
          <w:sz w:val="32"/>
          <w:szCs w:val="32"/>
          <w:lang w:val="en-US" w:eastAsia="zh-CN"/>
        </w:rPr>
        <w:t>,2024年机关运行经费支出是正常年度支出数据</w:t>
      </w:r>
      <w:r>
        <w:rPr>
          <w:rFonts w:hint="eastAsia" w:ascii="仿宋_GB2312" w:eastAsia="仿宋_GB2312"/>
          <w:sz w:val="32"/>
          <w:szCs w:val="32"/>
        </w:rPr>
        <w:t>。</w:t>
      </w:r>
    </w:p>
    <w:p w14:paraId="4C3B8C7A">
      <w:pPr>
        <w:autoSpaceDE w:val="0"/>
        <w:autoSpaceDN w:val="0"/>
        <w:adjustRightInd w:val="0"/>
        <w:spacing w:line="600" w:lineRule="exact"/>
        <w:ind w:firstLine="643" w:firstLineChars="200"/>
        <w:jc w:val="left"/>
        <w:outlineLvl w:val="2"/>
        <w:rPr>
          <w:rFonts w:ascii="仿宋" w:hAnsi="仿宋" w:eastAsia="仿宋"/>
          <w:b/>
          <w:sz w:val="32"/>
          <w:szCs w:val="32"/>
        </w:rPr>
      </w:pPr>
      <w:bookmarkStart w:id="62" w:name="_Toc15377223"/>
      <w:r>
        <w:rPr>
          <w:rFonts w:hint="eastAsia" w:ascii="仿宋" w:hAnsi="仿宋" w:eastAsia="仿宋"/>
          <w:b/>
          <w:sz w:val="32"/>
          <w:szCs w:val="32"/>
        </w:rPr>
        <w:t>（二）政府采购支出情况</w:t>
      </w:r>
      <w:bookmarkEnd w:id="62"/>
    </w:p>
    <w:p w14:paraId="094305E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eastAsia="仿宋_GB2312"/>
          <w:sz w:val="32"/>
          <w:szCs w:val="32"/>
          <w:lang w:eastAsia="zh-CN"/>
        </w:rPr>
        <w:t>2024</w:t>
      </w:r>
      <w:r>
        <w:rPr>
          <w:rFonts w:hint="eastAsia" w:ascii="仿宋_GB2312" w:eastAsia="仿宋_GB2312"/>
          <w:sz w:val="32"/>
          <w:szCs w:val="32"/>
        </w:rPr>
        <w:t>年度，四川省攀枝花市卫生和计划生育监督执法支队政府采购支出总额</w:t>
      </w:r>
      <w:r>
        <w:rPr>
          <w:rFonts w:hint="eastAsia" w:ascii="仿宋" w:hAnsi="仿宋" w:eastAsia="仿宋"/>
          <w:sz w:val="32"/>
          <w:szCs w:val="32"/>
          <w:lang w:val="en-US" w:eastAsia="zh-CN"/>
        </w:rPr>
        <w:t>27.82</w:t>
      </w:r>
      <w:r>
        <w:rPr>
          <w:rFonts w:hint="eastAsia" w:ascii="仿宋_GB2312" w:eastAsia="仿宋_GB2312"/>
          <w:sz w:val="32"/>
          <w:szCs w:val="32"/>
        </w:rPr>
        <w:t>万元，其中：政府采购货物支出</w:t>
      </w:r>
      <w:r>
        <w:rPr>
          <w:rFonts w:hint="eastAsia" w:ascii="仿宋" w:hAnsi="仿宋" w:eastAsia="仿宋"/>
          <w:sz w:val="32"/>
          <w:szCs w:val="32"/>
          <w:lang w:val="en-US" w:eastAsia="zh-CN"/>
        </w:rPr>
        <w:t>20.58</w:t>
      </w:r>
      <w:r>
        <w:rPr>
          <w:rFonts w:hint="eastAsia" w:ascii="仿宋_GB2312" w:eastAsia="仿宋_GB2312"/>
          <w:sz w:val="32"/>
          <w:szCs w:val="32"/>
        </w:rPr>
        <w:t>万元、政府采购工程支出</w:t>
      </w:r>
      <w:r>
        <w:rPr>
          <w:rFonts w:hint="eastAsia" w:ascii="仿宋" w:hAnsi="仿宋" w:eastAsia="仿宋"/>
          <w:sz w:val="32"/>
          <w:szCs w:val="32"/>
          <w:lang w:val="en-US" w:eastAsia="zh-CN"/>
        </w:rPr>
        <w:t>0</w:t>
      </w:r>
      <w:r>
        <w:rPr>
          <w:rFonts w:hint="eastAsia" w:ascii="仿宋_GB2312" w:eastAsia="仿宋_GB2312"/>
          <w:sz w:val="32"/>
          <w:szCs w:val="32"/>
        </w:rPr>
        <w:t>万元、政府采购服务支出</w:t>
      </w:r>
      <w:r>
        <w:rPr>
          <w:rFonts w:hint="eastAsia" w:ascii="仿宋" w:hAnsi="仿宋" w:eastAsia="仿宋"/>
          <w:sz w:val="32"/>
          <w:szCs w:val="32"/>
          <w:lang w:val="en-US" w:eastAsia="zh-CN"/>
        </w:rPr>
        <w:t>7.24</w:t>
      </w:r>
      <w:r>
        <w:rPr>
          <w:rFonts w:hint="eastAsia" w:ascii="仿宋_GB2312" w:eastAsia="仿宋_GB2312"/>
          <w:sz w:val="32"/>
          <w:szCs w:val="32"/>
        </w:rPr>
        <w:t>万元。主要用于</w:t>
      </w:r>
      <w:r>
        <w:rPr>
          <w:rFonts w:hint="eastAsia" w:ascii="仿宋_GB2312" w:eastAsia="仿宋_GB2312"/>
          <w:sz w:val="32"/>
          <w:szCs w:val="32"/>
          <w:lang w:eastAsia="zh-CN"/>
        </w:rPr>
        <w:t>购买复印机一台</w:t>
      </w:r>
      <w:r>
        <w:rPr>
          <w:rFonts w:hint="eastAsia" w:ascii="仿宋_GB2312" w:eastAsia="仿宋_GB2312"/>
          <w:sz w:val="32"/>
          <w:szCs w:val="32"/>
        </w:rPr>
        <w:t>。</w:t>
      </w:r>
      <w:bookmarkStart w:id="63" w:name="_Toc15377224"/>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24.98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89.78</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F429B74">
      <w:pPr>
        <w:spacing w:line="600" w:lineRule="exact"/>
        <w:ind w:firstLine="643" w:firstLineChars="200"/>
        <w:rPr>
          <w:rFonts w:ascii="仿宋" w:hAnsi="仿宋" w:eastAsia="仿宋"/>
          <w:b/>
          <w:sz w:val="32"/>
          <w:szCs w:val="32"/>
        </w:rPr>
      </w:pPr>
      <w:r>
        <w:rPr>
          <w:rFonts w:hint="eastAsia" w:ascii="仿宋" w:hAnsi="仿宋" w:eastAsia="仿宋"/>
          <w:b/>
          <w:sz w:val="32"/>
          <w:szCs w:val="32"/>
        </w:rPr>
        <w:t>（三）国有资产占有使用情况</w:t>
      </w:r>
      <w:bookmarkEnd w:id="63"/>
    </w:p>
    <w:p w14:paraId="164C71C5">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日，四川省攀枝花市卫生和计划生育监督执法支队共有车辆</w:t>
      </w:r>
      <w:r>
        <w:rPr>
          <w:rFonts w:hint="eastAsia" w:ascii="仿宋_GB2312" w:eastAsia="仿宋_GB2312"/>
          <w:sz w:val="32"/>
          <w:szCs w:val="32"/>
          <w:lang w:val="en-US" w:eastAsia="zh-CN"/>
        </w:rPr>
        <w:t>5</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color w:val="000000"/>
          <w:sz w:val="32"/>
          <w:szCs w:val="32"/>
          <w:lang w:eastAsia="zh-CN"/>
        </w:rPr>
        <w:t>特种专业技术用车（现场检测车辆）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sz w:val="32"/>
          <w:szCs w:val="32"/>
        </w:rPr>
        <w:t>其他用车</w:t>
      </w:r>
      <w:r>
        <w:rPr>
          <w:rFonts w:hint="eastAsia" w:ascii="仿宋_GB2312" w:eastAsia="仿宋_GB2312"/>
          <w:sz w:val="32"/>
          <w:szCs w:val="32"/>
          <w:lang w:val="en-US" w:eastAsia="zh-CN"/>
        </w:rPr>
        <w:t>4</w:t>
      </w:r>
      <w:r>
        <w:rPr>
          <w:rFonts w:hint="eastAsia" w:ascii="仿宋_GB2312" w:eastAsia="仿宋_GB2312"/>
          <w:sz w:val="32"/>
          <w:szCs w:val="32"/>
        </w:rPr>
        <w:t>辆，其他用车主要是用于</w:t>
      </w:r>
      <w:r>
        <w:rPr>
          <w:rFonts w:hint="eastAsia" w:ascii="仿宋_GB2312" w:eastAsia="仿宋_GB2312"/>
          <w:color w:val="000000"/>
          <w:sz w:val="32"/>
          <w:szCs w:val="32"/>
          <w:lang w:eastAsia="zh-CN"/>
        </w:rPr>
        <w:t>卫生监督执法用</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hint="eastAsia" w:ascii="仿宋_GB2312" w:eastAsia="仿宋_GB2312"/>
          <w:sz w:val="32"/>
          <w:szCs w:val="32"/>
          <w:lang w:val="en-US" w:eastAsia="zh-CN"/>
        </w:rPr>
        <w:t>0</w:t>
      </w:r>
      <w:r>
        <w:rPr>
          <w:rFonts w:hint="eastAsia" w:ascii="仿宋_GB2312" w:eastAsia="仿宋_GB2312"/>
          <w:sz w:val="32"/>
          <w:szCs w:val="32"/>
        </w:rPr>
        <w:t>台（套）。</w:t>
      </w:r>
    </w:p>
    <w:p w14:paraId="12167EF8">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14:paraId="72D681DF">
      <w:pPr>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rPr>
        <w:t>根据预算绩效管理要求，本单位在</w:t>
      </w:r>
      <w:r>
        <w:rPr>
          <w:rFonts w:hint="eastAsia" w:ascii="仿宋" w:hAnsi="仿宋" w:eastAsia="仿宋"/>
          <w:color w:val="auto"/>
          <w:sz w:val="32"/>
          <w:szCs w:val="32"/>
          <w:lang w:eastAsia="zh-CN"/>
        </w:rPr>
        <w:t>2024</w:t>
      </w:r>
      <w:r>
        <w:rPr>
          <w:rFonts w:hint="eastAsia" w:ascii="仿宋" w:hAnsi="仿宋" w:eastAsia="仿宋"/>
          <w:color w:val="auto"/>
          <w:sz w:val="32"/>
          <w:szCs w:val="32"/>
        </w:rPr>
        <w:t>年度预算编制阶段，组织对</w:t>
      </w:r>
      <w:r>
        <w:rPr>
          <w:rFonts w:hint="eastAsia" w:ascii="仿宋" w:hAnsi="仿宋" w:eastAsia="仿宋"/>
          <w:color w:val="auto"/>
          <w:sz w:val="32"/>
          <w:szCs w:val="32"/>
          <w:lang w:val="en-US" w:eastAsia="zh-CN"/>
        </w:rPr>
        <w:t>市级卫生健康监督机构规范化建设经费、基本公共卫生服务（中央资金）、重大传染病防控（中央资金）、公共卫生特别服务岗人员经费、执法专项经费、物业管理费</w:t>
      </w:r>
      <w:r>
        <w:rPr>
          <w:rFonts w:hint="eastAsia" w:ascii="仿宋" w:hAnsi="仿宋" w:eastAsia="仿宋"/>
          <w:color w:val="auto"/>
          <w:sz w:val="32"/>
          <w:szCs w:val="32"/>
        </w:rPr>
        <w:t>等</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个项目开展了预算事前绩效评估，对</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个项目编制了绩效目标，预算执行过程中，选取</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个项目开展绩效监控，组织对</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个项目开展绩效自评，绩效自评表详见第四部分附件。</w:t>
      </w:r>
    </w:p>
    <w:p w14:paraId="21BA9889">
      <w:pPr>
        <w:spacing w:line="600" w:lineRule="exact"/>
        <w:ind w:firstLine="640" w:firstLineChars="200"/>
        <w:rPr>
          <w:rFonts w:ascii="仿宋_GB2312" w:eastAsia="仿宋_GB2312"/>
          <w:color w:val="558ED5" w:themeColor="text2" w:themeTint="99"/>
          <w:sz w:val="32"/>
          <w:szCs w:val="32"/>
          <w14:textFill>
            <w14:solidFill>
              <w14:schemeClr w14:val="tx2">
                <w14:lumMod w14:val="60000"/>
                <w14:lumOff w14:val="40000"/>
              </w14:schemeClr>
            </w14:solidFill>
          </w14:textFill>
        </w:rPr>
      </w:pPr>
      <w:r>
        <w:rPr>
          <w:rFonts w:hint="eastAsia" w:ascii="仿宋_GB2312" w:eastAsia="仿宋_GB2312"/>
          <w:color w:val="558ED5" w:themeColor="text2" w:themeTint="99"/>
          <w:sz w:val="32"/>
          <w:szCs w:val="32"/>
          <w14:textFill>
            <w14:solidFill>
              <w14:schemeClr w14:val="tx2">
                <w14:lumMod w14:val="60000"/>
                <w14:lumOff w14:val="40000"/>
              </w14:schemeClr>
            </w14:solidFill>
          </w14:textFill>
        </w:rPr>
        <w:br w:type="page"/>
      </w:r>
    </w:p>
    <w:p w14:paraId="4EBB3447">
      <w:pPr>
        <w:numPr>
          <w:ilvl w:val="0"/>
          <w:numId w:val="4"/>
        </w:numPr>
        <w:spacing w:line="600" w:lineRule="exact"/>
        <w:ind w:firstLine="660" w:firstLineChars="150"/>
        <w:jc w:val="center"/>
        <w:outlineLvl w:val="0"/>
        <w:rPr>
          <w:rStyle w:val="30"/>
          <w:rFonts w:ascii="黑体" w:hAnsi="黑体" w:eastAsia="黑体"/>
          <w:b w:val="0"/>
        </w:rPr>
      </w:pPr>
      <w:bookmarkStart w:id="64" w:name="_Toc15377225"/>
      <w:bookmarkStart w:id="65" w:name="_Toc7534"/>
      <w:bookmarkStart w:id="66" w:name="_Toc15396613"/>
      <w:r>
        <w:rPr>
          <w:rFonts w:hint="eastAsia" w:ascii="黑体" w:hAnsi="黑体" w:eastAsia="黑体"/>
          <w:sz w:val="44"/>
          <w:szCs w:val="44"/>
          <w:lang w:val="en-US" w:eastAsia="zh-CN"/>
        </w:rPr>
        <w:t xml:space="preserve"> </w:t>
      </w:r>
      <w:r>
        <w:rPr>
          <w:rFonts w:hint="eastAsia" w:ascii="黑体" w:hAnsi="黑体" w:eastAsia="黑体"/>
          <w:sz w:val="44"/>
          <w:szCs w:val="44"/>
        </w:rPr>
        <w:t>名</w:t>
      </w:r>
      <w:r>
        <w:rPr>
          <w:rStyle w:val="30"/>
          <w:rFonts w:hint="eastAsia" w:ascii="黑体" w:hAnsi="黑体" w:eastAsia="黑体"/>
          <w:b w:val="0"/>
        </w:rPr>
        <w:t>词解释</w:t>
      </w:r>
      <w:bookmarkEnd w:id="64"/>
      <w:bookmarkEnd w:id="65"/>
      <w:bookmarkEnd w:id="66"/>
    </w:p>
    <w:p w14:paraId="6BC061B3">
      <w:pPr>
        <w:spacing w:line="600" w:lineRule="exact"/>
        <w:jc w:val="left"/>
        <w:rPr>
          <w:rFonts w:ascii="宋体"/>
          <w:b/>
          <w:sz w:val="44"/>
          <w:szCs w:val="44"/>
        </w:rPr>
      </w:pPr>
    </w:p>
    <w:p w14:paraId="12669FC5">
      <w:pPr>
        <w:pStyle w:val="28"/>
        <w:spacing w:line="560" w:lineRule="exact"/>
        <w:ind w:firstLine="640" w:firstLineChars="200"/>
        <w:rPr>
          <w:rFonts w:ascii="仿宋_GB2312" w:eastAsia="仿宋_GB2312"/>
          <w:color w:val="auto"/>
          <w:sz w:val="32"/>
          <w:szCs w:val="32"/>
        </w:rPr>
      </w:pPr>
      <w:bookmarkStart w:id="67"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92ED08A">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4E2A8B95">
      <w:pPr>
        <w:pStyle w:val="28"/>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1573471B">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color w:val="auto"/>
          <w:sz w:val="32"/>
          <w:szCs w:val="32"/>
          <w:lang w:eastAsia="zh-CN"/>
        </w:rPr>
        <w:t>省总队拨款收入</w:t>
      </w:r>
      <w:r>
        <w:rPr>
          <w:rFonts w:hint="eastAsia" w:ascii="仿宋_GB2312" w:eastAsia="仿宋_GB2312"/>
          <w:color w:val="auto"/>
          <w:sz w:val="32"/>
          <w:szCs w:val="32"/>
        </w:rPr>
        <w:t>。</w:t>
      </w:r>
      <w:r>
        <w:rPr>
          <w:rFonts w:ascii="仿宋_GB2312" w:eastAsia="仿宋_GB2312"/>
          <w:color w:val="auto"/>
          <w:sz w:val="32"/>
          <w:szCs w:val="32"/>
        </w:rPr>
        <w:t xml:space="preserve"> </w:t>
      </w:r>
    </w:p>
    <w:p w14:paraId="5BECB756">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28EA1EC9">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C52F878">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68A0678C">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0B7C143D">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eastAsia="仿宋_GB2312"/>
          <w:sz w:val="32"/>
          <w:szCs w:val="32"/>
        </w:rPr>
        <w:t>归口管理的行政单位离退休</w:t>
      </w:r>
      <w:r>
        <w:rPr>
          <w:rFonts w:hint="eastAsia" w:ascii="仿宋_GB2312" w:eastAsia="仿宋_GB2312"/>
          <w:color w:val="auto"/>
          <w:sz w:val="32"/>
          <w:szCs w:val="32"/>
          <w:highlight w:val="none"/>
          <w:lang w:eastAsia="zh-CN"/>
        </w:rPr>
        <w:t>（208050</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w:t>
      </w:r>
      <w:r>
        <w:rPr>
          <w:rFonts w:eastAsia="仿宋_GB2312"/>
          <w:sz w:val="32"/>
          <w:szCs w:val="32"/>
        </w:rPr>
        <w:t>:</w:t>
      </w:r>
      <w:r>
        <w:rPr>
          <w:rFonts w:hint="eastAsia" w:eastAsia="仿宋_GB2312"/>
          <w:sz w:val="32"/>
          <w:szCs w:val="32"/>
        </w:rPr>
        <w:t>反映归口管理（包括实行公务员管理的事业单位）开支的离退休支出。</w:t>
      </w:r>
    </w:p>
    <w:p w14:paraId="716DA97C">
      <w:pPr>
        <w:ind w:firstLine="640" w:firstLineChars="200"/>
        <w:rPr>
          <w:rFonts w:ascii="仿宋_GB2312" w:eastAsia="仿宋_GB2312"/>
          <w:color w:val="000000"/>
          <w:sz w:val="32"/>
          <w:szCs w:val="32"/>
        </w:rPr>
      </w:pPr>
      <w:r>
        <w:rPr>
          <w:rFonts w:ascii="仿宋_GB2312" w:eastAsia="仿宋_GB2312"/>
          <w:color w:val="auto"/>
          <w:sz w:val="32"/>
          <w:szCs w:val="32"/>
          <w:highlight w:val="none"/>
        </w:rPr>
        <w:t>10.</w:t>
      </w:r>
      <w:r>
        <w:rPr>
          <w:rFonts w:hint="eastAsia" w:eastAsia="仿宋_GB2312"/>
          <w:sz w:val="32"/>
          <w:szCs w:val="32"/>
        </w:rPr>
        <w:t>机关事业单位基本养老保险缴费支出</w:t>
      </w:r>
      <w:r>
        <w:rPr>
          <w:rFonts w:hint="eastAsia" w:ascii="仿宋_GB2312" w:eastAsia="仿宋_GB2312"/>
          <w:color w:val="auto"/>
          <w:sz w:val="32"/>
          <w:szCs w:val="32"/>
          <w:highlight w:val="none"/>
          <w:lang w:eastAsia="zh-CN"/>
        </w:rPr>
        <w:t>（2080505）</w:t>
      </w:r>
      <w:r>
        <w:rPr>
          <w:rFonts w:hint="eastAsia" w:eastAsia="仿宋_GB2312"/>
          <w:sz w:val="32"/>
          <w:szCs w:val="32"/>
        </w:rPr>
        <w:t>：反映机关事业单位实施养老保险制度由单位缴纳的基本养老保险费支出。</w:t>
      </w:r>
    </w:p>
    <w:p w14:paraId="0FB85268">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机关事业单位职业年金缴费支出</w:t>
      </w:r>
      <w:r>
        <w:rPr>
          <w:rFonts w:hint="eastAsia" w:ascii="仿宋_GB2312" w:eastAsia="仿宋_GB2312"/>
          <w:color w:val="auto"/>
          <w:sz w:val="32"/>
          <w:szCs w:val="32"/>
          <w:highlight w:val="none"/>
          <w:lang w:eastAsia="zh-CN"/>
        </w:rPr>
        <w:t>（2080506）：</w:t>
      </w:r>
      <w:r>
        <w:rPr>
          <w:rFonts w:hint="eastAsia" w:eastAsia="仿宋_GB2312"/>
          <w:sz w:val="32"/>
          <w:szCs w:val="32"/>
        </w:rPr>
        <w:t>反映机关事业单位实施养老保险制度由单位缴纳的</w:t>
      </w:r>
      <w:r>
        <w:rPr>
          <w:rFonts w:hint="eastAsia" w:eastAsia="仿宋_GB2312"/>
          <w:sz w:val="32"/>
          <w:szCs w:val="32"/>
          <w:lang w:eastAsia="zh-CN"/>
        </w:rPr>
        <w:t>2024</w:t>
      </w:r>
      <w:r>
        <w:rPr>
          <w:rFonts w:hint="eastAsia" w:eastAsia="仿宋_GB2312"/>
          <w:sz w:val="32"/>
          <w:szCs w:val="32"/>
        </w:rPr>
        <w:t>年退休人员职业年金做实支出。</w:t>
      </w:r>
    </w:p>
    <w:p w14:paraId="1A99B16F">
      <w:pPr>
        <w:ind w:firstLine="640" w:firstLineChars="200"/>
        <w:rPr>
          <w:rFonts w:hint="eastAsia" w:eastAsia="仿宋_GB2312"/>
          <w:sz w:val="32"/>
          <w:szCs w:val="32"/>
        </w:rPr>
      </w:pPr>
      <w:r>
        <w:rPr>
          <w:rFonts w:ascii="仿宋_GB2312" w:eastAsia="仿宋_GB2312"/>
          <w:color w:val="auto"/>
          <w:sz w:val="32"/>
          <w:szCs w:val="32"/>
          <w:highlight w:val="none"/>
        </w:rPr>
        <w:t>12.</w:t>
      </w:r>
      <w:r>
        <w:rPr>
          <w:rFonts w:hint="eastAsia" w:eastAsia="仿宋_GB2312"/>
          <w:sz w:val="32"/>
          <w:szCs w:val="32"/>
        </w:rPr>
        <w:t>卫生监督机构</w:t>
      </w:r>
      <w:r>
        <w:rPr>
          <w:rFonts w:hint="eastAsia" w:ascii="仿宋_GB2312" w:eastAsia="仿宋_GB2312"/>
          <w:color w:val="auto"/>
          <w:sz w:val="32"/>
          <w:szCs w:val="32"/>
          <w:highlight w:val="none"/>
          <w:lang w:eastAsia="zh-CN"/>
        </w:rPr>
        <w:t>（2100402）</w:t>
      </w:r>
      <w:r>
        <w:rPr>
          <w:rFonts w:hint="eastAsia" w:eastAsia="仿宋_GB2312"/>
          <w:sz w:val="32"/>
          <w:szCs w:val="32"/>
        </w:rPr>
        <w:t>：反映卫生和计划生育部门所属卫生监督机构的支出。</w:t>
      </w:r>
    </w:p>
    <w:p w14:paraId="59B813C2">
      <w:pPr>
        <w:ind w:firstLine="640" w:firstLineChars="200"/>
        <w:rPr>
          <w:rFonts w:ascii="仿宋_GB2312" w:eastAsia="仿宋_GB2312"/>
          <w:sz w:val="32"/>
          <w:szCs w:val="32"/>
        </w:rPr>
      </w:pPr>
      <w:r>
        <w:rPr>
          <w:rFonts w:ascii="仿宋_GB2312" w:eastAsia="仿宋_GB2312"/>
          <w:color w:val="auto"/>
          <w:sz w:val="32"/>
          <w:szCs w:val="32"/>
          <w:highlight w:val="none"/>
        </w:rPr>
        <w:t>13.</w:t>
      </w:r>
      <w:r>
        <w:rPr>
          <w:rFonts w:hint="eastAsia" w:ascii="仿宋_GB2312" w:eastAsia="仿宋_GB2312"/>
          <w:color w:val="auto"/>
          <w:sz w:val="32"/>
          <w:szCs w:val="32"/>
          <w:highlight w:val="none"/>
          <w:lang w:eastAsia="zh-CN"/>
        </w:rPr>
        <w:t>基本</w:t>
      </w:r>
      <w:r>
        <w:rPr>
          <w:rFonts w:hint="eastAsia" w:eastAsia="仿宋_GB2312"/>
          <w:sz w:val="32"/>
          <w:szCs w:val="32"/>
        </w:rPr>
        <w:t>公共卫生专项</w:t>
      </w:r>
      <w:r>
        <w:rPr>
          <w:rFonts w:hint="eastAsia" w:ascii="仿宋_GB2312" w:eastAsia="仿宋_GB2312"/>
          <w:color w:val="auto"/>
          <w:sz w:val="32"/>
          <w:szCs w:val="32"/>
          <w:highlight w:val="none"/>
          <w:lang w:eastAsia="zh-CN"/>
        </w:rPr>
        <w:t>（210040</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lang w:eastAsia="zh-CN"/>
        </w:rPr>
        <w:t>）</w:t>
      </w:r>
      <w:r>
        <w:rPr>
          <w:rFonts w:hint="eastAsia" w:eastAsia="仿宋_GB2312"/>
          <w:sz w:val="32"/>
          <w:szCs w:val="32"/>
        </w:rPr>
        <w:t>：反映重大疾病预防控制等</w:t>
      </w:r>
      <w:r>
        <w:rPr>
          <w:rFonts w:hint="eastAsia" w:eastAsia="仿宋_GB2312"/>
          <w:sz w:val="32"/>
          <w:szCs w:val="32"/>
          <w:lang w:eastAsia="zh-CN"/>
        </w:rPr>
        <w:t>基本</w:t>
      </w:r>
      <w:r>
        <w:rPr>
          <w:rFonts w:hint="eastAsia" w:eastAsia="仿宋_GB2312"/>
          <w:sz w:val="32"/>
          <w:szCs w:val="32"/>
        </w:rPr>
        <w:t>公共卫生服务项目支出。</w:t>
      </w:r>
    </w:p>
    <w:p w14:paraId="2006F299">
      <w:pPr>
        <w:ind w:firstLine="640" w:firstLineChars="200"/>
        <w:rPr>
          <w:rFonts w:hint="eastAsia" w:eastAsia="仿宋_GB2312"/>
          <w:sz w:val="32"/>
          <w:szCs w:val="32"/>
        </w:rPr>
      </w:pPr>
      <w:r>
        <w:rPr>
          <w:rFonts w:ascii="仿宋_GB2312" w:eastAsia="仿宋_GB2312"/>
          <w:color w:val="auto"/>
          <w:sz w:val="32"/>
          <w:szCs w:val="32"/>
          <w:highlight w:val="none"/>
        </w:rPr>
        <w:t>14.</w:t>
      </w:r>
      <w:r>
        <w:rPr>
          <w:rFonts w:hint="eastAsia" w:eastAsia="仿宋_GB2312"/>
          <w:sz w:val="32"/>
          <w:szCs w:val="32"/>
        </w:rPr>
        <w:t>重大公共卫生专项</w:t>
      </w:r>
      <w:r>
        <w:rPr>
          <w:rFonts w:hint="eastAsia" w:ascii="仿宋_GB2312" w:eastAsia="仿宋_GB2312"/>
          <w:color w:val="auto"/>
          <w:sz w:val="32"/>
          <w:szCs w:val="32"/>
          <w:highlight w:val="none"/>
          <w:lang w:eastAsia="zh-CN"/>
        </w:rPr>
        <w:t>（2100409）</w:t>
      </w:r>
      <w:r>
        <w:rPr>
          <w:rFonts w:hint="eastAsia" w:eastAsia="仿宋_GB2312"/>
          <w:sz w:val="32"/>
          <w:szCs w:val="32"/>
        </w:rPr>
        <w:t>：反映重大疾病预防控制等重大公共卫生服务项目支出。</w:t>
      </w:r>
    </w:p>
    <w:p w14:paraId="66AC37EC">
      <w:pPr>
        <w:ind w:firstLine="640" w:firstLineChars="200"/>
        <w:rPr>
          <w:rFonts w:hint="eastAsia" w:eastAsia="仿宋_GB2312"/>
          <w:sz w:val="32"/>
          <w:szCs w:val="32"/>
          <w:lang w:eastAsia="zh-CN"/>
        </w:rPr>
      </w:pPr>
      <w:r>
        <w:rPr>
          <w:rFonts w:ascii="仿宋_GB2312" w:eastAsia="仿宋_GB2312"/>
          <w:color w:val="auto"/>
          <w:sz w:val="32"/>
          <w:szCs w:val="32"/>
          <w:highlight w:val="none"/>
        </w:rPr>
        <w:t>15.</w:t>
      </w:r>
      <w:r>
        <w:rPr>
          <w:rFonts w:hint="eastAsia" w:ascii="仿宋_GB2312" w:eastAsia="仿宋_GB2312"/>
          <w:color w:val="auto"/>
          <w:sz w:val="32"/>
          <w:szCs w:val="32"/>
          <w:highlight w:val="none"/>
        </w:rPr>
        <w:t>行政单位医疗</w:t>
      </w:r>
      <w:r>
        <w:rPr>
          <w:rFonts w:hint="eastAsia" w:ascii="仿宋_GB2312" w:eastAsia="仿宋_GB2312"/>
          <w:color w:val="auto"/>
          <w:sz w:val="32"/>
          <w:szCs w:val="32"/>
          <w:highlight w:val="none"/>
          <w:lang w:eastAsia="zh-CN"/>
        </w:rPr>
        <w:t>（2101101）：</w:t>
      </w:r>
      <w:r>
        <w:rPr>
          <w:rFonts w:hint="eastAsia" w:eastAsia="仿宋_GB2312"/>
          <w:sz w:val="32"/>
          <w:szCs w:val="32"/>
        </w:rPr>
        <w:t>反映行政事业单位</w:t>
      </w:r>
      <w:r>
        <w:rPr>
          <w:rFonts w:hint="eastAsia" w:eastAsia="仿宋_GB2312"/>
          <w:sz w:val="32"/>
          <w:szCs w:val="32"/>
          <w:lang w:eastAsia="zh-CN"/>
        </w:rPr>
        <w:t>按照医疗保险制度为职工缴纳的行政单位医疗支出。</w:t>
      </w:r>
    </w:p>
    <w:p w14:paraId="25A3CE39">
      <w:pPr>
        <w:ind w:firstLine="640" w:firstLineChars="200"/>
        <w:rPr>
          <w:rFonts w:hint="eastAsia" w:eastAsia="仿宋_GB2312"/>
          <w:sz w:val="32"/>
          <w:szCs w:val="32"/>
          <w:lang w:eastAsia="zh-CN"/>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color w:val="auto"/>
          <w:sz w:val="32"/>
          <w:szCs w:val="32"/>
          <w:highlight w:val="none"/>
        </w:rPr>
        <w:t>公务员医疗补助</w:t>
      </w:r>
      <w:r>
        <w:rPr>
          <w:rFonts w:hint="eastAsia" w:ascii="仿宋_GB2312" w:eastAsia="仿宋_GB2312"/>
          <w:color w:val="auto"/>
          <w:sz w:val="32"/>
          <w:szCs w:val="32"/>
          <w:highlight w:val="none"/>
          <w:lang w:eastAsia="zh-CN"/>
        </w:rPr>
        <w:t>（2101103）：</w:t>
      </w:r>
      <w:r>
        <w:rPr>
          <w:rFonts w:hint="eastAsia" w:eastAsia="仿宋_GB2312"/>
          <w:sz w:val="32"/>
          <w:szCs w:val="32"/>
        </w:rPr>
        <w:t>反映行政事业单位</w:t>
      </w:r>
      <w:r>
        <w:rPr>
          <w:rFonts w:hint="eastAsia" w:eastAsia="仿宋_GB2312"/>
          <w:sz w:val="32"/>
          <w:szCs w:val="32"/>
          <w:lang w:eastAsia="zh-CN"/>
        </w:rPr>
        <w:t>按照医疗保险制度为职工缴纳的公务员医疗补助支出。</w:t>
      </w:r>
    </w:p>
    <w:p w14:paraId="34D0FB1E">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color w:val="auto"/>
          <w:sz w:val="32"/>
          <w:szCs w:val="32"/>
          <w:highlight w:val="none"/>
        </w:rPr>
        <w:t>其他行政事业单位医疗支出</w:t>
      </w:r>
      <w:r>
        <w:rPr>
          <w:rFonts w:hint="eastAsia" w:ascii="仿宋_GB2312" w:eastAsia="仿宋_GB2312"/>
          <w:color w:val="auto"/>
          <w:sz w:val="32"/>
          <w:szCs w:val="32"/>
          <w:highlight w:val="none"/>
          <w:lang w:eastAsia="zh-CN"/>
        </w:rPr>
        <w:t>（21011</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lang w:eastAsia="zh-CN"/>
        </w:rPr>
        <w:t>）：</w:t>
      </w:r>
      <w:r>
        <w:rPr>
          <w:rFonts w:hint="eastAsia" w:eastAsia="仿宋_GB2312"/>
          <w:sz w:val="32"/>
          <w:szCs w:val="32"/>
        </w:rPr>
        <w:t>反映行政事业单位</w:t>
      </w:r>
      <w:r>
        <w:rPr>
          <w:rFonts w:hint="eastAsia" w:eastAsia="仿宋_GB2312"/>
          <w:sz w:val="32"/>
          <w:szCs w:val="32"/>
          <w:lang w:eastAsia="zh-CN"/>
        </w:rPr>
        <w:t>按照医疗保险制度为职工缴纳的公务员补助医疗保险支出。</w:t>
      </w:r>
    </w:p>
    <w:p w14:paraId="7E724EE5">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eastAsia="仿宋_GB2312"/>
          <w:sz w:val="32"/>
          <w:szCs w:val="32"/>
        </w:rPr>
        <w:t>其他卫生</w:t>
      </w:r>
      <w:r>
        <w:rPr>
          <w:rFonts w:hint="eastAsia" w:eastAsia="仿宋_GB2312"/>
          <w:sz w:val="32"/>
          <w:szCs w:val="32"/>
          <w:lang w:eastAsia="zh-CN"/>
        </w:rPr>
        <w:t>健康</w:t>
      </w:r>
      <w:r>
        <w:rPr>
          <w:rFonts w:hint="eastAsia" w:eastAsia="仿宋_GB2312"/>
          <w:sz w:val="32"/>
          <w:szCs w:val="32"/>
        </w:rPr>
        <w:t>支出</w:t>
      </w:r>
      <w:r>
        <w:rPr>
          <w:rFonts w:hint="eastAsia" w:ascii="仿宋_GB2312" w:eastAsia="仿宋_GB2312"/>
          <w:color w:val="auto"/>
          <w:sz w:val="32"/>
          <w:szCs w:val="32"/>
          <w:highlight w:val="none"/>
          <w:lang w:eastAsia="zh-CN"/>
        </w:rPr>
        <w:t>（21099</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lang w:eastAsia="zh-CN"/>
        </w:rPr>
        <w:t>）</w:t>
      </w:r>
      <w:r>
        <w:rPr>
          <w:rFonts w:hint="eastAsia" w:eastAsia="仿宋_GB2312"/>
          <w:sz w:val="32"/>
          <w:szCs w:val="32"/>
        </w:rPr>
        <w:t>：指反映除上述项目以外其他用于其他卫生</w:t>
      </w:r>
      <w:r>
        <w:rPr>
          <w:rFonts w:hint="eastAsia" w:eastAsia="仿宋_GB2312"/>
          <w:sz w:val="32"/>
          <w:szCs w:val="32"/>
          <w:lang w:eastAsia="zh-CN"/>
        </w:rPr>
        <w:t>健康</w:t>
      </w:r>
      <w:r>
        <w:rPr>
          <w:rFonts w:hint="eastAsia" w:eastAsia="仿宋_GB2312"/>
          <w:sz w:val="32"/>
          <w:szCs w:val="32"/>
        </w:rPr>
        <w:t>支出方面的支出。</w:t>
      </w:r>
    </w:p>
    <w:p w14:paraId="31F7E86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eastAsia="仿宋_GB2312"/>
          <w:sz w:val="32"/>
          <w:szCs w:val="32"/>
        </w:rPr>
        <w:t>住房公积金</w:t>
      </w:r>
      <w:r>
        <w:rPr>
          <w:rFonts w:hint="eastAsia" w:ascii="仿宋_GB2312" w:eastAsia="仿宋_GB2312"/>
          <w:color w:val="auto"/>
          <w:sz w:val="32"/>
          <w:szCs w:val="32"/>
          <w:highlight w:val="none"/>
          <w:lang w:eastAsia="zh-CN"/>
        </w:rPr>
        <w:t>（2210201）</w:t>
      </w:r>
      <w:r>
        <w:rPr>
          <w:rFonts w:hint="eastAsia" w:eastAsia="仿宋_GB2312"/>
          <w:sz w:val="32"/>
          <w:szCs w:val="32"/>
        </w:rPr>
        <w:t>：反映行政事业单位按人力资源和社会保障部、财政部规定的基本工资和津贴补贴以及规定比例为职工缴纳的住房公积金。</w:t>
      </w:r>
    </w:p>
    <w:p w14:paraId="5581FB47">
      <w:pPr>
        <w:pStyle w:val="28"/>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sz w:val="32"/>
          <w:szCs w:val="32"/>
        </w:rPr>
        <w:t>基本支出：指为保障机构正常运转、完成日常工作任务而发生的人员支出和公用支出。</w:t>
      </w:r>
    </w:p>
    <w:p w14:paraId="7DC0CFAE">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21.</w:t>
      </w:r>
      <w:r>
        <w:rPr>
          <w:rFonts w:hint="eastAsia" w:ascii="仿宋_GB2312" w:eastAsia="仿宋_GB2312"/>
          <w:sz w:val="32"/>
          <w:szCs w:val="32"/>
        </w:rPr>
        <w:t>项目支出：指在基本支出之外为完成特定行政任务和事业发展目标所发生的支出。</w:t>
      </w:r>
    </w:p>
    <w:p w14:paraId="0C3A547C">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22.</w:t>
      </w:r>
      <w:r>
        <w:rPr>
          <w:rFonts w:hint="eastAsia" w:ascii="仿宋_GB2312" w:eastAsia="仿宋_GB2312"/>
          <w:sz w:val="32"/>
          <w:szCs w:val="32"/>
        </w:rPr>
        <w:t>经营支出：指事业单位在专业业务活动及其辅助活动之外开展非独立核算经营活动发生的支出。</w:t>
      </w:r>
    </w:p>
    <w:p w14:paraId="7B9DB51D">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23.</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6AB477E">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43CB70">
      <w:pPr>
        <w:pStyle w:val="28"/>
        <w:spacing w:line="560" w:lineRule="exact"/>
        <w:ind w:firstLine="640" w:firstLineChars="200"/>
        <w:rPr>
          <w:rFonts w:hint="eastAsia" w:ascii="仿宋_GB2312" w:eastAsia="仿宋_GB2312"/>
          <w:color w:val="auto"/>
          <w:sz w:val="32"/>
          <w:szCs w:val="32"/>
          <w:lang w:val="en-US" w:eastAsia="zh-CN"/>
        </w:rPr>
      </w:pPr>
    </w:p>
    <w:p w14:paraId="08A24971">
      <w:pPr>
        <w:spacing w:line="600" w:lineRule="exact"/>
        <w:jc w:val="center"/>
        <w:outlineLvl w:val="0"/>
        <w:rPr>
          <w:rStyle w:val="30"/>
          <w:rFonts w:ascii="黑体" w:hAnsi="黑体" w:eastAsia="黑体"/>
          <w:b w:val="0"/>
        </w:rPr>
      </w:pPr>
      <w:r>
        <w:rPr>
          <w:rFonts w:ascii="宋体"/>
          <w:b/>
          <w:sz w:val="44"/>
          <w:szCs w:val="44"/>
        </w:rPr>
        <w:br w:type="page"/>
      </w:r>
      <w:bookmarkStart w:id="68" w:name="_Toc2951"/>
      <w:bookmarkStart w:id="69" w:name="_Toc15396614"/>
      <w:r>
        <w:rPr>
          <w:rFonts w:hint="eastAsia" w:ascii="黑体" w:hAnsi="黑体" w:eastAsia="黑体"/>
          <w:sz w:val="44"/>
          <w:szCs w:val="44"/>
        </w:rPr>
        <w:t>第</w:t>
      </w:r>
      <w:r>
        <w:rPr>
          <w:rStyle w:val="30"/>
          <w:rFonts w:hint="eastAsia" w:ascii="黑体" w:hAnsi="黑体" w:eastAsia="黑体"/>
          <w:b w:val="0"/>
        </w:rPr>
        <w:t xml:space="preserve">四部分 </w:t>
      </w:r>
      <w:r>
        <w:rPr>
          <w:rStyle w:val="30"/>
          <w:rFonts w:hint="eastAsia" w:ascii="黑体" w:hAnsi="黑体" w:eastAsia="黑体"/>
          <w:b w:val="0"/>
          <w:lang w:val="en-US" w:eastAsia="zh-CN"/>
        </w:rPr>
        <w:t xml:space="preserve"> </w:t>
      </w:r>
      <w:r>
        <w:rPr>
          <w:rStyle w:val="30"/>
          <w:rFonts w:hint="eastAsia" w:ascii="黑体" w:hAnsi="黑体" w:eastAsia="黑体"/>
          <w:b w:val="0"/>
        </w:rPr>
        <w:t>附件</w:t>
      </w:r>
      <w:bookmarkEnd w:id="68"/>
      <w:bookmarkEnd w:id="69"/>
    </w:p>
    <w:p w14:paraId="584D54A8">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14:paraId="498B49E0">
      <w:pPr>
        <w:spacing w:line="600" w:lineRule="exact"/>
        <w:jc w:val="center"/>
        <w:outlineLvl w:val="0"/>
        <w:rPr>
          <w:rFonts w:hint="default" w:ascii="宋体" w:hAnsi="宋体" w:eastAsia="宋体" w:cs="宋体"/>
          <w:kern w:val="0"/>
          <w:sz w:val="32"/>
          <w:szCs w:val="32"/>
          <w:lang w:val="en-US"/>
        </w:rPr>
      </w:pPr>
      <w:r>
        <w:rPr>
          <w:rFonts w:hint="eastAsia" w:hAnsi="Times New Roman" w:cs="Times New Roman"/>
          <w:sz w:val="32"/>
          <w:szCs w:val="32"/>
          <w:highlight w:val="none"/>
          <w:lang w:val="en-US" w:eastAsia="zh-CN"/>
        </w:rPr>
        <w:t>部门预算项目支出绩效自评表（2024年度）见</w:t>
      </w:r>
    </w:p>
    <w:p w14:paraId="2A4E8A9F">
      <w:pPr>
        <w:keepNext w:val="0"/>
        <w:keepLines w:val="0"/>
        <w:widowControl w:val="0"/>
        <w:suppressLineNumbers w:val="0"/>
        <w:spacing w:before="0" w:beforeAutospacing="0" w:after="0" w:afterAutospacing="0" w:line="600" w:lineRule="exact"/>
        <w:ind w:left="0" w:right="0"/>
        <w:jc w:val="center"/>
        <w:outlineLvl w:val="0"/>
        <w:rPr>
          <w:rFonts w:hint="eastAsia" w:ascii="宋体" w:hAnsi="宋体" w:eastAsia="宋体" w:cs="宋体"/>
          <w:kern w:val="0"/>
          <w:sz w:val="32"/>
          <w:szCs w:val="32"/>
          <w:lang w:val="en-US"/>
        </w:rPr>
      </w:pPr>
      <w:r>
        <w:rPr>
          <w:rFonts w:hint="eastAsia" w:ascii="宋体" w:hAnsi="宋体" w:eastAsia="宋体" w:cs="宋体"/>
          <w:color w:val="auto"/>
          <w:kern w:val="0"/>
          <w:sz w:val="32"/>
          <w:szCs w:val="32"/>
          <w:lang w:val="en-US" w:eastAsia="zh-CN" w:bidi="ar"/>
        </w:rPr>
        <w:t>附件2 部门预算项目支出绩效自评表</w:t>
      </w:r>
    </w:p>
    <w:p w14:paraId="6682A08D">
      <w:pPr>
        <w:spacing w:line="572" w:lineRule="exact"/>
        <w:jc w:val="left"/>
        <w:outlineLvl w:val="9"/>
        <w:rPr>
          <w:rFonts w:ascii="仿宋_GB2312" w:hAnsi="仿宋_GB2312" w:eastAsia="仿宋_GB2312" w:cs="仿宋_GB2312"/>
          <w:sz w:val="32"/>
          <w:szCs w:val="32"/>
        </w:rPr>
      </w:pPr>
    </w:p>
    <w:p w14:paraId="79B23300">
      <w:pPr>
        <w:pStyle w:val="8"/>
        <w:spacing w:before="93"/>
        <w:outlineLvl w:val="9"/>
        <w:rPr>
          <w:rFonts w:hAnsi="Calibri" w:cs="仿宋"/>
          <w:sz w:val="32"/>
          <w:szCs w:val="32"/>
        </w:rPr>
      </w:pPr>
      <w:bookmarkStart w:id="70" w:name="_Toc15396618"/>
    </w:p>
    <w:p w14:paraId="61972DB5">
      <w:pPr>
        <w:pStyle w:val="8"/>
        <w:spacing w:before="93"/>
        <w:outlineLvl w:val="9"/>
        <w:rPr>
          <w:rFonts w:hAnsi="Calibri" w:cs="仿宋"/>
          <w:sz w:val="32"/>
          <w:szCs w:val="32"/>
        </w:rPr>
      </w:pPr>
    </w:p>
    <w:p w14:paraId="43DE9C6F">
      <w:pPr>
        <w:pStyle w:val="8"/>
        <w:spacing w:before="93"/>
        <w:rPr>
          <w:rFonts w:hAnsi="Calibri" w:cs="仿宋"/>
          <w:sz w:val="32"/>
          <w:szCs w:val="32"/>
        </w:rPr>
      </w:pPr>
    </w:p>
    <w:p w14:paraId="738FAEAD">
      <w:pPr>
        <w:pStyle w:val="8"/>
        <w:spacing w:before="93"/>
        <w:rPr>
          <w:rFonts w:hAnsi="Calibri" w:cs="仿宋"/>
          <w:sz w:val="32"/>
          <w:szCs w:val="32"/>
        </w:rPr>
      </w:pPr>
    </w:p>
    <w:p w14:paraId="7D268F60">
      <w:pPr>
        <w:pStyle w:val="8"/>
        <w:spacing w:before="93"/>
        <w:rPr>
          <w:rFonts w:hAnsi="Calibri" w:cs="仿宋"/>
          <w:sz w:val="32"/>
          <w:szCs w:val="32"/>
        </w:rPr>
      </w:pPr>
    </w:p>
    <w:p w14:paraId="28B21B5F">
      <w:pPr>
        <w:pStyle w:val="8"/>
        <w:spacing w:before="93"/>
        <w:rPr>
          <w:rFonts w:hAnsi="Calibri" w:cs="仿宋"/>
          <w:sz w:val="32"/>
          <w:szCs w:val="32"/>
        </w:rPr>
      </w:pPr>
    </w:p>
    <w:p w14:paraId="3F1E077A">
      <w:pPr>
        <w:pStyle w:val="8"/>
        <w:spacing w:before="93"/>
        <w:rPr>
          <w:rFonts w:hAnsi="Calibri" w:cs="仿宋"/>
          <w:sz w:val="32"/>
          <w:szCs w:val="32"/>
        </w:rPr>
      </w:pPr>
    </w:p>
    <w:p w14:paraId="0F6C0165">
      <w:pPr>
        <w:pStyle w:val="8"/>
        <w:spacing w:before="93"/>
        <w:rPr>
          <w:rFonts w:hAnsi="Calibri" w:cs="仿宋"/>
          <w:sz w:val="32"/>
          <w:szCs w:val="32"/>
        </w:rPr>
      </w:pPr>
    </w:p>
    <w:p w14:paraId="3BFB090D">
      <w:pPr>
        <w:pStyle w:val="8"/>
        <w:spacing w:before="93"/>
        <w:rPr>
          <w:rFonts w:hAnsi="Calibri" w:cs="仿宋"/>
          <w:sz w:val="32"/>
          <w:szCs w:val="32"/>
        </w:rPr>
      </w:pPr>
    </w:p>
    <w:p w14:paraId="10C6C7F1">
      <w:pPr>
        <w:pStyle w:val="8"/>
        <w:spacing w:before="93"/>
        <w:rPr>
          <w:rFonts w:hAnsi="Calibri" w:cs="仿宋"/>
          <w:sz w:val="32"/>
          <w:szCs w:val="32"/>
        </w:rPr>
      </w:pPr>
    </w:p>
    <w:p w14:paraId="3818129B">
      <w:pPr>
        <w:pStyle w:val="8"/>
        <w:spacing w:before="93"/>
        <w:rPr>
          <w:rFonts w:hAnsi="Calibri" w:cs="仿宋"/>
          <w:sz w:val="32"/>
          <w:szCs w:val="32"/>
        </w:rPr>
      </w:pPr>
    </w:p>
    <w:p w14:paraId="5AE7697F">
      <w:pPr>
        <w:pStyle w:val="8"/>
        <w:spacing w:before="93"/>
        <w:rPr>
          <w:rFonts w:hAnsi="Calibri" w:cs="仿宋"/>
          <w:sz w:val="32"/>
          <w:szCs w:val="32"/>
        </w:rPr>
      </w:pPr>
    </w:p>
    <w:p w14:paraId="5EE4C6A6">
      <w:pPr>
        <w:pStyle w:val="8"/>
        <w:spacing w:before="93"/>
        <w:rPr>
          <w:rFonts w:hAnsi="Calibri" w:cs="仿宋"/>
          <w:sz w:val="32"/>
          <w:szCs w:val="32"/>
        </w:rPr>
      </w:pPr>
    </w:p>
    <w:p w14:paraId="5C998E59">
      <w:pPr>
        <w:pStyle w:val="8"/>
        <w:spacing w:before="93"/>
        <w:rPr>
          <w:rFonts w:hAnsi="Calibri" w:cs="仿宋"/>
          <w:sz w:val="32"/>
          <w:szCs w:val="32"/>
        </w:rPr>
      </w:pPr>
    </w:p>
    <w:p w14:paraId="61845458">
      <w:pPr>
        <w:pStyle w:val="8"/>
        <w:spacing w:before="93"/>
        <w:rPr>
          <w:rFonts w:hAnsi="Calibri" w:cs="仿宋"/>
          <w:sz w:val="32"/>
          <w:szCs w:val="32"/>
        </w:rPr>
      </w:pPr>
    </w:p>
    <w:p w14:paraId="2750ED47">
      <w:pPr>
        <w:spacing w:line="600" w:lineRule="exact"/>
        <w:jc w:val="center"/>
        <w:outlineLvl w:val="0"/>
        <w:rPr>
          <w:rFonts w:ascii="仿宋" w:hAnsi="仿宋" w:eastAsia="仿宋"/>
        </w:rPr>
      </w:pPr>
      <w:bookmarkStart w:id="71" w:name="_Toc13632"/>
      <w:r>
        <w:rPr>
          <w:rFonts w:hint="eastAsia" w:ascii="黑体" w:hAnsi="黑体" w:eastAsia="黑体"/>
          <w:sz w:val="44"/>
          <w:szCs w:val="44"/>
        </w:rPr>
        <w:t>第</w:t>
      </w:r>
      <w:r>
        <w:rPr>
          <w:rStyle w:val="30"/>
          <w:rFonts w:hint="eastAsia" w:ascii="黑体" w:hAnsi="黑体" w:eastAsia="黑体"/>
          <w:b w:val="0"/>
        </w:rPr>
        <w:t xml:space="preserve">五部分 </w:t>
      </w:r>
      <w:r>
        <w:rPr>
          <w:rStyle w:val="30"/>
          <w:rFonts w:hint="eastAsia" w:ascii="黑体" w:hAnsi="黑体" w:eastAsia="黑体"/>
          <w:b w:val="0"/>
          <w:lang w:val="en-US" w:eastAsia="zh-CN"/>
        </w:rPr>
        <w:t xml:space="preserve"> </w:t>
      </w:r>
      <w:r>
        <w:rPr>
          <w:rStyle w:val="30"/>
          <w:rFonts w:hint="eastAsia" w:ascii="黑体" w:hAnsi="黑体" w:eastAsia="黑体"/>
          <w:b w:val="0"/>
        </w:rPr>
        <w:t>附表</w:t>
      </w:r>
      <w:bookmarkEnd w:id="67"/>
      <w:bookmarkEnd w:id="70"/>
      <w:bookmarkEnd w:id="71"/>
      <w:bookmarkStart w:id="72" w:name="_Toc15396619"/>
    </w:p>
    <w:p w14:paraId="26AE1665">
      <w:pPr>
        <w:pStyle w:val="6"/>
        <w:rPr>
          <w:rFonts w:ascii="仿宋" w:hAnsi="仿宋" w:eastAsia="仿宋"/>
        </w:rPr>
      </w:pPr>
      <w:bookmarkStart w:id="73" w:name="_Toc13624"/>
      <w:r>
        <w:rPr>
          <w:rFonts w:hint="eastAsia" w:ascii="仿宋" w:hAnsi="仿宋" w:eastAsia="仿宋"/>
          <w:b w:val="0"/>
        </w:rPr>
        <w:t>一、收</w:t>
      </w:r>
      <w:r>
        <w:rPr>
          <w:rStyle w:val="31"/>
          <w:rFonts w:hint="eastAsia" w:ascii="仿宋" w:hAnsi="仿宋" w:eastAsia="仿宋"/>
          <w:b w:val="0"/>
          <w:bCs w:val="0"/>
        </w:rPr>
        <w:t>入支出决算总表</w:t>
      </w:r>
      <w:bookmarkEnd w:id="72"/>
      <w:bookmarkEnd w:id="73"/>
    </w:p>
    <w:p w14:paraId="05FE9645">
      <w:pPr>
        <w:pStyle w:val="6"/>
        <w:rPr>
          <w:rFonts w:ascii="仿宋" w:hAnsi="仿宋" w:eastAsia="仿宋"/>
        </w:rPr>
      </w:pPr>
      <w:bookmarkStart w:id="74" w:name="_Toc29273"/>
      <w:bookmarkStart w:id="75" w:name="_Toc15396620"/>
      <w:r>
        <w:rPr>
          <w:rFonts w:hint="eastAsia" w:ascii="仿宋" w:hAnsi="仿宋" w:eastAsia="仿宋"/>
          <w:b w:val="0"/>
        </w:rPr>
        <w:t>二、收</w:t>
      </w:r>
      <w:r>
        <w:rPr>
          <w:rStyle w:val="31"/>
          <w:rFonts w:hint="eastAsia" w:ascii="仿宋" w:hAnsi="仿宋" w:eastAsia="仿宋"/>
          <w:b w:val="0"/>
          <w:bCs w:val="0"/>
        </w:rPr>
        <w:t>入决算表</w:t>
      </w:r>
      <w:bookmarkEnd w:id="74"/>
      <w:bookmarkEnd w:id="75"/>
    </w:p>
    <w:p w14:paraId="14E26A86">
      <w:pPr>
        <w:pStyle w:val="6"/>
        <w:rPr>
          <w:rFonts w:ascii="仿宋" w:hAnsi="仿宋" w:eastAsia="仿宋"/>
        </w:rPr>
      </w:pPr>
      <w:bookmarkStart w:id="76" w:name="_Toc15396621"/>
      <w:bookmarkStart w:id="77" w:name="_Toc9867"/>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76"/>
      <w:bookmarkEnd w:id="77"/>
    </w:p>
    <w:p w14:paraId="043C36BB">
      <w:pPr>
        <w:pStyle w:val="6"/>
        <w:rPr>
          <w:rFonts w:ascii="仿宋" w:hAnsi="仿宋" w:eastAsia="仿宋"/>
          <w:b w:val="0"/>
        </w:rPr>
      </w:pPr>
      <w:bookmarkStart w:id="78" w:name="_Toc15396622"/>
      <w:bookmarkStart w:id="79" w:name="_Toc7973"/>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78"/>
      <w:bookmarkEnd w:id="79"/>
    </w:p>
    <w:p w14:paraId="24152699">
      <w:pPr>
        <w:pStyle w:val="6"/>
        <w:rPr>
          <w:rStyle w:val="31"/>
          <w:rFonts w:ascii="仿宋" w:hAnsi="仿宋" w:eastAsia="仿宋"/>
          <w:b w:val="0"/>
          <w:bCs w:val="0"/>
        </w:rPr>
      </w:pPr>
      <w:bookmarkStart w:id="80" w:name="_Toc15396623"/>
      <w:bookmarkStart w:id="81" w:name="_Toc11766"/>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80"/>
      <w:bookmarkEnd w:id="81"/>
      <w:bookmarkStart w:id="82" w:name="_Toc15396624"/>
    </w:p>
    <w:p w14:paraId="65EF51D9">
      <w:pPr>
        <w:pStyle w:val="6"/>
        <w:rPr>
          <w:rFonts w:ascii="仿宋" w:hAnsi="仿宋" w:eastAsia="仿宋"/>
        </w:rPr>
      </w:pPr>
      <w:bookmarkStart w:id="83" w:name="_Toc12054"/>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82"/>
      <w:bookmarkEnd w:id="83"/>
    </w:p>
    <w:p w14:paraId="16862BDD">
      <w:pPr>
        <w:pStyle w:val="6"/>
        <w:rPr>
          <w:rFonts w:ascii="仿宋" w:hAnsi="仿宋" w:eastAsia="仿宋"/>
        </w:rPr>
      </w:pPr>
      <w:bookmarkStart w:id="84" w:name="_Toc15396625"/>
      <w:bookmarkStart w:id="85" w:name="_Toc7343"/>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84"/>
      <w:bookmarkEnd w:id="85"/>
    </w:p>
    <w:p w14:paraId="61FA64DA">
      <w:pPr>
        <w:pStyle w:val="6"/>
        <w:rPr>
          <w:rFonts w:ascii="仿宋" w:hAnsi="仿宋" w:eastAsia="仿宋"/>
        </w:rPr>
      </w:pPr>
      <w:bookmarkStart w:id="86" w:name="_Toc21483"/>
      <w:bookmarkStart w:id="87"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86"/>
      <w:bookmarkEnd w:id="87"/>
    </w:p>
    <w:p w14:paraId="286BD13F">
      <w:pPr>
        <w:pStyle w:val="6"/>
        <w:rPr>
          <w:rFonts w:ascii="仿宋" w:hAnsi="仿宋" w:eastAsia="仿宋"/>
        </w:rPr>
      </w:pPr>
      <w:bookmarkStart w:id="88" w:name="_Toc15396627"/>
      <w:bookmarkStart w:id="89" w:name="_Toc30031"/>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88"/>
      <w:bookmarkEnd w:id="89"/>
    </w:p>
    <w:p w14:paraId="20562E5A">
      <w:pPr>
        <w:pStyle w:val="6"/>
        <w:rPr>
          <w:rFonts w:ascii="仿宋" w:hAnsi="仿宋" w:eastAsia="仿宋"/>
        </w:rPr>
      </w:pPr>
      <w:bookmarkStart w:id="90" w:name="_Toc15396628"/>
      <w:bookmarkStart w:id="91" w:name="_Toc9802"/>
      <w:r>
        <w:rPr>
          <w:rStyle w:val="31"/>
          <w:rFonts w:hint="eastAsia" w:ascii="仿宋" w:hAnsi="仿宋" w:eastAsia="仿宋"/>
          <w:b w:val="0"/>
          <w:bCs w:val="0"/>
        </w:rPr>
        <w:t>十、</w:t>
      </w:r>
      <w:bookmarkEnd w:id="90"/>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91"/>
    </w:p>
    <w:p w14:paraId="5A115608">
      <w:pPr>
        <w:pStyle w:val="6"/>
        <w:rPr>
          <w:rFonts w:ascii="仿宋" w:hAnsi="仿宋" w:eastAsia="仿宋"/>
        </w:rPr>
      </w:pPr>
      <w:bookmarkStart w:id="92" w:name="_Toc15396629"/>
      <w:bookmarkStart w:id="93" w:name="_Toc21648"/>
      <w:r>
        <w:rPr>
          <w:rStyle w:val="31"/>
          <w:rFonts w:hint="eastAsia" w:ascii="仿宋" w:hAnsi="仿宋" w:eastAsia="仿宋"/>
          <w:b w:val="0"/>
          <w:bCs w:val="0"/>
        </w:rPr>
        <w:t>十一、</w:t>
      </w:r>
      <w:bookmarkEnd w:id="92"/>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93"/>
    </w:p>
    <w:p w14:paraId="2B1CE70A">
      <w:pPr>
        <w:pStyle w:val="6"/>
        <w:rPr>
          <w:rFonts w:ascii="仿宋" w:hAnsi="仿宋" w:eastAsia="仿宋"/>
        </w:rPr>
      </w:pPr>
      <w:bookmarkStart w:id="94" w:name="_Toc15396630"/>
      <w:bookmarkStart w:id="95" w:name="_Toc17419"/>
      <w:r>
        <w:rPr>
          <w:rStyle w:val="31"/>
          <w:rFonts w:hint="eastAsia" w:ascii="仿宋" w:hAnsi="仿宋" w:eastAsia="仿宋"/>
          <w:b w:val="0"/>
          <w:bCs w:val="0"/>
        </w:rPr>
        <w:t>十二、</w:t>
      </w:r>
      <w:bookmarkEnd w:id="94"/>
      <w:r>
        <w:rPr>
          <w:rStyle w:val="31"/>
          <w:rFonts w:hint="eastAsia" w:ascii="仿宋" w:hAnsi="仿宋" w:eastAsia="仿宋"/>
          <w:b w:val="0"/>
          <w:bCs w:val="0"/>
        </w:rPr>
        <w:t>国有资本经营预算财政拨款支出决算表</w:t>
      </w:r>
      <w:bookmarkEnd w:id="95"/>
    </w:p>
    <w:p w14:paraId="62CDF5A2">
      <w:pPr>
        <w:pStyle w:val="6"/>
        <w:rPr>
          <w:rFonts w:eastAsia="仿宋"/>
        </w:rPr>
      </w:pPr>
      <w:bookmarkStart w:id="96" w:name="_Toc15396631"/>
      <w:bookmarkStart w:id="97" w:name="_Toc3303"/>
      <w:r>
        <w:rPr>
          <w:rStyle w:val="31"/>
          <w:rFonts w:hint="eastAsia" w:ascii="仿宋" w:hAnsi="仿宋" w:eastAsia="仿宋"/>
          <w:b w:val="0"/>
          <w:bCs w:val="0"/>
        </w:rPr>
        <w:t>十三、</w:t>
      </w:r>
      <w:bookmarkEnd w:id="96"/>
      <w:r>
        <w:rPr>
          <w:rStyle w:val="31"/>
          <w:rFonts w:hint="eastAsia" w:ascii="仿宋" w:hAnsi="仿宋" w:eastAsia="仿宋"/>
          <w:b w:val="0"/>
          <w:bCs w:val="0"/>
        </w:rPr>
        <w:t>财政拨款“三公”经费支出决算表</w:t>
      </w:r>
      <w:bookmarkEnd w:id="9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E04CD3-1AB4-42B4-8AE7-C58942D03E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8C0A409-4A8C-4724-9F6E-B4E33B5533F5}"/>
  </w:font>
  <w:font w:name="Cambria">
    <w:panose1 w:val="02040503050406030204"/>
    <w:charset w:val="00"/>
    <w:family w:val="roman"/>
    <w:pitch w:val="default"/>
    <w:sig w:usb0="E00006FF" w:usb1="420024FF" w:usb2="02000000" w:usb3="00000000" w:csb0="2000019F" w:csb1="00000000"/>
    <w:embedRegular r:id="rId3" w:fontKey="{682C9688-6780-406E-B487-B3FA0DD705C7}"/>
  </w:font>
  <w:font w:name="仿宋_GB2312">
    <w:altName w:val="仿宋"/>
    <w:panose1 w:val="02010609030101010101"/>
    <w:charset w:val="86"/>
    <w:family w:val="auto"/>
    <w:pitch w:val="default"/>
    <w:sig w:usb0="00000000" w:usb1="00000000" w:usb2="00000000" w:usb3="00000000" w:csb0="00040000" w:csb1="00000000"/>
    <w:embedRegular r:id="rId4" w:fontKey="{A8C01C29-EC99-4730-BB76-2CCB67403F15}"/>
  </w:font>
  <w:font w:name="仿宋">
    <w:panose1 w:val="02010609060101010101"/>
    <w:charset w:val="86"/>
    <w:family w:val="auto"/>
    <w:pitch w:val="default"/>
    <w:sig w:usb0="800002BF" w:usb1="38CF7CFA" w:usb2="00000016" w:usb3="00000000" w:csb0="00040001" w:csb1="00000000"/>
    <w:embedRegular r:id="rId5" w:fontKey="{03FB7957-EDB0-4537-8253-D5B27F6E7C84}"/>
  </w:font>
  <w:font w:name="??">
    <w:altName w:val="Times New Roman"/>
    <w:panose1 w:val="00000000000000000000"/>
    <w:charset w:val="00"/>
    <w:family w:val="roman"/>
    <w:pitch w:val="default"/>
    <w:sig w:usb0="00000000" w:usb1="00000000" w:usb2="00000000" w:usb3="00000000" w:csb0="00000000" w:csb1="00000000"/>
  </w:font>
  <w:font w:name="Times_New_Roman">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52292A1E-1AA1-4267-94B3-D3FE81DCC9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9815BE1">
        <w:pPr>
          <w:pStyle w:val="12"/>
          <w:jc w:val="center"/>
        </w:pPr>
        <w:r>
          <w:fldChar w:fldCharType="begin"/>
        </w:r>
        <w:r>
          <w:instrText xml:space="preserve">PAGE   \* MERGEFORMAT</w:instrText>
        </w:r>
        <w:r>
          <w:fldChar w:fldCharType="separate"/>
        </w:r>
        <w:r>
          <w:rPr>
            <w:lang w:val="zh-CN"/>
          </w:rPr>
          <w:t>15</w:t>
        </w:r>
        <w:r>
          <w:fldChar w:fldCharType="end"/>
        </w:r>
      </w:p>
    </w:sdtContent>
  </w:sdt>
  <w:p w14:paraId="3571DC9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E826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84AD3"/>
    <w:rsid w:val="02C11452"/>
    <w:rsid w:val="03DC2831"/>
    <w:rsid w:val="0436359C"/>
    <w:rsid w:val="048B18A6"/>
    <w:rsid w:val="081B5E94"/>
    <w:rsid w:val="08F84E2E"/>
    <w:rsid w:val="091D34B4"/>
    <w:rsid w:val="0A2032A3"/>
    <w:rsid w:val="0A844973"/>
    <w:rsid w:val="0B8A37D8"/>
    <w:rsid w:val="0E1D7285"/>
    <w:rsid w:val="0F5FFB2F"/>
    <w:rsid w:val="0FFFCF60"/>
    <w:rsid w:val="10C055FF"/>
    <w:rsid w:val="10DA075F"/>
    <w:rsid w:val="118107EC"/>
    <w:rsid w:val="11DD6519"/>
    <w:rsid w:val="120E6FBC"/>
    <w:rsid w:val="143E4A92"/>
    <w:rsid w:val="16BB723D"/>
    <w:rsid w:val="18015F3F"/>
    <w:rsid w:val="18495BB2"/>
    <w:rsid w:val="1AF07D57"/>
    <w:rsid w:val="1AF54240"/>
    <w:rsid w:val="1B3E35AE"/>
    <w:rsid w:val="1B554C9D"/>
    <w:rsid w:val="1BE8440E"/>
    <w:rsid w:val="1C7A4E3D"/>
    <w:rsid w:val="1D155CEE"/>
    <w:rsid w:val="1E626D7F"/>
    <w:rsid w:val="1E9E01B6"/>
    <w:rsid w:val="1FDBBF84"/>
    <w:rsid w:val="20F57F95"/>
    <w:rsid w:val="227078BF"/>
    <w:rsid w:val="240371BF"/>
    <w:rsid w:val="25711CC6"/>
    <w:rsid w:val="25C741E6"/>
    <w:rsid w:val="27156093"/>
    <w:rsid w:val="276F80C0"/>
    <w:rsid w:val="27842671"/>
    <w:rsid w:val="27CC5724"/>
    <w:rsid w:val="27F405B6"/>
    <w:rsid w:val="29E12CA9"/>
    <w:rsid w:val="29FD04D3"/>
    <w:rsid w:val="2A4A200D"/>
    <w:rsid w:val="2A4E7B73"/>
    <w:rsid w:val="2ABE7A3E"/>
    <w:rsid w:val="2AFF09B6"/>
    <w:rsid w:val="2CA234A8"/>
    <w:rsid w:val="2CFF2650"/>
    <w:rsid w:val="2ED85D98"/>
    <w:rsid w:val="2EFA178C"/>
    <w:rsid w:val="2EFDF86C"/>
    <w:rsid w:val="2F9D17E1"/>
    <w:rsid w:val="2FF6727F"/>
    <w:rsid w:val="30B46D73"/>
    <w:rsid w:val="319F7F4E"/>
    <w:rsid w:val="356A28F1"/>
    <w:rsid w:val="357C035A"/>
    <w:rsid w:val="36525E5E"/>
    <w:rsid w:val="368E000D"/>
    <w:rsid w:val="383D272C"/>
    <w:rsid w:val="398B5EA6"/>
    <w:rsid w:val="39AE70AB"/>
    <w:rsid w:val="3A4DCE41"/>
    <w:rsid w:val="3A802A5E"/>
    <w:rsid w:val="3BCB56FA"/>
    <w:rsid w:val="3BE06BA6"/>
    <w:rsid w:val="3C0C0783"/>
    <w:rsid w:val="3C0C55F1"/>
    <w:rsid w:val="3C640D0C"/>
    <w:rsid w:val="3E8371ED"/>
    <w:rsid w:val="3EE7C2F4"/>
    <w:rsid w:val="3F006FF4"/>
    <w:rsid w:val="3F371B56"/>
    <w:rsid w:val="3F792ED8"/>
    <w:rsid w:val="3F9F3A96"/>
    <w:rsid w:val="3FECA4B2"/>
    <w:rsid w:val="3FF58C48"/>
    <w:rsid w:val="40295F41"/>
    <w:rsid w:val="42FF6694"/>
    <w:rsid w:val="48BF60AB"/>
    <w:rsid w:val="493C27E9"/>
    <w:rsid w:val="496F39ED"/>
    <w:rsid w:val="49FF41D3"/>
    <w:rsid w:val="4BE068DB"/>
    <w:rsid w:val="4BF6002B"/>
    <w:rsid w:val="4BFFC6BE"/>
    <w:rsid w:val="4CB7478F"/>
    <w:rsid w:val="4ECE2238"/>
    <w:rsid w:val="4FE33454"/>
    <w:rsid w:val="51DB4B86"/>
    <w:rsid w:val="51F012D6"/>
    <w:rsid w:val="51F64DB0"/>
    <w:rsid w:val="54A42C9F"/>
    <w:rsid w:val="55333C3E"/>
    <w:rsid w:val="55D879D7"/>
    <w:rsid w:val="57AE5089"/>
    <w:rsid w:val="58A170FB"/>
    <w:rsid w:val="5D5922CF"/>
    <w:rsid w:val="5F67802D"/>
    <w:rsid w:val="5F7DC4F2"/>
    <w:rsid w:val="5FB36814"/>
    <w:rsid w:val="5FBB8E56"/>
    <w:rsid w:val="5FDE0AD6"/>
    <w:rsid w:val="5FFB5535"/>
    <w:rsid w:val="61EC1131"/>
    <w:rsid w:val="64CA39A1"/>
    <w:rsid w:val="69630ADE"/>
    <w:rsid w:val="69BD5F13"/>
    <w:rsid w:val="69FB0B4B"/>
    <w:rsid w:val="6A2033F0"/>
    <w:rsid w:val="6BFFE1FB"/>
    <w:rsid w:val="6C4A05C8"/>
    <w:rsid w:val="6D0F1A67"/>
    <w:rsid w:val="6D3B1A89"/>
    <w:rsid w:val="6DB7D8A3"/>
    <w:rsid w:val="6EC78701"/>
    <w:rsid w:val="6EFC5350"/>
    <w:rsid w:val="6F7A5481"/>
    <w:rsid w:val="6FD666BB"/>
    <w:rsid w:val="6FFE07A9"/>
    <w:rsid w:val="71BF4EC2"/>
    <w:rsid w:val="72734D90"/>
    <w:rsid w:val="736449F1"/>
    <w:rsid w:val="73D247A2"/>
    <w:rsid w:val="73E75B71"/>
    <w:rsid w:val="7412278C"/>
    <w:rsid w:val="75B5576D"/>
    <w:rsid w:val="75DDCDA9"/>
    <w:rsid w:val="75FF44B1"/>
    <w:rsid w:val="77670518"/>
    <w:rsid w:val="777FA627"/>
    <w:rsid w:val="77DF1B5F"/>
    <w:rsid w:val="77EA4D1E"/>
    <w:rsid w:val="77EF2D9D"/>
    <w:rsid w:val="79B53986"/>
    <w:rsid w:val="79E7B28D"/>
    <w:rsid w:val="7ACFF0C2"/>
    <w:rsid w:val="7AFB9108"/>
    <w:rsid w:val="7BD5340C"/>
    <w:rsid w:val="7BFB19D2"/>
    <w:rsid w:val="7BFD1750"/>
    <w:rsid w:val="7BFDAA1B"/>
    <w:rsid w:val="7C630EFF"/>
    <w:rsid w:val="7CDF9A82"/>
    <w:rsid w:val="7CFFA1BD"/>
    <w:rsid w:val="7D2E3F7A"/>
    <w:rsid w:val="7DB46139"/>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eastAsia="宋体"/>
    </w:rPr>
  </w:style>
  <w:style w:type="paragraph" w:styleId="11">
    <w:name w:val="Balloon Text"/>
    <w:basedOn w:val="1"/>
    <w:link w:val="33"/>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jc w:val="left"/>
    </w:pPr>
    <w:rPr>
      <w:rFonts w:hint="eastAsia" w:ascii="宋体" w:hAnsi="宋体"/>
      <w:kern w:val="0"/>
      <w:sz w:val="24"/>
      <w:szCs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List Paragraph"/>
    <w:basedOn w:val="1"/>
    <w:qFormat/>
    <w:uiPriority w:val="34"/>
    <w:pPr>
      <w:ind w:firstLine="420" w:firstLineChars="200"/>
    </w:pPr>
  </w:style>
  <w:style w:type="character" w:customStyle="1" w:styleId="30">
    <w:name w:val="标题 1 字符"/>
    <w:basedOn w:val="18"/>
    <w:link w:val="5"/>
    <w:qFormat/>
    <w:uiPriority w:val="9"/>
    <w:rPr>
      <w:rFonts w:ascii="Times New Roman" w:hAnsi="Times New Roman"/>
      <w:b/>
      <w:bCs/>
      <w:kern w:val="44"/>
      <w:sz w:val="44"/>
      <w:szCs w:val="44"/>
    </w:rPr>
  </w:style>
  <w:style w:type="character" w:customStyle="1" w:styleId="31">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1"/>
    <w:semiHidden/>
    <w:qFormat/>
    <w:uiPriority w:val="99"/>
    <w:rPr>
      <w:rFonts w:ascii="Times New Roman" w:hAnsi="Times New Roman"/>
      <w:kern w:val="2"/>
      <w:sz w:val="18"/>
      <w:szCs w:val="18"/>
    </w:rPr>
  </w:style>
  <w:style w:type="character" w:customStyle="1" w:styleId="34">
    <w:name w:val="标题 3 字符"/>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正文-公1"/>
    <w:basedOn w:val="37"/>
    <w:next w:val="1"/>
    <w:qFormat/>
    <w:uiPriority w:val="0"/>
    <w:pPr>
      <w:ind w:firstLine="200" w:firstLineChars="200"/>
    </w:p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qFormat/>
    <w:uiPriority w:val="0"/>
    <w:pPr>
      <w:widowControl w:val="0"/>
      <w:jc w:val="both"/>
    </w:pPr>
    <w:rPr>
      <w:rFonts w:ascii="Times New Roman" w:hAnsi="Times New Roman" w:eastAsia="宋体" w:cs="Times New Roman"/>
      <w:kern w:val="2"/>
      <w:sz w:val="21"/>
      <w:lang w:val="en-US" w:eastAsia="zh-CN"/>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rPr>
  </w:style>
  <w:style w:type="character" w:customStyle="1" w:styleId="39">
    <w:name w:val="fontstyle01"/>
    <w:basedOn w:val="18"/>
    <w:qFormat/>
    <w:uiPriority w:val="0"/>
    <w:rPr>
      <w:rFonts w:ascii="仿宋_GB2312" w:hAnsi="仿宋_GB2312" w:eastAsia="仿宋_GB2312" w:cs="仿宋_GB2312"/>
      <w:color w:val="000000"/>
      <w:sz w:val="32"/>
      <w:szCs w:val="32"/>
    </w:rPr>
  </w:style>
  <w:style w:type="character" w:customStyle="1" w:styleId="40">
    <w:name w:val="fontstyle11"/>
    <w:basedOn w:val="18"/>
    <w:qFormat/>
    <w:uiPriority w:val="0"/>
    <w:rPr>
      <w:rFonts w:ascii="Times_New_Roman" w:hAnsi="Times_New_Roman" w:eastAsia="Times_New_Roman" w:cs="Times_New_Roman"/>
      <w:color w:val="000000"/>
      <w:sz w:val="32"/>
      <w:szCs w:val="32"/>
    </w:rPr>
  </w:style>
  <w:style w:type="character" w:customStyle="1" w:styleId="41">
    <w:name w:val="标题 1 Char"/>
    <w:basedOn w:val="18"/>
    <w:link w:val="5"/>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：收、支决算总计变动情况图</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Sheet1!$B$2:$B$3</c:f>
              <c:numCache>
                <c:formatCode>General</c:formatCode>
                <c:ptCount val="2"/>
                <c:pt idx="0">
                  <c:v>682.33</c:v>
                </c:pt>
                <c:pt idx="1">
                  <c:v>682.33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Sheet1!$C$2:$C$3</c:f>
              <c:numCache>
                <c:formatCode>General</c:formatCode>
                <c:ptCount val="2"/>
                <c:pt idx="0">
                  <c:v>576.64</c:v>
                </c:pt>
                <c:pt idx="1">
                  <c:v>576.64</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311317148"/>
        <c:axId val="177924032"/>
      </c:barChart>
      <c:catAx>
        <c:axId val="3113171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924032"/>
        <c:crosses val="autoZero"/>
        <c:auto val="1"/>
        <c:lblAlgn val="ctr"/>
        <c:lblOffset val="100"/>
        <c:noMultiLvlLbl val="0"/>
      </c:catAx>
      <c:valAx>
        <c:axId val="17792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317148"/>
        <c:crosses val="autoZero"/>
        <c:crossBetween val="between"/>
      </c:valAx>
      <c:spPr>
        <a:noFill/>
        <a:ln>
          <a:noFill/>
        </a:ln>
        <a:effectLst/>
      </c:spPr>
    </c:plotArea>
    <c:legend>
      <c:legendPos val="b"/>
      <c:legendEntry>
        <c:idx val="2"/>
        <c:delete val="1"/>
      </c:legendEntry>
      <c:layout>
        <c:manualLayout>
          <c:xMode val="edge"/>
          <c:yMode val="edge"/>
          <c:x val="0.361625"/>
          <c:y val="0.924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d57d28-3bf1-4964-9444-049e5d9035e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2024</c:v>
                </c:pt>
              </c:numCache>
            </c:numRef>
          </c:cat>
          <c:val>
            <c:numRef>
              <c:f>Sheet1!$B$2</c:f>
              <c:numCache>
                <c:formatCode>General</c:formatCode>
                <c:ptCount val="1"/>
                <c:pt idx="0">
                  <c:v>576.59</c:v>
                </c:pt>
              </c:numCache>
            </c:numRef>
          </c:val>
        </c:ser>
        <c:ser>
          <c:idx val="1"/>
          <c:order val="1"/>
          <c:tx>
            <c:strRef>
              <c:f>Sheet1!$C$1</c:f>
              <c:strCache>
                <c:ptCount val="1"/>
                <c:pt idx="0">
                  <c:v>政府性基金预算财政拨款收入</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2024</c:v>
                </c:pt>
              </c:numCache>
            </c:numRef>
          </c:cat>
          <c:val>
            <c:numRef>
              <c:f>Sheet1!$C$2</c:f>
              <c:numCache>
                <c:formatCode>General</c:formatCode>
                <c:ptCount val="1"/>
                <c:pt idx="0">
                  <c:v>0</c:v>
                </c:pt>
              </c:numCache>
            </c:numRef>
          </c:val>
        </c:ser>
        <c:ser>
          <c:idx val="2"/>
          <c:order val="2"/>
          <c:tx>
            <c:strRef>
              <c:f>Sheet1!$D$1</c:f>
              <c:strCache>
                <c:ptCount val="1"/>
                <c:pt idx="0">
                  <c:v>国有资本经营预算财政拨款收入</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2024</c:v>
                </c:pt>
              </c:numCache>
            </c:numRef>
          </c:cat>
          <c:val>
            <c:numRef>
              <c:f>Sheet1!$D$2</c:f>
              <c:numCache>
                <c:formatCode>General</c:formatCode>
                <c:ptCount val="1"/>
                <c:pt idx="0">
                  <c:v>0</c:v>
                </c:pt>
              </c:numCache>
            </c:numRef>
          </c:val>
        </c:ser>
        <c:ser>
          <c:idx val="3"/>
          <c:order val="3"/>
          <c:tx>
            <c:strRef>
              <c:f>Sheet1!$E$1</c:f>
              <c:strCache>
                <c:ptCount val="1"/>
                <c:pt idx="0">
                  <c:v>上级补助收入</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2024</c:v>
                </c:pt>
              </c:numCache>
            </c:numRef>
          </c:cat>
          <c:val>
            <c:numRef>
              <c:f>Sheet1!$E$2</c:f>
              <c:numCache>
                <c:formatCode>General</c:formatCode>
                <c:ptCount val="1"/>
                <c:pt idx="0">
                  <c:v>0</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6662b40d-ad90-4909-98ac-79f4de8ac47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a:t>
            </a:r>
            <a:r>
              <a:t>支出决算结构图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本年支出</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491.1</c:v>
                </c:pt>
                <c:pt idx="1">
                  <c:v>85.5</c:v>
                </c:pt>
              </c:numCache>
            </c:numRef>
          </c:val>
        </c:ser>
        <c:dLbls>
          <c:showLegendKey val="0"/>
          <c:showVal val="0"/>
          <c:showCatName val="0"/>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df2dc366-619f-4b23-bc66-12816e21982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：财政拨款收、支决算总计变动情况表</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679.27</c:v>
                </c:pt>
                <c:pt idx="1">
                  <c:v>576.59</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679.27</c:v>
                </c:pt>
                <c:pt idx="1">
                  <c:v>576.59</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25"/>
        <c:axId val="684581203"/>
        <c:axId val="407870500"/>
      </c:barChart>
      <c:catAx>
        <c:axId val="6845812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7870500"/>
        <c:crosses val="autoZero"/>
        <c:auto val="1"/>
        <c:lblAlgn val="ctr"/>
        <c:lblOffset val="100"/>
        <c:noMultiLvlLbl val="0"/>
      </c:catAx>
      <c:valAx>
        <c:axId val="40787050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4581203"/>
        <c:crosses val="autoZero"/>
        <c:crossBetween val="between"/>
      </c:valAx>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3d806e7-88ca-40e4-ab9a-42a49acf3ba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：一般公共预算财政拨款支出决算变动情况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679.27</c:v>
                </c:pt>
                <c:pt idx="1">
                  <c:v>576.59</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0"/>
        <c:axId val="645527318"/>
        <c:axId val="103837683"/>
      </c:barChart>
      <c:catAx>
        <c:axId val="6455273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837683"/>
        <c:crosses val="autoZero"/>
        <c:auto val="1"/>
        <c:lblAlgn val="ctr"/>
        <c:lblOffset val="100"/>
        <c:noMultiLvlLbl val="0"/>
      </c:catAx>
      <c:valAx>
        <c:axId val="1038376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527318"/>
        <c:crosses val="autoZero"/>
        <c:crossBetween val="between"/>
      </c:valAx>
      <c:spPr>
        <a:noFill/>
        <a:ln>
          <a:noFill/>
        </a:ln>
        <a:effectLst/>
      </c:spPr>
    </c:plotArea>
    <c:legend>
      <c:legendPos val="r"/>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765dee8-9524-4d81-874c-7d275b40a57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2024年一般公共预算财政拨款支出决算结构图</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100.59</c:v>
                </c:pt>
                <c:pt idx="1">
                  <c:v>441.93</c:v>
                </c:pt>
                <c:pt idx="2">
                  <c:v>34.06</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8a04a9f-ca83-4d57-bf80-fe4ed0fcb1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公务用车购置及运行维护费支出决算</c:v>
                </c:pt>
                <c:pt idx="1">
                  <c:v>公务接待费支出</c:v>
                </c:pt>
              </c:strCache>
            </c:strRef>
          </c:cat>
          <c:val>
            <c:numRef>
              <c:f>Sheet1!$B$2:$B$3</c:f>
              <c:numCache>
                <c:formatCode>General</c:formatCode>
                <c:ptCount val="2"/>
                <c:pt idx="0">
                  <c:v>1.62</c:v>
                </c:pt>
                <c:pt idx="1">
                  <c:v>0.67</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54b6fab-f2cb-4874-b5a9-605ebd3e6e8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5560</Words>
  <Characters>6158</Characters>
  <Lines>54</Lines>
  <Paragraphs>15</Paragraphs>
  <TotalTime>12</TotalTime>
  <ScaleCrop>false</ScaleCrop>
  <LinksUpToDate>false</LinksUpToDate>
  <CharactersWithSpaces>6222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成稼璇</cp:lastModifiedBy>
  <cp:lastPrinted>2023-08-03T02:35:00Z</cp:lastPrinted>
  <dcterms:modified xsi:type="dcterms:W3CDTF">2025-09-15T01:49:39Z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eyJoZGlkIjoiYzM0ZWI5MjE1ZWFhNjAxYTI3ZThlMDlmYzk0ZDUwZWEiLCJ1c2VySWQiOiIxNjc4Nzg3NTY1In0=</vt:lpwstr>
  </property>
  <property fmtid="{D5CDD505-2E9C-101B-9397-08002B2CF9AE}" pid="4" name="ICV">
    <vt:lpwstr>0BF8A5D7E4C4472CBF6C548D32BEEE1C_12</vt:lpwstr>
  </property>
</Properties>
</file>