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方正小标宋简体" w:eastAsia="方正小标宋简体"/>
          <w:szCs w:val="21"/>
        </w:rPr>
      </w:pPr>
      <w:bookmarkStart w:id="0" w:name="_Toc15306267"/>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adjustRightInd w:val="0"/>
        <w:snapToGrid w:val="0"/>
        <w:spacing w:line="360" w:lineRule="auto"/>
        <w:jc w:val="center"/>
        <w:outlineLvl w:val="0"/>
        <w:rPr>
          <w:rFonts w:ascii="方正小标宋简体" w:eastAsia="方正小标宋简体" w:cs="方正小标宋简体"/>
          <w:sz w:val="72"/>
          <w:szCs w:val="72"/>
        </w:rPr>
      </w:pPr>
      <w:bookmarkStart w:id="1" w:name="_Toc15378441"/>
      <w:bookmarkStart w:id="2" w:name="_Toc15396475"/>
      <w:bookmarkStart w:id="3" w:name="_Toc15377425"/>
      <w:bookmarkStart w:id="4" w:name="_Toc15377193"/>
      <w:bookmarkStart w:id="5" w:name="_Toc15396597"/>
      <w:r>
        <w:rPr>
          <w:rFonts w:ascii="方正小标宋简体" w:eastAsia="方正小标宋简体" w:cs="方正小标宋简体" w:hint="eastAsia"/>
          <w:sz w:val="72"/>
          <w:szCs w:val="72"/>
        </w:rPr>
        <w:t>2024年度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cs="方正小标宋简体"/>
          <w:sz w:val="72"/>
          <w:szCs w:val="72"/>
        </w:rPr>
      </w:pPr>
      <w:bookmarkStart w:id="6" w:name="_Toc15377194"/>
      <w:bookmarkStart w:id="7" w:name="_Toc15396598"/>
      <w:bookmarkStart w:id="8" w:name="_Toc15378442"/>
      <w:bookmarkStart w:id="9" w:name="_Toc15377426"/>
      <w:bookmarkStart w:id="10" w:name="_Toc15396476"/>
      <w:r>
        <w:rPr>
          <w:rFonts w:ascii="方正小标宋简体" w:eastAsia="方正小标宋简体" w:cs="方正小标宋简体" w:hint="eastAsia"/>
          <w:sz w:val="72"/>
          <w:szCs w:val="72"/>
        </w:rPr>
        <w:t xml:space="preserve">  攀枝花市</w:t>
      </w:r>
      <w:bookmarkStart w:id="11" w:name="_Toc15306268"/>
      <w:bookmarkEnd w:id="0"/>
      <w:r>
        <w:rPr>
          <w:rFonts w:ascii="方正小标宋简体" w:eastAsia="方正小标宋简体" w:cs="方正小标宋简体" w:hint="eastAsia"/>
          <w:sz w:val="72"/>
          <w:szCs w:val="72"/>
        </w:rPr>
        <w:t>第四人民医院单位决算</w:t>
      </w:r>
      <w:bookmarkEnd w:id="6"/>
      <w:bookmarkEnd w:id="7"/>
      <w:bookmarkEnd w:id="8"/>
      <w:bookmarkEnd w:id="9"/>
      <w:bookmarkEnd w:id="10"/>
      <w:bookmarkEnd w:id="11"/>
    </w:p>
    <w:p>
      <w:pPr>
        <w:widowControl/>
        <w:jc w:val="center"/>
        <w:rPr>
          <w:rFonts w:ascii="黑体" w:eastAsia="黑体"/>
          <w:sz w:val="48"/>
          <w:szCs w:val="48"/>
        </w:rPr>
      </w:pPr>
      <w:r>
        <w:rPr>
          <w:rFonts w:ascii="方正小标宋简体" w:eastAsia="方正小标宋简体"/>
          <w:sz w:val="36"/>
          <w:szCs w:val="36"/>
        </w:rPr>
        <w:br w:type="page"/>
      </w:r>
      <w:r>
        <w:rPr>
          <w:rFonts w:ascii="黑体" w:eastAsia="黑体" w:hint="eastAsia"/>
          <w:sz w:val="48"/>
          <w:szCs w:val="48"/>
        </w:rPr>
        <w:t>目录</w:t>
      </w:r>
    </w:p>
    <w:p>
      <w:pPr>
        <w:widowControl/>
        <w:jc w:val="center"/>
        <w:rPr>
          <w:rFonts w:ascii="黑体" w:eastAsia="黑体" w:cs="Arial"/>
          <w:sz w:val="28"/>
          <w:szCs w:val="28"/>
        </w:rPr>
      </w:pPr>
    </w:p>
    <w:p>
      <w:pPr>
        <w:pStyle w:val="20"/>
        <w:tabs>
          <w:tab w:val="right" w:leader="dot" w:pos="8296"/>
        </w:tabs>
      </w:pPr>
      <w:r>
        <w:rPr>
          <w:rFonts w:hint="eastAsia"/>
        </w:rPr>
        <w:t>公开时间：2025年9月</w:t>
      </w:r>
      <w:r>
        <w:t>11</w:t>
      </w:r>
      <w:bookmarkStart w:id="12" w:name="_GoBack"/>
      <w:bookmarkEnd w:id="12"/>
      <w:r>
        <w:rPr>
          <w:rFonts w:hint="eastAsia"/>
        </w:rPr>
        <w:t>日</w:t>
      </w:r>
    </w:p>
    <w:p/>
    <w:p>
      <w:pPr>
        <w:pStyle w:val="20"/>
        <w:tabs>
          <w:tab w:val="right" w:leader="dot" w:pos="8296"/>
        </w:tabs>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单位概况</w:t>
      </w:r>
      <w:r>
        <w:rPr>
          <w:rFonts w:cs="Arial"/>
          <w:sz w:val="24"/>
          <w:szCs w:val="24"/>
        </w:rPr>
        <w:tab/>
      </w:r>
      <w:r>
        <w:rPr>
          <w:rFonts w:cs="Arial" w:hint="eastAsia"/>
          <w:sz w:val="24"/>
          <w:szCs w:val="24"/>
        </w:rPr>
        <w:t>4</w:t>
      </w:r>
    </w:p>
    <w:p>
      <w:pPr>
        <w:pStyle w:val="21"/>
        <w:tabs>
          <w:tab w:val="right" w:leader="dot" w:pos="8296"/>
        </w:tabs>
        <w:adjustRightInd w:val="0"/>
        <w:snapToGrid w:val="0"/>
        <w:spacing w:line="440" w:lineRule="exact"/>
        <w:jc w:val="left"/>
        <w:rPr>
          <w:sz w:val="24"/>
        </w:rPr>
      </w:pPr>
      <w:r>
        <w:rPr>
          <w:rFonts w:hint="eastAsia"/>
          <w:sz w:val="24"/>
        </w:rPr>
        <w:t>一、部门职责</w:t>
      </w:r>
      <w:r>
        <w:rPr>
          <w:rFonts w:cs="Arial"/>
          <w:sz w:val="24"/>
        </w:rPr>
        <w:tab/>
      </w:r>
      <w:r>
        <w:rPr>
          <w:rFonts w:cs="Arial" w:hint="eastAsia"/>
          <w:sz w:val="24"/>
        </w:rPr>
        <w:t>4</w:t>
      </w:r>
    </w:p>
    <w:p>
      <w:pPr>
        <w:pStyle w:val="21"/>
        <w:tabs>
          <w:tab w:val="right" w:leader="dot" w:pos="8296"/>
        </w:tabs>
        <w:adjustRightInd w:val="0"/>
        <w:snapToGrid w:val="0"/>
        <w:spacing w:line="440" w:lineRule="exact"/>
        <w:jc w:val="left"/>
      </w:pPr>
      <w:r>
        <w:rPr>
          <w:rFonts w:hint="eastAsia"/>
          <w:sz w:val="24"/>
        </w:rPr>
        <w:t>二、机构设置</w:t>
      </w:r>
      <w:r>
        <w:rPr>
          <w:rFonts w:cs="Arial"/>
          <w:sz w:val="24"/>
        </w:rPr>
        <w:tab/>
      </w:r>
      <w:r>
        <w:rPr>
          <w:rFonts w:cs="Arial" w:hint="eastAsia"/>
          <w:sz w:val="24"/>
        </w:rPr>
        <w:t>4</w:t>
      </w:r>
    </w:p>
    <w:p>
      <w:pPr>
        <w:pStyle w:val="20"/>
        <w:tabs>
          <w:tab w:val="right" w:leader="dot" w:pos="8296"/>
        </w:tabs>
        <w:adjustRightInd w:val="0"/>
        <w:snapToGrid w:val="0"/>
        <w:spacing w:before="0" w:line="440" w:lineRule="exact"/>
        <w:jc w:val="left"/>
        <w:rPr>
          <w:sz w:val="24"/>
          <w:szCs w:val="24"/>
        </w:rPr>
      </w:pPr>
      <w:r>
        <w:rPr>
          <w:rFonts w:hint="eastAsia"/>
          <w:sz w:val="24"/>
        </w:rPr>
        <w:t>第二部分 2024年度单位决算情况说明</w:t>
      </w:r>
      <w:r>
        <w:rPr>
          <w:rFonts w:cs="Arial"/>
          <w:sz w:val="24"/>
        </w:rPr>
        <w:tab/>
      </w:r>
      <w:r>
        <w:rPr>
          <w:rFonts w:cs="Arial" w:hint="eastAsia"/>
          <w:sz w:val="24"/>
        </w:rPr>
        <w:t>5</w:t>
      </w:r>
    </w:p>
    <w:p>
      <w:pPr>
        <w:pStyle w:val="21"/>
        <w:tabs>
          <w:tab w:val="right" w:leader="dot" w:pos="8296"/>
        </w:tabs>
        <w:adjustRightInd w:val="0"/>
        <w:snapToGrid w:val="0"/>
        <w:spacing w:line="440" w:lineRule="exact"/>
        <w:jc w:val="left"/>
        <w:rPr>
          <w:rFonts w:ascii="仿宋" w:eastAsia="仿宋" w:cs="Arial"/>
          <w:sz w:val="24"/>
        </w:rPr>
      </w:pPr>
      <w:r>
        <w:rPr>
          <w:rFonts w:hint="eastAsia"/>
          <w:sz w:val="24"/>
        </w:rPr>
        <w:t>一、收入支出决算总体情况说明</w:t>
      </w:r>
      <w:r>
        <w:rPr>
          <w:rFonts w:cs="Arial"/>
          <w:sz w:val="24"/>
        </w:rPr>
        <w:tab/>
      </w:r>
      <w:r>
        <w:rPr>
          <w:rFonts w:cs="Arial" w:hint="eastAsia"/>
          <w:sz w:val="24"/>
        </w:rPr>
        <w:t>5</w:t>
      </w:r>
    </w:p>
    <w:p>
      <w:pPr>
        <w:pStyle w:val="21"/>
        <w:tabs>
          <w:tab w:val="right" w:leader="dot" w:pos="8296"/>
        </w:tabs>
        <w:adjustRightInd w:val="0"/>
        <w:snapToGrid w:val="0"/>
        <w:spacing w:line="440" w:lineRule="exact"/>
        <w:jc w:val="left"/>
        <w:rPr>
          <w:rFonts w:ascii="仿宋" w:eastAsia="仿宋" w:cs="Arial"/>
          <w:sz w:val="24"/>
        </w:rPr>
      </w:pPr>
      <w:r>
        <w:rPr>
          <w:rFonts w:hint="eastAsia"/>
          <w:sz w:val="24"/>
        </w:rPr>
        <w:t>二、收入决算情况说明</w:t>
      </w:r>
      <w:r>
        <w:rPr>
          <w:rFonts w:cs="Arial"/>
          <w:sz w:val="24"/>
        </w:rPr>
        <w:tab/>
      </w:r>
      <w:r>
        <w:rPr>
          <w:rFonts w:cs="Arial" w:hint="eastAsia"/>
          <w:sz w:val="24"/>
        </w:rPr>
        <w:t>5</w:t>
      </w:r>
    </w:p>
    <w:p>
      <w:pPr>
        <w:pStyle w:val="21"/>
        <w:tabs>
          <w:tab w:val="right" w:leader="dot" w:pos="8296"/>
        </w:tabs>
        <w:adjustRightInd w:val="0"/>
        <w:snapToGrid w:val="0"/>
        <w:spacing w:line="440" w:lineRule="exact"/>
        <w:jc w:val="left"/>
        <w:rPr>
          <w:rFonts w:ascii="仿宋" w:eastAsia="仿宋" w:cs="Arial"/>
          <w:sz w:val="24"/>
        </w:rPr>
      </w:pPr>
      <w:r>
        <w:rPr>
          <w:rFonts w:hint="eastAsia"/>
          <w:sz w:val="24"/>
        </w:rPr>
        <w:t>三、支出决算情况说明</w:t>
      </w:r>
      <w:r>
        <w:rPr>
          <w:rFonts w:cs="Arial"/>
          <w:sz w:val="24"/>
        </w:rPr>
        <w:tab/>
      </w:r>
      <w:r>
        <w:rPr>
          <w:rFonts w:cs="Arial" w:hint="eastAsia"/>
          <w:sz w:val="24"/>
        </w:rPr>
        <w:t>6</w:t>
      </w:r>
    </w:p>
    <w:p>
      <w:pPr>
        <w:pStyle w:val="21"/>
        <w:tabs>
          <w:tab w:val="right" w:leader="dot" w:pos="8296"/>
        </w:tabs>
        <w:adjustRightInd w:val="0"/>
        <w:snapToGrid w:val="0"/>
        <w:spacing w:line="440" w:lineRule="exact"/>
        <w:jc w:val="left"/>
        <w:rPr>
          <w:rFonts w:ascii="仿宋" w:eastAsia="仿宋" w:cs="Arial"/>
          <w:sz w:val="24"/>
        </w:rPr>
      </w:pPr>
      <w:r>
        <w:rPr>
          <w:rFonts w:hint="eastAsia"/>
          <w:sz w:val="24"/>
        </w:rPr>
        <w:t>四、财政拨款收入支出决算总体情况说明</w:t>
      </w:r>
      <w:r>
        <w:rPr>
          <w:rFonts w:cs="Arial"/>
          <w:sz w:val="24"/>
        </w:rPr>
        <w:tab/>
      </w:r>
      <w:r>
        <w:rPr>
          <w:rFonts w:cs="Arial" w:hint="eastAsia"/>
          <w:sz w:val="24"/>
        </w:rPr>
        <w:t>7</w:t>
      </w:r>
    </w:p>
    <w:p>
      <w:pPr>
        <w:pStyle w:val="21"/>
        <w:tabs>
          <w:tab w:val="right" w:leader="dot" w:pos="8296"/>
        </w:tabs>
        <w:adjustRightInd w:val="0"/>
        <w:snapToGrid w:val="0"/>
        <w:spacing w:line="440" w:lineRule="exact"/>
        <w:jc w:val="left"/>
        <w:rPr>
          <w:rFonts w:ascii="仿宋" w:eastAsia="仿宋" w:cs="Arial"/>
          <w:sz w:val="24"/>
        </w:rPr>
      </w:pPr>
      <w:r>
        <w:rPr>
          <w:rFonts w:hint="eastAsia"/>
          <w:sz w:val="24"/>
        </w:rPr>
        <w:t>五、一般公共预算财政拨款支出决算情况说明</w:t>
      </w:r>
      <w:r>
        <w:rPr>
          <w:rFonts w:cs="Arial"/>
          <w:sz w:val="24"/>
        </w:rPr>
        <w:tab/>
      </w:r>
      <w:r>
        <w:rPr>
          <w:rFonts w:cs="Arial" w:hint="eastAsia"/>
          <w:sz w:val="24"/>
        </w:rPr>
        <w:t>7</w:t>
      </w:r>
    </w:p>
    <w:p>
      <w:pPr>
        <w:pStyle w:val="21"/>
        <w:tabs>
          <w:tab w:val="right" w:leader="dot" w:pos="8296"/>
        </w:tabs>
        <w:adjustRightInd w:val="0"/>
        <w:snapToGrid w:val="0"/>
        <w:spacing w:line="440" w:lineRule="exact"/>
        <w:jc w:val="left"/>
        <w:rPr>
          <w:rFonts w:ascii="仿宋" w:eastAsia="仿宋" w:cs="Arial"/>
          <w:sz w:val="24"/>
        </w:rPr>
      </w:pPr>
      <w:r>
        <w:rPr>
          <w:rFonts w:hint="eastAsia"/>
          <w:sz w:val="24"/>
        </w:rPr>
        <w:t>六、一般公共预算财政拨款基本支出决算情况说明</w:t>
      </w:r>
      <w:r>
        <w:rPr>
          <w:rFonts w:cs="Arial"/>
          <w:sz w:val="24"/>
        </w:rPr>
        <w:tab/>
      </w:r>
      <w:r>
        <w:rPr>
          <w:rFonts w:cs="Arial" w:hint="eastAsia"/>
          <w:sz w:val="24"/>
        </w:rPr>
        <w:t>10</w:t>
      </w:r>
    </w:p>
    <w:p>
      <w:pPr>
        <w:pStyle w:val="21"/>
        <w:tabs>
          <w:tab w:val="right" w:leader="dot" w:pos="8296"/>
        </w:tabs>
        <w:adjustRightInd w:val="0"/>
        <w:snapToGrid w:val="0"/>
        <w:spacing w:line="440" w:lineRule="exact"/>
        <w:jc w:val="left"/>
        <w:rPr>
          <w:rFonts w:ascii="仿宋" w:eastAsia="仿宋" w:cs="Arial"/>
          <w:sz w:val="24"/>
        </w:rPr>
      </w:pPr>
      <w:r>
        <w:rPr>
          <w:rFonts w:hint="eastAsia"/>
          <w:sz w:val="24"/>
        </w:rPr>
        <w:t>七、财政拨款“三公”经费支出决算情况说明</w:t>
      </w:r>
      <w:r>
        <w:rPr>
          <w:rFonts w:cs="Arial"/>
          <w:sz w:val="24"/>
        </w:rPr>
        <w:tab/>
      </w:r>
      <w:r>
        <w:rPr>
          <w:rFonts w:cs="Arial" w:hint="eastAsia"/>
          <w:sz w:val="24"/>
        </w:rPr>
        <w:t>11</w:t>
      </w:r>
    </w:p>
    <w:p>
      <w:pPr>
        <w:pStyle w:val="21"/>
        <w:tabs>
          <w:tab w:val="right" w:leader="dot" w:pos="8296"/>
        </w:tabs>
        <w:adjustRightInd w:val="0"/>
        <w:snapToGrid w:val="0"/>
        <w:spacing w:line="440" w:lineRule="exact"/>
        <w:jc w:val="left"/>
        <w:rPr>
          <w:rFonts w:ascii="仿宋" w:eastAsia="仿宋" w:cs="Arial"/>
          <w:sz w:val="24"/>
        </w:rPr>
      </w:pPr>
      <w:r>
        <w:rPr>
          <w:rFonts w:hint="eastAsia"/>
          <w:sz w:val="24"/>
        </w:rPr>
        <w:t>八、政府性基金预算支出决算情况说明</w:t>
      </w:r>
      <w:r>
        <w:rPr>
          <w:rFonts w:cs="Arial"/>
          <w:sz w:val="24"/>
        </w:rPr>
        <w:tab/>
      </w:r>
      <w:r>
        <w:rPr>
          <w:rFonts w:cs="Arial" w:hint="eastAsia"/>
          <w:sz w:val="24"/>
        </w:rPr>
        <w:t>12</w:t>
      </w:r>
    </w:p>
    <w:p>
      <w:pPr>
        <w:pStyle w:val="21"/>
        <w:tabs>
          <w:tab w:val="right" w:leader="dot" w:pos="8296"/>
        </w:tabs>
        <w:adjustRightInd w:val="0"/>
        <w:snapToGrid w:val="0"/>
        <w:spacing w:line="440" w:lineRule="exact"/>
        <w:jc w:val="left"/>
        <w:rPr>
          <w:sz w:val="24"/>
        </w:rPr>
      </w:pPr>
      <w:r>
        <w:rPr>
          <w:rFonts w:hint="eastAsia"/>
          <w:sz w:val="24"/>
        </w:rPr>
        <w:t>九、国有资本经营预算支出决算情况说明</w:t>
      </w:r>
      <w:r>
        <w:rPr>
          <w:rFonts w:cs="Arial"/>
          <w:sz w:val="24"/>
        </w:rPr>
        <w:tab/>
      </w:r>
      <w:r>
        <w:rPr>
          <w:rFonts w:cs="Arial" w:hint="eastAsia"/>
          <w:sz w:val="24"/>
        </w:rPr>
        <w:t>12</w:t>
      </w:r>
    </w:p>
    <w:p>
      <w:pPr>
        <w:pStyle w:val="21"/>
        <w:tabs>
          <w:tab w:val="right" w:leader="dot" w:pos="8296"/>
        </w:tabs>
        <w:adjustRightInd w:val="0"/>
        <w:snapToGrid w:val="0"/>
        <w:spacing w:line="440" w:lineRule="exact"/>
        <w:jc w:val="left"/>
        <w:rPr>
          <w:sz w:val="24"/>
        </w:rPr>
      </w:pPr>
      <w:r>
        <w:rPr>
          <w:rFonts w:hint="eastAsia"/>
          <w:sz w:val="24"/>
        </w:rPr>
        <w:t>十、其他重要事项的情况说明</w:t>
      </w:r>
      <w:r>
        <w:rPr>
          <w:rFonts w:cs="Arial"/>
          <w:sz w:val="24"/>
        </w:rPr>
        <w:tab/>
      </w:r>
      <w:r>
        <w:rPr>
          <w:rFonts w:cs="Arial" w:hint="eastAsia"/>
          <w:sz w:val="24"/>
        </w:rPr>
        <w:t>12</w:t>
      </w:r>
    </w:p>
    <w:p>
      <w:pPr>
        <w:pStyle w:val="20"/>
        <w:tabs>
          <w:tab w:val="right" w:leader="dot" w:pos="8296"/>
        </w:tabs>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r>
        <w:rPr>
          <w:rFonts w:cs="Arial"/>
          <w:sz w:val="24"/>
        </w:rPr>
        <w:tab/>
      </w:r>
      <w:r>
        <w:rPr>
          <w:rFonts w:cs="Arial" w:hint="eastAsia"/>
          <w:sz w:val="24"/>
        </w:rPr>
        <w:t>14</w:t>
      </w:r>
    </w:p>
    <w:p>
      <w:pPr>
        <w:pStyle w:val="20"/>
        <w:tabs>
          <w:tab w:val="right" w:leader="dot" w:pos="8296"/>
        </w:tabs>
        <w:adjustRightInd w:val="0"/>
        <w:snapToGrid w:val="0"/>
        <w:spacing w:before="0" w:line="440" w:lineRule="exact"/>
        <w:jc w:val="left"/>
        <w:rPr>
          <w:rFonts w:cs="Arial"/>
          <w:sz w:val="24"/>
          <w:szCs w:val="24"/>
        </w:rPr>
      </w:pPr>
      <w:r>
        <w:rPr>
          <w:rFonts w:hint="eastAsia"/>
          <w:sz w:val="24"/>
        </w:rPr>
        <w:t>第四部分</w:t>
      </w:r>
      <w:r>
        <w:rPr>
          <w:sz w:val="24"/>
        </w:rPr>
        <w:t xml:space="preserve"> </w:t>
      </w:r>
      <w:r>
        <w:rPr>
          <w:rFonts w:hint="eastAsia"/>
          <w:sz w:val="24"/>
        </w:rPr>
        <w:t>附件</w:t>
      </w:r>
      <w:r>
        <w:rPr>
          <w:rFonts w:cs="Arial"/>
          <w:sz w:val="24"/>
        </w:rPr>
        <w:tab/>
      </w:r>
      <w:r>
        <w:rPr>
          <w:rFonts w:cs="Arial" w:hint="eastAsia"/>
          <w:sz w:val="24"/>
        </w:rPr>
        <w:t>19</w:t>
      </w:r>
    </w:p>
    <w:p>
      <w:pPr>
        <w:pStyle w:val="20"/>
        <w:tabs>
          <w:tab w:val="right" w:leader="dot" w:pos="8296"/>
        </w:tabs>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r>
        <w:rPr>
          <w:rFonts w:cs="Arial"/>
          <w:sz w:val="24"/>
        </w:rPr>
        <w:tab/>
      </w:r>
      <w:r>
        <w:rPr>
          <w:rFonts w:cs="Arial" w:hint="eastAsia"/>
          <w:sz w:val="24"/>
        </w:rPr>
        <w:t>20</w:t>
      </w:r>
    </w:p>
    <w:p>
      <w:pPr>
        <w:pStyle w:val="21"/>
        <w:tabs>
          <w:tab w:val="right" w:leader="dot" w:pos="8296"/>
        </w:tabs>
        <w:adjustRightInd w:val="0"/>
        <w:snapToGrid w:val="0"/>
        <w:spacing w:line="440" w:lineRule="exact"/>
        <w:jc w:val="left"/>
        <w:rPr>
          <w:sz w:val="24"/>
        </w:rPr>
      </w:pPr>
      <w:r>
        <w:rPr>
          <w:rFonts w:hint="eastAsia"/>
          <w:sz w:val="24"/>
        </w:rPr>
        <w:t>一、收入支出决算总表</w:t>
      </w:r>
      <w:r>
        <w:rPr>
          <w:rFonts w:cs="Arial"/>
          <w:sz w:val="24"/>
        </w:rPr>
        <w:tab/>
      </w:r>
      <w:r>
        <w:rPr>
          <w:rFonts w:cs="Arial" w:hint="eastAsia"/>
          <w:sz w:val="24"/>
        </w:rPr>
        <w:t>21</w:t>
      </w:r>
    </w:p>
    <w:p>
      <w:pPr>
        <w:pStyle w:val="21"/>
        <w:tabs>
          <w:tab w:val="right" w:leader="dot" w:pos="8296"/>
        </w:tabs>
        <w:adjustRightInd w:val="0"/>
        <w:snapToGrid w:val="0"/>
        <w:spacing w:line="440" w:lineRule="exact"/>
        <w:jc w:val="left"/>
        <w:rPr>
          <w:sz w:val="24"/>
        </w:rPr>
      </w:pPr>
      <w:r>
        <w:rPr>
          <w:rFonts w:hint="eastAsia"/>
          <w:sz w:val="24"/>
        </w:rPr>
        <w:t>二、收入决算表</w:t>
      </w:r>
      <w:r>
        <w:rPr>
          <w:rFonts w:cs="Arial"/>
          <w:sz w:val="24"/>
        </w:rPr>
        <w:tab/>
      </w:r>
      <w:r>
        <w:rPr>
          <w:rFonts w:cs="Arial" w:hint="eastAsia"/>
          <w:sz w:val="24"/>
        </w:rPr>
        <w:t>21</w:t>
      </w:r>
    </w:p>
    <w:p>
      <w:pPr>
        <w:pStyle w:val="21"/>
        <w:tabs>
          <w:tab w:val="right" w:leader="dot" w:pos="8296"/>
        </w:tabs>
        <w:adjustRightInd w:val="0"/>
        <w:snapToGrid w:val="0"/>
        <w:spacing w:line="440" w:lineRule="exact"/>
        <w:jc w:val="left"/>
        <w:rPr>
          <w:sz w:val="24"/>
        </w:rPr>
      </w:pPr>
      <w:r>
        <w:rPr>
          <w:rFonts w:hint="eastAsia"/>
          <w:sz w:val="24"/>
        </w:rPr>
        <w:t>三、支出决算表</w:t>
      </w:r>
      <w:r>
        <w:rPr>
          <w:rFonts w:cs="Arial"/>
          <w:sz w:val="24"/>
        </w:rPr>
        <w:tab/>
      </w:r>
      <w:r>
        <w:rPr>
          <w:rFonts w:cs="Arial" w:hint="eastAsia"/>
          <w:sz w:val="24"/>
        </w:rPr>
        <w:t>21</w:t>
      </w:r>
    </w:p>
    <w:p>
      <w:pPr>
        <w:pStyle w:val="21"/>
        <w:tabs>
          <w:tab w:val="right" w:leader="dot" w:pos="8296"/>
        </w:tabs>
        <w:adjustRightInd w:val="0"/>
        <w:snapToGrid w:val="0"/>
        <w:spacing w:line="440" w:lineRule="exact"/>
        <w:jc w:val="left"/>
        <w:rPr>
          <w:sz w:val="24"/>
        </w:rPr>
      </w:pPr>
      <w:r>
        <w:rPr>
          <w:rFonts w:hint="eastAsia"/>
          <w:sz w:val="24"/>
        </w:rPr>
        <w:t>四、财政拨款收入支出决算总表</w:t>
      </w:r>
      <w:r>
        <w:rPr>
          <w:rFonts w:cs="Arial"/>
          <w:sz w:val="24"/>
        </w:rPr>
        <w:tab/>
      </w:r>
      <w:r>
        <w:rPr>
          <w:rFonts w:cs="Arial" w:hint="eastAsia"/>
          <w:sz w:val="24"/>
        </w:rPr>
        <w:t>21</w:t>
      </w:r>
    </w:p>
    <w:p>
      <w:pPr>
        <w:pStyle w:val="21"/>
        <w:tabs>
          <w:tab w:val="right" w:leader="dot" w:pos="8296"/>
        </w:tabs>
        <w:adjustRightInd w:val="0"/>
        <w:snapToGrid w:val="0"/>
        <w:spacing w:line="440" w:lineRule="exact"/>
        <w:jc w:val="left"/>
        <w:rPr>
          <w:sz w:val="24"/>
        </w:rPr>
      </w:pPr>
      <w:r>
        <w:rPr>
          <w:rFonts w:hint="eastAsia"/>
          <w:sz w:val="24"/>
        </w:rPr>
        <w:t>五、财政拨款支出决算明细表</w:t>
      </w:r>
      <w:r>
        <w:rPr>
          <w:rFonts w:cs="Arial"/>
          <w:sz w:val="24"/>
        </w:rPr>
        <w:tab/>
      </w:r>
      <w:r>
        <w:rPr>
          <w:rFonts w:cs="Arial" w:hint="eastAsia"/>
          <w:sz w:val="24"/>
        </w:rPr>
        <w:t>21</w:t>
      </w:r>
    </w:p>
    <w:p>
      <w:pPr>
        <w:pStyle w:val="21"/>
        <w:tabs>
          <w:tab w:val="right" w:leader="dot" w:pos="8296"/>
        </w:tabs>
        <w:adjustRightInd w:val="0"/>
        <w:snapToGrid w:val="0"/>
        <w:spacing w:line="440" w:lineRule="exact"/>
        <w:jc w:val="left"/>
        <w:rPr>
          <w:sz w:val="24"/>
        </w:rPr>
      </w:pPr>
      <w:r>
        <w:rPr>
          <w:rFonts w:hint="eastAsia"/>
          <w:sz w:val="24"/>
        </w:rPr>
        <w:t>六、一般公共预算财政拨款支出决算表</w:t>
      </w:r>
      <w:r>
        <w:rPr>
          <w:rFonts w:cs="Arial"/>
          <w:sz w:val="24"/>
        </w:rPr>
        <w:tab/>
      </w:r>
      <w:r>
        <w:rPr>
          <w:rFonts w:cs="Arial" w:hint="eastAsia"/>
          <w:sz w:val="24"/>
        </w:rPr>
        <w:t>21</w:t>
      </w:r>
    </w:p>
    <w:p>
      <w:pPr>
        <w:pStyle w:val="21"/>
        <w:tabs>
          <w:tab w:val="right" w:leader="dot" w:pos="8296"/>
        </w:tabs>
        <w:adjustRightInd w:val="0"/>
        <w:snapToGrid w:val="0"/>
        <w:spacing w:line="440" w:lineRule="exact"/>
        <w:jc w:val="left"/>
        <w:rPr>
          <w:sz w:val="24"/>
        </w:rPr>
      </w:pPr>
      <w:r>
        <w:rPr>
          <w:rFonts w:hint="eastAsia"/>
          <w:sz w:val="24"/>
        </w:rPr>
        <w:t>七、一般公共预算财政拨款支出决算明细表</w:t>
      </w:r>
      <w:r>
        <w:rPr>
          <w:rFonts w:cs="Arial"/>
          <w:sz w:val="24"/>
        </w:rPr>
        <w:tab/>
      </w:r>
      <w:r>
        <w:rPr>
          <w:rFonts w:hint="eastAsia"/>
          <w:sz w:val="24"/>
        </w:rPr>
        <w:t>21</w:t>
      </w:r>
    </w:p>
    <w:p>
      <w:pPr>
        <w:pStyle w:val="21"/>
        <w:tabs>
          <w:tab w:val="right" w:leader="dot" w:pos="8296"/>
        </w:tabs>
        <w:adjustRightInd w:val="0"/>
        <w:snapToGrid w:val="0"/>
        <w:spacing w:line="440" w:lineRule="exact"/>
        <w:jc w:val="left"/>
        <w:rPr>
          <w:sz w:val="24"/>
        </w:rPr>
      </w:pPr>
      <w:r>
        <w:rPr>
          <w:rFonts w:hint="eastAsia"/>
          <w:sz w:val="24"/>
        </w:rPr>
        <w:t>九、一般公共预算财政拨款项目支出决算表</w:t>
      </w:r>
      <w:r>
        <w:rPr>
          <w:rFonts w:cs="Arial"/>
          <w:sz w:val="24"/>
        </w:rPr>
        <w:tab/>
      </w:r>
      <w:r>
        <w:rPr>
          <w:rFonts w:cs="Arial" w:hint="eastAsia"/>
          <w:sz w:val="24"/>
        </w:rPr>
        <w:t>21</w:t>
      </w:r>
    </w:p>
    <w:p>
      <w:pPr>
        <w:pStyle w:val="21"/>
        <w:tabs>
          <w:tab w:val="right" w:leader="dot" w:pos="8296"/>
        </w:tabs>
        <w:adjustRightInd w:val="0"/>
        <w:snapToGrid w:val="0"/>
        <w:spacing w:line="440" w:lineRule="exact"/>
        <w:jc w:val="left"/>
        <w:rPr>
          <w:sz w:val="24"/>
        </w:rPr>
      </w:pPr>
      <w:r>
        <w:rPr>
          <w:rFonts w:hint="eastAsia"/>
          <w:sz w:val="24"/>
        </w:rPr>
        <w:t>十、政府性基金预算财政拨款收入支出决算表</w:t>
      </w:r>
      <w:r>
        <w:rPr>
          <w:rFonts w:cs="Arial"/>
          <w:sz w:val="24"/>
        </w:rPr>
        <w:tab/>
      </w:r>
      <w:r>
        <w:rPr>
          <w:rFonts w:cs="Arial" w:hint="eastAsia"/>
          <w:sz w:val="24"/>
        </w:rPr>
        <w:t>21</w:t>
      </w:r>
    </w:p>
    <w:p>
      <w:pPr>
        <w:pStyle w:val="21"/>
        <w:tabs>
          <w:tab w:val="right" w:leader="dot" w:pos="8296"/>
        </w:tabs>
        <w:adjustRightInd w:val="0"/>
        <w:snapToGrid w:val="0"/>
        <w:spacing w:line="440" w:lineRule="exact"/>
        <w:jc w:val="left"/>
        <w:rPr>
          <w:sz w:val="24"/>
        </w:rPr>
      </w:pPr>
      <w:r>
        <w:rPr>
          <w:rFonts w:hint="eastAsia"/>
          <w:sz w:val="24"/>
        </w:rPr>
        <w:t>十一、国有资本经营预算财政拨款收入支出决算表</w:t>
      </w:r>
      <w:r>
        <w:rPr>
          <w:rFonts w:cs="Arial"/>
          <w:sz w:val="24"/>
        </w:rPr>
        <w:tab/>
      </w:r>
      <w:r>
        <w:rPr>
          <w:rFonts w:cs="Arial" w:hint="eastAsia"/>
          <w:sz w:val="24"/>
        </w:rPr>
        <w:t>21</w:t>
      </w:r>
    </w:p>
    <w:p>
      <w:pPr>
        <w:pStyle w:val="21"/>
        <w:tabs>
          <w:tab w:val="right" w:leader="dot" w:pos="8296"/>
        </w:tabs>
        <w:adjustRightInd w:val="0"/>
        <w:snapToGrid w:val="0"/>
        <w:spacing w:line="440" w:lineRule="exact"/>
        <w:jc w:val="left"/>
        <w:rPr>
          <w:sz w:val="24"/>
        </w:rPr>
      </w:pPr>
      <w:r>
        <w:rPr>
          <w:rFonts w:hint="eastAsia"/>
          <w:sz w:val="24"/>
        </w:rPr>
        <w:t>十二、国有资本经营预算财政拨款支出决算表</w:t>
      </w:r>
      <w:r>
        <w:rPr>
          <w:rFonts w:cs="Arial"/>
          <w:sz w:val="24"/>
        </w:rPr>
        <w:tab/>
      </w:r>
      <w:r>
        <w:rPr>
          <w:rFonts w:cs="Arial" w:hint="eastAsia"/>
          <w:sz w:val="24"/>
        </w:rPr>
        <w:t>21</w:t>
      </w:r>
    </w:p>
    <w:p>
      <w:pPr>
        <w:pStyle w:val="21"/>
        <w:tabs>
          <w:tab w:val="right" w:leader="dot" w:pos="8296"/>
        </w:tabs>
        <w:adjustRightInd w:val="0"/>
        <w:snapToGrid w:val="0"/>
        <w:spacing w:line="440" w:lineRule="exact"/>
        <w:jc w:val="left"/>
        <w:rPr>
          <w:sz w:val="24"/>
        </w:rPr>
      </w:pPr>
      <w:r>
        <w:rPr>
          <w:rFonts w:hint="eastAsia"/>
          <w:sz w:val="24"/>
        </w:rPr>
        <w:t>十三、财政拨款“三公”经费支出决算表</w:t>
      </w:r>
      <w:r>
        <w:rPr>
          <w:rFonts w:cs="Arial"/>
          <w:sz w:val="24"/>
        </w:rPr>
        <w:tab/>
      </w:r>
      <w:r>
        <w:rPr>
          <w:rFonts w:cs="Arial" w:hint="eastAsia"/>
          <w:sz w:val="24"/>
        </w:rPr>
        <w:t>21</w:t>
      </w:r>
    </w:p>
    <w:p>
      <w:pPr>
        <w:widowControl/>
        <w:spacing w:line="440" w:lineRule="exact"/>
        <w:jc w:val="left"/>
        <w:rPr>
          <w:rFonts w:ascii="仿宋" w:eastAsia="仿宋"/>
          <w:bCs/>
          <w:kern w:val="44"/>
          <w:sz w:val="24"/>
        </w:rPr>
      </w:pPr>
      <w:bookmarkStart w:id="13" w:name="_Toc15396599"/>
      <w:bookmarkStart w:id="14" w:name="_Toc15377196"/>
      <w:r>
        <w:rPr>
          <w:rFonts w:ascii="仿宋" w:eastAsia="仿宋"/>
          <w:b/>
          <w:sz w:val="24"/>
        </w:rPr>
        <w:br w:type="page"/>
      </w:r>
    </w:p>
    <w:p>
      <w:pPr>
        <w:pStyle w:val="1"/>
        <w:jc w:val="center"/>
        <w:rPr>
          <w:rStyle w:val="1Char"/>
          <w:rFonts w:ascii="黑体" w:eastAsia="黑体"/>
          <w:b/>
        </w:rPr>
      </w:pPr>
      <w:r>
        <w:rPr>
          <w:rFonts w:ascii="黑体" w:eastAsia="黑体" w:hint="eastAsia"/>
          <w:b w:val="0"/>
        </w:rPr>
        <w:t>第一部分 单位</w:t>
      </w:r>
      <w:r>
        <w:rPr>
          <w:rStyle w:val="1Char"/>
          <w:rFonts w:ascii="黑体" w:eastAsia="黑体" w:hint="eastAsia"/>
        </w:rPr>
        <w:t>概况</w:t>
      </w:r>
      <w:bookmarkEnd w:id="13"/>
      <w:bookmarkEnd w:id="14"/>
    </w:p>
    <w:p>
      <w:pPr>
        <w:widowControl/>
        <w:jc w:val="left"/>
        <w:rPr>
          <w:rFonts w:ascii="黑体" w:eastAsia="黑体"/>
          <w:sz w:val="32"/>
          <w:szCs w:val="32"/>
        </w:rPr>
      </w:pPr>
    </w:p>
    <w:p>
      <w:pPr>
        <w:pStyle w:val="2"/>
        <w:spacing w:line="600" w:lineRule="exact"/>
        <w:ind w:firstLineChars="200" w:firstLine="640"/>
        <w:rPr>
          <w:rStyle w:val="2Char"/>
          <w:rFonts w:ascii="黑体" w:eastAsia="黑体"/>
        </w:rPr>
      </w:pPr>
      <w:bookmarkStart w:id="15" w:name="_Toc3962"/>
      <w:bookmarkStart w:id="16" w:name="_Toc15396600"/>
      <w:bookmarkStart w:id="17" w:name="_Toc15377197"/>
      <w:r>
        <w:rPr>
          <w:rStyle w:val="2Char"/>
          <w:rFonts w:ascii="黑体" w:eastAsia="黑体" w:hint="eastAsia"/>
          <w:b/>
          <w:bCs/>
        </w:rPr>
        <w:t>一、部门职责</w:t>
      </w:r>
      <w:bookmarkEnd w:id="15"/>
    </w:p>
    <w:p>
      <w:pPr>
        <w:pStyle w:val="31"/>
        <w:ind w:firstLineChars="161" w:firstLine="515"/>
        <w:rPr>
          <w:rFonts w:ascii="仿宋" w:eastAsia="仿宋"/>
          <w:bCs/>
          <w:color w:val="000000"/>
        </w:rPr>
      </w:pPr>
      <w:r>
        <w:rPr>
          <w:rFonts w:ascii="仿宋" w:eastAsia="仿宋" w:hint="eastAsia"/>
          <w:bCs/>
          <w:color w:val="000000"/>
        </w:rPr>
        <w:t>攀枝花市第四人民医院是市政府举办的传染病专科医院，攀枝花市 “突发公共卫生事件救治基地”，全市艾滋病、性病、非典、甲流感、禽流感、手足口病等定点收治医院，是国家和省中医药防治传染病临床基地建设单位，是我市公共卫生体系的重要组成部分。</w:t>
      </w:r>
    </w:p>
    <w:p>
      <w:pPr>
        <w:pStyle w:val="2"/>
        <w:ind w:leftChars="270" w:left="567"/>
        <w:rPr>
          <w:rFonts w:ascii="黑体" w:eastAsia="黑体"/>
          <w:b w:val="0"/>
        </w:rPr>
      </w:pPr>
      <w:r>
        <w:rPr>
          <w:rFonts w:ascii="黑体" w:eastAsia="黑体" w:hint="eastAsia"/>
          <w:b w:val="0"/>
        </w:rPr>
        <w:t>二、机构设置</w:t>
      </w:r>
    </w:p>
    <w:p>
      <w:pPr>
        <w:ind w:firstLineChars="250" w:firstLine="800"/>
        <w:rPr>
          <w:rFonts w:ascii="仿宋" w:eastAsia="仿宋"/>
          <w:sz w:val="32"/>
          <w:szCs w:val="32"/>
        </w:rPr>
      </w:pPr>
      <w:bookmarkEnd w:id="16"/>
      <w:bookmarkEnd w:id="17"/>
      <w:r>
        <w:rPr>
          <w:rFonts w:ascii="仿宋" w:eastAsia="仿宋" w:hint="eastAsia"/>
          <w:sz w:val="32"/>
          <w:szCs w:val="32"/>
        </w:rPr>
        <w:t>攀枝花市第四人民医院是事业单位，无下属二级预算单位。</w:t>
      </w:r>
      <w:r>
        <w:rPr>
          <w:rFonts w:ascii="仿宋" w:eastAsia="仿宋"/>
          <w:sz w:val="32"/>
          <w:szCs w:val="32"/>
        </w:rPr>
        <w:t xml:space="preserve"> </w:t>
      </w:r>
    </w:p>
    <w:p>
      <w:pPr>
        <w:widowControl/>
        <w:jc w:val="left"/>
        <w:rPr>
          <w:rFonts w:ascii="仿宋" w:eastAsia="仿宋"/>
          <w:kern w:val="0"/>
          <w:sz w:val="32"/>
          <w:szCs w:val="32"/>
        </w:rPr>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
        <w:ind w:right="440"/>
        <w:jc w:val="center"/>
        <w:rPr>
          <w:rStyle w:val="1Char"/>
          <w:rFonts w:ascii="黑体" w:eastAsia="黑体"/>
          <w:bCs/>
        </w:rPr>
      </w:pPr>
      <w:bookmarkStart w:id="18" w:name="_Toc15377204"/>
      <w:bookmarkStart w:id="19" w:name="_Toc15396602"/>
      <w:r>
        <w:rPr>
          <w:rFonts w:ascii="黑体" w:eastAsia="黑体" w:hint="eastAsia"/>
          <w:b w:val="0"/>
        </w:rPr>
        <w:t>第二部分 2024年度</w:t>
      </w:r>
      <w:r>
        <w:rPr>
          <w:rStyle w:val="1Char"/>
          <w:rFonts w:ascii="黑体" w:eastAsia="黑体" w:hint="eastAsia"/>
          <w:bCs/>
        </w:rPr>
        <w:t>单位决算情况说明</w:t>
      </w:r>
      <w:bookmarkEnd w:id="18"/>
      <w:bookmarkEnd w:id="19"/>
    </w:p>
    <w:p/>
    <w:p>
      <w:pPr>
        <w:pStyle w:val="28"/>
        <w:numPr>
          <w:ilvl w:val="0"/>
          <w:numId w:val="1"/>
        </w:numPr>
        <w:spacing w:line="600" w:lineRule="exact"/>
        <w:ind w:firstLineChars="0"/>
        <w:outlineLvl w:val="1"/>
        <w:rPr>
          <w:rStyle w:val="2Char"/>
          <w:rFonts w:ascii="黑体" w:eastAsia="黑体"/>
          <w:b w:val="0"/>
        </w:rPr>
      </w:pPr>
      <w:bookmarkStart w:id="20" w:name="_Toc15377205"/>
      <w:bookmarkStart w:id="21" w:name="_Toc15396603"/>
      <w:r>
        <w:rPr>
          <w:rFonts w:ascii="黑体" w:eastAsia="黑体" w:hint="eastAsia"/>
          <w:sz w:val="32"/>
          <w:szCs w:val="32"/>
        </w:rPr>
        <w:t>收</w:t>
      </w:r>
      <w:r>
        <w:rPr>
          <w:rStyle w:val="2Char"/>
          <w:rFonts w:ascii="黑体" w:eastAsia="黑体" w:hint="eastAsia"/>
          <w:b w:val="0"/>
        </w:rPr>
        <w:t>入支出决算总体情况说明</w:t>
      </w:r>
      <w:bookmarkEnd w:id="20"/>
      <w:bookmarkEnd w:id="21"/>
    </w:p>
    <w:p>
      <w:pPr>
        <w:spacing w:line="600" w:lineRule="exact"/>
        <w:ind w:firstLineChars="200" w:firstLine="640"/>
        <w:rPr>
          <w:rFonts w:ascii="仿宋" w:eastAsia="仿宋"/>
          <w:sz w:val="32"/>
          <w:szCs w:val="32"/>
        </w:rPr>
      </w:pPr>
      <w:r>
        <w:rPr>
          <w:rFonts w:ascii="仿宋" w:eastAsia="仿宋" w:hint="eastAsia"/>
          <w:sz w:val="32"/>
          <w:szCs w:val="32"/>
        </w:rPr>
        <w:t>2024年度收、支总计5115.89万元。与2023年相比，</w:t>
      </w:r>
    </w:p>
    <w:p>
      <w:pPr>
        <w:spacing w:line="600" w:lineRule="exact"/>
        <w:rPr>
          <w:rFonts w:ascii="仿宋" w:eastAsia="仿宋"/>
          <w:sz w:val="32"/>
          <w:szCs w:val="32"/>
        </w:rPr>
      </w:pPr>
      <w:r>
        <w:rPr>
          <w:rFonts w:ascii="仿宋" w:eastAsia="仿宋" w:hint="eastAsia"/>
          <w:sz w:val="32"/>
          <w:szCs w:val="32"/>
        </w:rPr>
        <w:t>收、支总计各减少1305.93万元，下降20.34</w:t>
      </w:r>
      <w:r>
        <w:rPr>
          <w:rFonts w:ascii="仿宋" w:eastAsia="仿宋"/>
          <w:sz w:val="32"/>
          <w:szCs w:val="32"/>
        </w:rPr>
        <w:t>%</w:t>
      </w:r>
      <w:r>
        <w:rPr>
          <w:rFonts w:ascii="仿宋" w:eastAsia="仿宋" w:hint="eastAsia"/>
          <w:sz w:val="32"/>
          <w:szCs w:val="32"/>
        </w:rPr>
        <w:t>。主要变动原因是2024年财政拨款收入的减少。</w:t>
      </w:r>
    </w:p>
    <w:p>
      <w:pPr>
        <w:pStyle w:val="15"/>
        <w:spacing w:beforeLines="0" w:before="93"/>
      </w:pPr>
    </w:p>
    <w:p>
      <w:pPr>
        <w:spacing w:line="600" w:lineRule="exact"/>
        <w:ind w:firstLineChars="200" w:firstLine="640"/>
        <w:rPr>
          <w:rFonts w:ascii="仿宋" w:eastAsia="仿宋"/>
          <w:sz w:val="32"/>
          <w:szCs w:val="32"/>
        </w:rPr>
      </w:pPr>
    </w:p>
    <w:p>
      <w:pPr>
        <w:spacing w:line="600" w:lineRule="exact"/>
        <w:ind w:firstLineChars="200" w:firstLine="640"/>
        <w:rPr>
          <w:rFonts w:ascii="仿宋" w:eastAsia="仿宋"/>
          <w:sz w:val="32"/>
          <w:szCs w:val="32"/>
        </w:rPr>
      </w:pPr>
    </w:p>
    <w:p>
      <w:pPr>
        <w:spacing w:line="600" w:lineRule="exact"/>
        <w:jc w:val="left"/>
        <w:rPr>
          <w:rFonts w:ascii="仿宋_GB2312" w:eastAsia="仿宋_GB2312"/>
          <w:sz w:val="32"/>
          <w:szCs w:val="32"/>
        </w:rPr>
      </w:pPr>
      <w:r>
        <w:rPr>
          <w:rFonts w:ascii="仿宋_GB2312" w:eastAsia="仿宋_GB2312"/>
          <w:sz w:val="32"/>
          <w:szCs w:val="32"/>
        </w:rPr>
        <w:drawing>
          <wp:anchor distT="0" distB="0" distL="114300" distR="114300" simplePos="0" relativeHeight="19" behindDoc="0" locked="0" layoutInCell="1" hidden="0" allowOverlap="1">
            <wp:simplePos x="0" y="0"/>
            <wp:positionH relativeFrom="column">
              <wp:posOffset>-47625</wp:posOffset>
            </wp:positionH>
            <wp:positionV relativeFrom="paragraph">
              <wp:posOffset>-855978</wp:posOffset>
            </wp:positionV>
            <wp:extent cx="5276850" cy="2495550"/>
            <wp:effectExtent l="0" t="0" r="0" b="0"/>
            <wp:wrapTopAndBottom/>
            <wp:docPr id="1" name="图表 2"/>
            <wp:cNvGraphicFramePr>
              <a:graphicFrameLocks noChangeAspect="0"/>
            </wp:cNvGraphicFramePr>
            <a:graphic>
              <a:graphicData uri="http://schemas.openxmlformats.org/drawingml/2006/chart">
                <c:chart xmlns:c="http://schemas.openxmlformats.org/drawingml/2006/chart" r:id="rId4"/>
              </a:graphicData>
            </a:graphic>
          </wp:anchor>
        </w:drawing>
      </w:r>
    </w:p>
    <w:p>
      <w:pPr>
        <w:pStyle w:val="28"/>
        <w:numPr>
          <w:ilvl w:val="0"/>
          <w:numId w:val="1"/>
        </w:numPr>
        <w:spacing w:line="600" w:lineRule="exact"/>
        <w:ind w:firstLineChars="0"/>
        <w:outlineLvl w:val="1"/>
        <w:rPr>
          <w:rStyle w:val="2Char"/>
          <w:rFonts w:ascii="黑体" w:eastAsia="黑体"/>
          <w:b w:val="0"/>
        </w:rPr>
      </w:pPr>
      <w:bookmarkStart w:id="22" w:name="_Toc15377206"/>
      <w:bookmarkStart w:id="23" w:name="_Toc15396604"/>
      <w:r>
        <w:rPr>
          <w:rFonts w:ascii="黑体" w:eastAsia="黑体" w:hint="eastAsia"/>
          <w:sz w:val="32"/>
          <w:szCs w:val="32"/>
        </w:rPr>
        <w:t>收</w:t>
      </w:r>
      <w:r>
        <w:rPr>
          <w:rStyle w:val="2Char"/>
          <w:rFonts w:ascii="黑体" w:eastAsia="黑体" w:hint="eastAsia"/>
          <w:b w:val="0"/>
        </w:rPr>
        <w:t>入决算情况说明</w:t>
      </w:r>
      <w:bookmarkEnd w:id="22"/>
      <w:bookmarkEnd w:id="23"/>
    </w:p>
    <w:p>
      <w:pPr>
        <w:spacing w:line="600" w:lineRule="exact"/>
        <w:ind w:firstLineChars="200" w:firstLine="640"/>
        <w:outlineLvl w:val="1"/>
        <w:rPr>
          <w:rFonts w:ascii="仿宋" w:eastAsia="仿宋"/>
          <w:sz w:val="32"/>
          <w:szCs w:val="32"/>
        </w:rPr>
      </w:pPr>
      <w:r>
        <w:rPr>
          <w:rFonts w:ascii="仿宋" w:eastAsia="仿宋"/>
          <w:sz w:val="32"/>
          <w:szCs w:val="32"/>
        </w:rPr>
        <w:t>20</w:t>
      </w:r>
      <w:r>
        <w:rPr>
          <w:rFonts w:ascii="仿宋" w:eastAsia="仿宋" w:hint="eastAsia"/>
          <w:sz w:val="32"/>
          <w:szCs w:val="32"/>
        </w:rPr>
        <w:t>24年本年收入合计3891.86万元，其中：一般公共预算财政拨款收入1369.8万元，占35.2</w:t>
      </w:r>
      <w:r>
        <w:rPr>
          <w:rFonts w:ascii="仿宋" w:eastAsia="仿宋"/>
          <w:sz w:val="32"/>
          <w:szCs w:val="32"/>
        </w:rPr>
        <w:t>%</w:t>
      </w:r>
      <w:r>
        <w:rPr>
          <w:rFonts w:ascii="仿宋" w:eastAsia="仿宋" w:hint="eastAsia"/>
          <w:sz w:val="32"/>
          <w:szCs w:val="32"/>
        </w:rPr>
        <w:t>；政府性基金预算财政拨款收入0万元，占0</w:t>
      </w:r>
      <w:r>
        <w:rPr>
          <w:rFonts w:ascii="仿宋" w:eastAsia="仿宋"/>
          <w:sz w:val="32"/>
          <w:szCs w:val="32"/>
        </w:rPr>
        <w:t>%</w:t>
      </w:r>
      <w:r>
        <w:rPr>
          <w:rFonts w:ascii="仿宋" w:eastAsia="仿宋" w:hint="eastAsia"/>
          <w:sz w:val="32"/>
          <w:szCs w:val="32"/>
        </w:rPr>
        <w:t>；国有资本经营预算财政拨款收入0万元，占0</w:t>
      </w:r>
      <w:r>
        <w:rPr>
          <w:rFonts w:ascii="仿宋" w:eastAsia="仿宋"/>
          <w:sz w:val="32"/>
          <w:szCs w:val="32"/>
        </w:rPr>
        <w:t>%</w:t>
      </w:r>
      <w:r>
        <w:rPr>
          <w:rFonts w:ascii="仿宋" w:eastAsia="仿宋" w:hint="eastAsia"/>
          <w:sz w:val="32"/>
          <w:szCs w:val="32"/>
        </w:rPr>
        <w:t>；上级补助收入0万元，占0</w:t>
      </w:r>
      <w:r>
        <w:rPr>
          <w:rFonts w:ascii="仿宋" w:eastAsia="仿宋"/>
          <w:sz w:val="32"/>
          <w:szCs w:val="32"/>
        </w:rPr>
        <w:t>%</w:t>
      </w:r>
      <w:r>
        <w:rPr>
          <w:rFonts w:ascii="仿宋" w:eastAsia="仿宋" w:hint="eastAsia"/>
          <w:sz w:val="32"/>
          <w:szCs w:val="32"/>
        </w:rPr>
        <w:t>；事业收入1885.25万元，占48.44</w:t>
      </w:r>
      <w:r>
        <w:rPr>
          <w:rFonts w:ascii="仿宋" w:eastAsia="仿宋"/>
          <w:sz w:val="32"/>
          <w:szCs w:val="32"/>
        </w:rPr>
        <w:t>%</w:t>
      </w:r>
      <w:r>
        <w:rPr>
          <w:rFonts w:ascii="仿宋" w:eastAsia="仿宋" w:hint="eastAsia"/>
          <w:sz w:val="32"/>
          <w:szCs w:val="32"/>
        </w:rPr>
        <w:t>；经营收入0万元，占0</w:t>
      </w:r>
      <w:r>
        <w:rPr>
          <w:rFonts w:ascii="仿宋" w:eastAsia="仿宋"/>
          <w:sz w:val="32"/>
          <w:szCs w:val="32"/>
        </w:rPr>
        <w:t>%</w:t>
      </w:r>
      <w:r>
        <w:rPr>
          <w:rFonts w:ascii="仿宋" w:eastAsia="仿宋" w:hint="eastAsia"/>
          <w:sz w:val="32"/>
          <w:szCs w:val="32"/>
        </w:rPr>
        <w:t>；附属单位上缴收入0万元，占0</w:t>
      </w:r>
      <w:r>
        <w:rPr>
          <w:rFonts w:ascii="仿宋" w:eastAsia="仿宋"/>
          <w:sz w:val="32"/>
          <w:szCs w:val="32"/>
        </w:rPr>
        <w:t>%</w:t>
      </w:r>
      <w:r>
        <w:rPr>
          <w:rFonts w:ascii="仿宋" w:eastAsia="仿宋" w:hint="eastAsia"/>
          <w:sz w:val="32"/>
          <w:szCs w:val="32"/>
        </w:rPr>
        <w:t>；其他收入636.8万元，占16.36</w:t>
      </w:r>
      <w:r>
        <w:rPr>
          <w:rFonts w:ascii="仿宋" w:eastAsia="仿宋"/>
          <w:sz w:val="32"/>
          <w:szCs w:val="32"/>
        </w:rPr>
        <w:t>%</w:t>
      </w:r>
      <w:r>
        <w:rPr>
          <w:rFonts w:ascii="仿宋" w:eastAsia="仿宋" w:hint="eastAsia"/>
          <w:sz w:val="32"/>
          <w:szCs w:val="32"/>
        </w:rPr>
        <w:t>。</w:t>
      </w:r>
    </w:p>
    <w:p>
      <w:pPr>
        <w:spacing w:line="600" w:lineRule="exact"/>
        <w:rPr>
          <w:rFonts w:ascii="黑体" w:eastAsia="黑体"/>
          <w:bCs/>
          <w:sz w:val="32"/>
          <w:szCs w:val="32"/>
        </w:rPr>
      </w:pPr>
      <w:r>
        <w:rPr>
          <w:rFonts w:ascii="仿宋_GB2312" w:eastAsia="仿宋_GB2312"/>
          <w:color w:val="FF0000"/>
          <w:sz w:val="32"/>
          <w:szCs w:val="32"/>
        </w:rPr>
        <w:drawing>
          <wp:anchor distT="0" distB="0" distL="114300" distR="114300" simplePos="0" relativeHeight="21" behindDoc="0" locked="0" layoutInCell="1" hidden="0" allowOverlap="1">
            <wp:simplePos x="0" y="0"/>
            <wp:positionH relativeFrom="column">
              <wp:posOffset>171450</wp:posOffset>
            </wp:positionH>
            <wp:positionV relativeFrom="paragraph">
              <wp:posOffset>76202</wp:posOffset>
            </wp:positionV>
            <wp:extent cx="4924330" cy="2257360"/>
            <wp:effectExtent l="0" t="0" r="0" b="0"/>
            <wp:wrapTopAndBottom/>
            <wp:docPr id="2" name="图表 5"/>
            <wp:cNvGraphicFramePr>
              <a:graphicFrameLocks noChangeAspect="0"/>
            </wp:cNvGraphicFramePr>
            <a:graphic>
              <a:graphicData uri="http://schemas.openxmlformats.org/drawingml/2006/chart">
                <c:chart xmlns:c="http://schemas.openxmlformats.org/drawingml/2006/chart" r:id="rId5"/>
              </a:graphicData>
            </a:graphic>
          </wp:anchor>
        </w:drawing>
      </w:r>
    </w:p>
    <w:p>
      <w:pPr>
        <w:spacing w:line="600" w:lineRule="exact"/>
        <w:ind w:firstLineChars="200" w:firstLine="640"/>
        <w:rPr>
          <w:rFonts w:ascii="仿宋_GB2312" w:eastAsia="仿宋_GB2312"/>
          <w:sz w:val="32"/>
          <w:szCs w:val="32"/>
        </w:rPr>
      </w:pPr>
    </w:p>
    <w:p>
      <w:pPr>
        <w:pStyle w:val="28"/>
        <w:numPr>
          <w:ilvl w:val="0"/>
          <w:numId w:val="1"/>
        </w:numPr>
        <w:spacing w:line="600" w:lineRule="exact"/>
        <w:ind w:firstLineChars="0"/>
        <w:outlineLvl w:val="1"/>
        <w:rPr>
          <w:rStyle w:val="2Char"/>
          <w:rFonts w:ascii="黑体" w:eastAsia="黑体"/>
          <w:b w:val="0"/>
        </w:rPr>
      </w:pPr>
      <w:bookmarkStart w:id="24" w:name="_Toc15377207"/>
      <w:bookmarkStart w:id="25" w:name="_Toc15396605"/>
      <w:r>
        <w:rPr>
          <w:rFonts w:ascii="黑体" w:eastAsia="黑体" w:hint="eastAsia"/>
          <w:sz w:val="32"/>
          <w:szCs w:val="32"/>
        </w:rPr>
        <w:t>支</w:t>
      </w:r>
      <w:r>
        <w:rPr>
          <w:rStyle w:val="2Char"/>
          <w:rFonts w:ascii="黑体" w:eastAsia="黑体" w:hint="eastAsia"/>
          <w:b w:val="0"/>
        </w:rPr>
        <w:t>出决算情况说明</w:t>
      </w:r>
      <w:bookmarkEnd w:id="24"/>
      <w:bookmarkEnd w:id="25"/>
    </w:p>
    <w:p>
      <w:pPr>
        <w:spacing w:line="600" w:lineRule="exact"/>
        <w:ind w:firstLineChars="200" w:firstLine="640"/>
        <w:outlineLvl w:val="1"/>
        <w:rPr>
          <w:rFonts w:ascii="仿宋" w:eastAsia="仿宋"/>
          <w:sz w:val="32"/>
          <w:szCs w:val="32"/>
        </w:rPr>
      </w:pPr>
      <w:r>
        <w:rPr>
          <w:rFonts w:ascii="仿宋" w:eastAsia="仿宋"/>
          <w:sz w:val="32"/>
          <w:szCs w:val="32"/>
        </w:rPr>
        <w:t>20</w:t>
      </w:r>
      <w:r>
        <w:rPr>
          <w:rFonts w:ascii="仿宋" w:eastAsia="仿宋" w:hint="eastAsia"/>
          <w:sz w:val="32"/>
          <w:szCs w:val="32"/>
        </w:rPr>
        <w:t>24年本年支出合计5115.89万元，其中：基本支出4588.07万元，占89.68</w:t>
      </w:r>
      <w:r>
        <w:rPr>
          <w:rFonts w:ascii="仿宋" w:eastAsia="仿宋"/>
          <w:sz w:val="32"/>
          <w:szCs w:val="32"/>
        </w:rPr>
        <w:t>%</w:t>
      </w:r>
      <w:r>
        <w:rPr>
          <w:rFonts w:ascii="仿宋" w:eastAsia="仿宋" w:hint="eastAsia"/>
          <w:sz w:val="32"/>
          <w:szCs w:val="32"/>
        </w:rPr>
        <w:t>；项目支出527.82万元，占10.32</w:t>
      </w:r>
      <w:r>
        <w:rPr>
          <w:rFonts w:ascii="仿宋" w:eastAsia="仿宋"/>
          <w:sz w:val="32"/>
          <w:szCs w:val="32"/>
        </w:rPr>
        <w:t>%</w:t>
      </w:r>
      <w:r>
        <w:rPr>
          <w:rFonts w:ascii="仿宋" w:eastAsia="仿宋" w:hint="eastAsia"/>
          <w:sz w:val="32"/>
          <w:szCs w:val="32"/>
        </w:rPr>
        <w:t>；上缴上级支出0万元，占0</w:t>
      </w:r>
      <w:r>
        <w:rPr>
          <w:rFonts w:ascii="仿宋" w:eastAsia="仿宋"/>
          <w:sz w:val="32"/>
          <w:szCs w:val="32"/>
        </w:rPr>
        <w:t>%</w:t>
      </w:r>
      <w:r>
        <w:rPr>
          <w:rFonts w:ascii="仿宋" w:eastAsia="仿宋" w:hint="eastAsia"/>
          <w:sz w:val="32"/>
          <w:szCs w:val="32"/>
        </w:rPr>
        <w:t>；经营支出0万元，占0</w:t>
      </w:r>
      <w:r>
        <w:rPr>
          <w:rFonts w:ascii="仿宋" w:eastAsia="仿宋"/>
          <w:sz w:val="32"/>
          <w:szCs w:val="32"/>
        </w:rPr>
        <w:t>%</w:t>
      </w:r>
      <w:r>
        <w:rPr>
          <w:rFonts w:ascii="仿宋" w:eastAsia="仿宋" w:hint="eastAsia"/>
          <w:sz w:val="32"/>
          <w:szCs w:val="32"/>
        </w:rPr>
        <w:t>；对附属单位补助支出0万元，占0</w:t>
      </w:r>
      <w:r>
        <w:rPr>
          <w:rFonts w:ascii="仿宋" w:eastAsia="仿宋"/>
          <w:sz w:val="32"/>
          <w:szCs w:val="32"/>
        </w:rPr>
        <w:t>%</w:t>
      </w:r>
      <w:r>
        <w:rPr>
          <w:rFonts w:ascii="仿宋" w:eastAsia="仿宋" w:hint="eastAsia"/>
          <w:sz w:val="32"/>
          <w:szCs w:val="32"/>
        </w:rPr>
        <w:t>。</w:t>
      </w:r>
    </w:p>
    <w:p>
      <w:pPr>
        <w:spacing w:line="600" w:lineRule="exact"/>
        <w:ind w:firstLine="630"/>
        <w:rPr>
          <w:rFonts w:ascii="仿宋" w:eastAsia="仿宋"/>
          <w:color w:val="000000"/>
          <w:sz w:val="32"/>
          <w:szCs w:val="32"/>
        </w:rPr>
      </w:pPr>
      <w:bookmarkStart w:id="26" w:name="_Toc15377208"/>
      <w:bookmarkStart w:id="27" w:name="_Toc15396606"/>
      <w:r>
        <w:rPr>
          <w:rFonts w:ascii="仿宋" w:eastAsia="仿宋"/>
          <w:color w:val="000000"/>
          <w:sz w:val="32"/>
          <w:szCs w:val="32"/>
        </w:rPr>
        <w:drawing>
          <wp:anchor distT="0" distB="0" distL="114300" distR="114300" simplePos="0" relativeHeight="23" behindDoc="0" locked="0" layoutInCell="1" hidden="0" allowOverlap="1">
            <wp:simplePos x="0" y="0"/>
            <wp:positionH relativeFrom="column">
              <wp:posOffset>428601</wp:posOffset>
            </wp:positionH>
            <wp:positionV relativeFrom="paragraph">
              <wp:posOffset>161848</wp:posOffset>
            </wp:positionV>
            <wp:extent cx="4521870" cy="2300736"/>
            <wp:effectExtent l="0" t="0" r="0" b="0"/>
            <wp:wrapTopAndBottom/>
            <wp:docPr id="3" name="图表 6"/>
            <wp:cNvGraphicFramePr>
              <a:graphicFrameLocks noChangeAspect="0"/>
            </wp:cNvGraphicFramePr>
            <a:graphic>
              <a:graphicData uri="http://schemas.openxmlformats.org/drawingml/2006/chart">
                <c:chart xmlns:c="http://schemas.openxmlformats.org/drawingml/2006/chart" r:id="rId6"/>
              </a:graphicData>
            </a:graphic>
          </wp:anchor>
        </w:drawing>
      </w:r>
    </w:p>
    <w:p>
      <w:pPr>
        <w:pStyle w:val="28"/>
        <w:numPr>
          <w:ilvl w:val="0"/>
          <w:numId w:val="1"/>
        </w:numPr>
        <w:spacing w:line="600" w:lineRule="exact"/>
        <w:ind w:firstLineChars="0"/>
        <w:outlineLvl w:val="1"/>
        <w:rPr>
          <w:rFonts w:ascii="黑体" w:eastAsia="黑体" w:cs="Times New Roman"/>
          <w:bCs/>
          <w:sz w:val="32"/>
          <w:szCs w:val="32"/>
        </w:rPr>
      </w:pPr>
      <w:r>
        <w:rPr>
          <w:rFonts w:ascii="黑体" w:eastAsia="黑体" w:hint="eastAsia"/>
          <w:sz w:val="32"/>
          <w:szCs w:val="32"/>
        </w:rPr>
        <w:t>财</w:t>
      </w:r>
      <w:r>
        <w:rPr>
          <w:rStyle w:val="2Char"/>
          <w:rFonts w:ascii="黑体" w:eastAsia="黑体" w:hint="eastAsia"/>
          <w:b w:val="0"/>
        </w:rPr>
        <w:t>政拨款收入支出决算总体情况说明</w:t>
      </w:r>
      <w:bookmarkEnd w:id="26"/>
      <w:bookmarkEnd w:id="27"/>
    </w:p>
    <w:p>
      <w:pPr>
        <w:spacing w:line="600" w:lineRule="exact"/>
        <w:ind w:firstLineChars="200" w:firstLine="640"/>
        <w:rPr>
          <w:rFonts w:ascii="仿宋" w:eastAsia="仿宋"/>
          <w:color w:val="000000"/>
          <w:sz w:val="32"/>
          <w:szCs w:val="32"/>
        </w:rPr>
      </w:pPr>
      <w:r>
        <w:rPr>
          <w:rFonts w:ascii="仿宋" w:eastAsia="仿宋"/>
          <w:sz w:val="32"/>
          <w:szCs w:val="32"/>
        </w:rPr>
        <w:t>20</w:t>
      </w:r>
      <w:r>
        <w:rPr>
          <w:rFonts w:ascii="仿宋" w:eastAsia="仿宋" w:hint="eastAsia"/>
          <w:sz w:val="32"/>
          <w:szCs w:val="32"/>
        </w:rPr>
        <w:t>24年财政拨款收、支总计1369.8万元。与</w:t>
      </w:r>
      <w:r>
        <w:rPr>
          <w:rFonts w:ascii="仿宋" w:eastAsia="仿宋"/>
          <w:sz w:val="32"/>
          <w:szCs w:val="32"/>
        </w:rPr>
        <w:t>20</w:t>
      </w:r>
      <w:r>
        <w:rPr>
          <w:rFonts w:ascii="仿宋" w:eastAsia="仿宋" w:hint="eastAsia"/>
          <w:sz w:val="32"/>
          <w:szCs w:val="32"/>
        </w:rPr>
        <w:t>23年相比，财政拨款收、支总计下降730.98万元，下降34.8</w:t>
      </w:r>
      <w:r>
        <w:rPr>
          <w:rFonts w:ascii="仿宋" w:eastAsia="仿宋"/>
          <w:sz w:val="32"/>
          <w:szCs w:val="32"/>
        </w:rPr>
        <w:t>%</w:t>
      </w:r>
      <w:r>
        <w:rPr>
          <w:rFonts w:ascii="仿宋" w:eastAsia="仿宋" w:hint="eastAsia"/>
          <w:sz w:val="32"/>
          <w:szCs w:val="32"/>
        </w:rPr>
        <w:t>。主要变动原因是2024年财政拨款收入减少。</w:t>
      </w:r>
    </w:p>
    <w:p>
      <w:pPr>
        <w:pStyle w:val="15"/>
        <w:spacing w:beforeLines="0" w:before="93"/>
      </w:pPr>
    </w:p>
    <w:p>
      <w:pPr>
        <w:pStyle w:val="15"/>
        <w:spacing w:beforeLines="0" w:before="93"/>
      </w:pPr>
      <w:r>
        <w:rPr>
          <w:rFonts w:hint="eastAsia"/>
        </w:rPr>
        <w:drawing>
          <wp:anchor distT="0" distB="0" distL="114300" distR="114300" simplePos="0" relativeHeight="25" behindDoc="0" locked="0" layoutInCell="1" hidden="0" allowOverlap="1">
            <wp:simplePos x="0" y="0"/>
            <wp:positionH relativeFrom="column">
              <wp:posOffset>0</wp:posOffset>
            </wp:positionH>
            <wp:positionV relativeFrom="paragraph">
              <wp:posOffset>333375</wp:posOffset>
            </wp:positionV>
            <wp:extent cx="5276850" cy="3076574"/>
            <wp:effectExtent l="0" t="0" r="0" b="0"/>
            <wp:wrapTopAndBottom/>
            <wp:docPr id="4" name="图表 1"/>
            <wp:cNvGraphicFramePr>
              <a:graphicFrameLocks noChangeAspect="0"/>
            </wp:cNvGraphicFramePr>
            <a:graphic>
              <a:graphicData uri="http://schemas.openxmlformats.org/drawingml/2006/chart">
                <c:chart xmlns:c="http://schemas.openxmlformats.org/drawingml/2006/chart" r:id="rId7"/>
              </a:graphicData>
            </a:graphic>
          </wp:anchor>
        </w:drawing>
      </w:r>
    </w:p>
    <w:p>
      <w:pPr>
        <w:spacing w:line="600" w:lineRule="exact"/>
        <w:ind w:firstLineChars="200" w:firstLine="640"/>
        <w:outlineLvl w:val="1"/>
        <w:rPr>
          <w:rStyle w:val="2Char"/>
          <w:rFonts w:ascii="黑体" w:eastAsia="黑体"/>
          <w:b w:val="0"/>
        </w:rPr>
      </w:pPr>
      <w:bookmarkStart w:id="28" w:name="_Toc15396607"/>
      <w:bookmarkStart w:id="29" w:name="_Toc15377209"/>
      <w:r>
        <w:rPr>
          <w:rFonts w:ascii="黑体" w:eastAsia="黑体" w:hint="eastAsia"/>
          <w:sz w:val="32"/>
          <w:szCs w:val="32"/>
        </w:rPr>
        <w:t>五、</w:t>
      </w:r>
      <w:r>
        <w:rPr>
          <w:rFonts w:ascii="黑体" w:eastAsia="黑体" w:hint="eastAsia"/>
          <w:b/>
          <w:sz w:val="32"/>
          <w:szCs w:val="32"/>
        </w:rPr>
        <w:t>一</w:t>
      </w:r>
      <w:r>
        <w:rPr>
          <w:rStyle w:val="2Char"/>
          <w:rFonts w:ascii="黑体" w:eastAsia="黑体" w:hint="eastAsia"/>
          <w:b w:val="0"/>
        </w:rPr>
        <w:t>般公共预算财政拨款支出决算情况说明</w:t>
      </w:r>
      <w:bookmarkEnd w:id="28"/>
      <w:bookmarkEnd w:id="29"/>
    </w:p>
    <w:p>
      <w:pPr>
        <w:spacing w:line="600" w:lineRule="exact"/>
        <w:ind w:firstLineChars="200" w:firstLine="640"/>
        <w:outlineLvl w:val="2"/>
        <w:rPr>
          <w:rFonts w:ascii="仿宋" w:eastAsia="仿宋"/>
          <w:b/>
          <w:sz w:val="32"/>
          <w:szCs w:val="32"/>
        </w:rPr>
      </w:pPr>
      <w:bookmarkStart w:id="30" w:name="_Toc15377210"/>
      <w:r>
        <w:rPr>
          <w:rFonts w:ascii="仿宋" w:eastAsia="仿宋" w:hint="eastAsia"/>
          <w:b/>
          <w:sz w:val="32"/>
          <w:szCs w:val="32"/>
        </w:rPr>
        <w:t>（一）一般公共预算财政拨款支出决算总体情况</w:t>
      </w:r>
      <w:bookmarkEnd w:id="30"/>
    </w:p>
    <w:p>
      <w:pPr>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2024年一般公共预算财政拨款支出1369.8万元，占本年支出合计的26.78%。与2023年相比，一般公共预算财政拨款支出</w:t>
      </w:r>
      <w:r>
        <w:rPr>
          <w:rFonts w:ascii="仿宋" w:eastAsia="仿宋" w:hint="eastAsia"/>
          <w:sz w:val="32"/>
          <w:szCs w:val="32"/>
        </w:rPr>
        <w:t>下降730.897</w:t>
      </w:r>
      <w:r>
        <w:rPr>
          <w:rFonts w:ascii="仿宋_GB2312" w:eastAsia="仿宋_GB2312" w:hint="eastAsia"/>
          <w:sz w:val="32"/>
          <w:szCs w:val="32"/>
        </w:rPr>
        <w:t>万元，下降34.8</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color w:val="000000"/>
          <w:sz w:val="32"/>
          <w:szCs w:val="32"/>
        </w:rPr>
        <w:t>主要变动原因是2024年卫生健康支出减少。</w:t>
      </w: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r>
        <w:drawing>
          <wp:inline distT="0" distB="0" distL="0" distR="0">
            <wp:extent cx="5274310" cy="3076575"/>
            <wp:effectExtent l="0" t="0" r="0" b="0"/>
            <wp:docPr id="5" name="图表 15"/>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ind w:firstLineChars="200" w:firstLine="640"/>
        <w:outlineLvl w:val="2"/>
        <w:rPr>
          <w:rFonts w:ascii="仿宋" w:eastAsia="仿宋"/>
          <w:b/>
          <w:sz w:val="32"/>
          <w:szCs w:val="32"/>
        </w:rPr>
      </w:pPr>
      <w:bookmarkStart w:id="31" w:name="_Toc15377211"/>
      <w:r>
        <w:rPr>
          <w:rFonts w:ascii="仿宋" w:eastAsia="仿宋" w:hint="eastAsia"/>
          <w:b/>
          <w:sz w:val="32"/>
          <w:szCs w:val="32"/>
        </w:rPr>
        <w:t>（二）一般公共预算财政拨款支出决算结构情况</w:t>
      </w:r>
      <w:bookmarkEnd w:id="31"/>
    </w:p>
    <w:p>
      <w:pPr>
        <w:spacing w:line="600" w:lineRule="exact"/>
        <w:ind w:firstLine="640"/>
        <w:rPr>
          <w:rFonts w:ascii="仿宋_GB2312" w:eastAsia="仿宋_GB2312"/>
          <w:b/>
          <w:sz w:val="32"/>
          <w:szCs w:val="32"/>
        </w:rPr>
      </w:pPr>
      <w:r>
        <w:rPr>
          <w:rFonts w:ascii="仿宋_GB2312" w:eastAsia="仿宋_GB2312" w:hint="eastAsia"/>
          <w:sz w:val="32"/>
          <w:szCs w:val="32"/>
        </w:rPr>
        <w:t>2024年一般公共预算财政拨款支出1369.8万元，主要用于以下方面:</w:t>
      </w:r>
      <w:r>
        <w:rPr>
          <w:rFonts w:ascii="仿宋_GB2312" w:eastAsia="仿宋_GB2312" w:hint="eastAsia"/>
          <w:b/>
          <w:sz w:val="32"/>
          <w:szCs w:val="32"/>
        </w:rPr>
        <w:t>社会保障和就业</w:t>
      </w:r>
      <w:r>
        <w:rPr>
          <w:rFonts w:ascii="仿宋_GB2312" w:eastAsia="仿宋_GB2312" w:hint="eastAsia"/>
          <w:b/>
          <w:bCs/>
          <w:sz w:val="32"/>
          <w:szCs w:val="32"/>
        </w:rPr>
        <w:t>支出</w:t>
      </w:r>
      <w:r>
        <w:rPr>
          <w:rFonts w:ascii="仿宋_GB2312" w:eastAsia="仿宋_GB2312" w:hint="eastAsia"/>
          <w:sz w:val="32"/>
          <w:szCs w:val="32"/>
        </w:rPr>
        <w:t>835.36万元，占60.98%；</w:t>
      </w:r>
      <w:r>
        <w:rPr>
          <w:rFonts w:ascii="仿宋_GB2312" w:eastAsia="仿宋_GB2312" w:hint="eastAsia"/>
          <w:b/>
          <w:bCs/>
          <w:sz w:val="32"/>
          <w:szCs w:val="32"/>
        </w:rPr>
        <w:t>卫生健康支出</w:t>
      </w:r>
      <w:r>
        <w:rPr>
          <w:rFonts w:ascii="仿宋_GB2312" w:eastAsia="仿宋_GB2312" w:hint="eastAsia"/>
          <w:sz w:val="32"/>
          <w:szCs w:val="32"/>
        </w:rPr>
        <w:t>527.98万元，占38.54%。</w:t>
      </w:r>
      <w:r>
        <w:rPr>
          <w:rFonts w:ascii="仿宋_GB2312" w:eastAsia="仿宋_GB2312" w:hint="eastAsia"/>
          <w:b/>
          <w:bCs/>
          <w:sz w:val="32"/>
          <w:szCs w:val="32"/>
        </w:rPr>
        <w:t>一般公共服务支出6.46万元，</w:t>
      </w:r>
      <w:r>
        <w:rPr>
          <w:rFonts w:ascii="仿宋_GB2312" w:eastAsia="仿宋_GB2312" w:hint="eastAsia"/>
          <w:sz w:val="32"/>
          <w:szCs w:val="32"/>
        </w:rPr>
        <w:t>占0.48%</w:t>
      </w:r>
    </w:p>
    <w:p>
      <w:pPr>
        <w:pStyle w:val="15"/>
        <w:spacing w:beforeLines="0" w:before="93"/>
      </w:pPr>
      <w:r>
        <w:rPr>
          <w:rFonts w:hint="eastAsia"/>
        </w:rPr>
        <w:drawing>
          <wp:anchor distT="0" distB="0" distL="114300" distR="114300" simplePos="0" relativeHeight="27" behindDoc="0" locked="0" layoutInCell="1" hidden="0" allowOverlap="1">
            <wp:simplePos x="0" y="0"/>
            <wp:positionH relativeFrom="column">
              <wp:posOffset>457200</wp:posOffset>
            </wp:positionH>
            <wp:positionV relativeFrom="paragraph">
              <wp:posOffset>908685</wp:posOffset>
            </wp:positionV>
            <wp:extent cx="4686300" cy="3076575"/>
            <wp:effectExtent l="0" t="0" r="0" b="0"/>
            <wp:wrapTopAndBottom/>
            <wp:docPr id="6" name="图表 4"/>
            <wp:cNvGraphicFramePr>
              <a:graphicFrameLocks noChangeAspect="0"/>
            </wp:cNvGraphicFramePr>
            <a:graphic>
              <a:graphicData uri="http://schemas.openxmlformats.org/drawingml/2006/chart">
                <c:chart xmlns:c="http://schemas.openxmlformats.org/drawingml/2006/chart" r:id="rId9"/>
              </a:graphicData>
            </a:graphic>
          </wp:anchor>
        </w:drawing>
      </w:r>
    </w:p>
    <w:p>
      <w:pPr>
        <w:pStyle w:val="15"/>
        <w:spacing w:beforeLines="0" w:before="93"/>
      </w:pPr>
    </w:p>
    <w:p>
      <w:pPr>
        <w:spacing w:line="600" w:lineRule="exact"/>
        <w:ind w:firstLineChars="200" w:firstLine="640"/>
        <w:outlineLvl w:val="2"/>
        <w:rPr>
          <w:rFonts w:ascii="仿宋" w:eastAsia="仿宋"/>
          <w:b/>
          <w:sz w:val="32"/>
          <w:szCs w:val="32"/>
        </w:rPr>
      </w:pPr>
      <w:bookmarkStart w:id="32" w:name="_Toc15377212"/>
      <w:r>
        <w:rPr>
          <w:rFonts w:ascii="仿宋" w:eastAsia="仿宋" w:hint="eastAsia"/>
          <w:b/>
          <w:sz w:val="32"/>
          <w:szCs w:val="32"/>
        </w:rPr>
        <w:t>（三）一般公共预算财政拨款支出决算具体情况</w:t>
      </w:r>
      <w:bookmarkEnd w:id="32"/>
    </w:p>
    <w:p>
      <w:pPr>
        <w:spacing w:line="600" w:lineRule="exact"/>
        <w:ind w:firstLineChars="200" w:firstLine="640"/>
        <w:outlineLvl w:val="2"/>
        <w:rPr>
          <w:rStyle w:val="22"/>
          <w:rFonts w:ascii="仿宋_GB2312" w:eastAsia="仿宋_GB2312"/>
          <w:bCs/>
          <w:sz w:val="32"/>
          <w:szCs w:val="32"/>
        </w:rPr>
      </w:pPr>
      <w:bookmarkStart w:id="33" w:name="_Toc15378460"/>
      <w:bookmarkStart w:id="34" w:name="_Toc15377444"/>
      <w:bookmarkStart w:id="35" w:name="_Toc15377213"/>
      <w:r>
        <w:rPr>
          <w:rFonts w:ascii="仿宋_GB2312" w:eastAsia="仿宋_GB2312" w:hint="eastAsia"/>
          <w:b/>
          <w:sz w:val="32"/>
          <w:szCs w:val="32"/>
        </w:rPr>
        <w:t>2024年一般公共预算支出决算数为1369.8万元</w:t>
      </w:r>
      <w:r>
        <w:rPr>
          <w:rFonts w:ascii="仿宋_GB2312" w:eastAsia="仿宋_GB2312" w:hint="eastAsia"/>
          <w:sz w:val="32"/>
          <w:szCs w:val="32"/>
        </w:rPr>
        <w:t>，</w:t>
      </w:r>
      <w:r>
        <w:rPr>
          <w:rStyle w:val="22"/>
          <w:rFonts w:ascii="仿宋_GB2312" w:eastAsia="仿宋_GB2312" w:hint="eastAsia"/>
          <w:bCs/>
          <w:sz w:val="32"/>
          <w:szCs w:val="32"/>
        </w:rPr>
        <w:t>完成预算100%。其中：</w:t>
      </w:r>
      <w:bookmarkEnd w:id="33"/>
      <w:bookmarkEnd w:id="34"/>
      <w:bookmarkEnd w:id="35"/>
    </w:p>
    <w:p>
      <w:pPr>
        <w:spacing w:line="600" w:lineRule="exact"/>
        <w:ind w:firstLineChars="200" w:firstLine="420"/>
        <w:rPr>
          <w:rFonts w:ascii="仿宋_GB2312" w:eastAsia="仿宋_GB2312"/>
          <w:b/>
          <w:bCs/>
          <w:sz w:val="32"/>
          <w:szCs w:val="32"/>
        </w:rPr>
      </w:pPr>
      <w:r>
        <w:rPr>
          <w:rFonts w:hint="eastAsia"/>
        </w:rPr>
        <w:t xml:space="preserve">  </w:t>
      </w:r>
      <w:r>
        <w:rPr>
          <w:rStyle w:val="22"/>
          <w:rFonts w:ascii="仿宋_GB2312" w:eastAsia="仿宋_GB2312"/>
          <w:bCs/>
          <w:sz w:val="32"/>
          <w:szCs w:val="32"/>
        </w:rPr>
        <w:t>1</w:t>
      </w:r>
      <w:r>
        <w:rPr>
          <w:rFonts w:hint="eastAsia"/>
        </w:rPr>
        <w:t>．</w:t>
      </w:r>
      <w:r>
        <w:rPr>
          <w:rStyle w:val="22"/>
          <w:rFonts w:ascii="仿宋_GB2312" w:eastAsia="仿宋_GB2312" w:hint="eastAsia"/>
          <w:bCs/>
          <w:sz w:val="32"/>
          <w:szCs w:val="32"/>
        </w:rPr>
        <w:t>一般公共服务支出（类）组织事务（款）其他组织事务（项）: 支出决算为6.46万元，完成预算100%，决算数等于预算数。</w:t>
      </w:r>
    </w:p>
    <w:p>
      <w:pPr>
        <w:spacing w:line="600" w:lineRule="exact"/>
        <w:ind w:firstLineChars="200" w:firstLine="640"/>
        <w:rPr>
          <w:rStyle w:val="22"/>
          <w:rFonts w:ascii="仿宋_GB2312" w:eastAsia="仿宋_GB2312"/>
          <w:bCs/>
          <w:sz w:val="32"/>
          <w:szCs w:val="32"/>
        </w:rPr>
      </w:pPr>
      <w:r>
        <w:rPr>
          <w:rStyle w:val="22"/>
          <w:rFonts w:ascii="仿宋_GB2312" w:eastAsia="仿宋_GB2312" w:hint="eastAsia"/>
          <w:bCs/>
          <w:sz w:val="32"/>
          <w:szCs w:val="32"/>
        </w:rPr>
        <w:t>2.社会保障和就业（类）行政事业单位养老支出（款）机关事业单位基本养老保险缴费支出（项）: 支出决算为360万元，完成预算100%，决算数等于预算数。</w:t>
      </w:r>
    </w:p>
    <w:p>
      <w:pPr>
        <w:spacing w:line="600" w:lineRule="exact"/>
        <w:ind w:firstLineChars="200" w:firstLine="640"/>
        <w:rPr>
          <w:rStyle w:val="22"/>
          <w:rFonts w:ascii="仿宋_GB2312" w:eastAsia="仿宋_GB2312"/>
          <w:bCs/>
          <w:sz w:val="32"/>
          <w:szCs w:val="32"/>
        </w:rPr>
      </w:pPr>
      <w:r>
        <w:rPr>
          <w:rStyle w:val="22"/>
          <w:rFonts w:ascii="仿宋_GB2312" w:eastAsia="仿宋_GB2312" w:hint="eastAsia"/>
          <w:bCs/>
          <w:sz w:val="32"/>
          <w:szCs w:val="32"/>
        </w:rPr>
        <w:t>3.社会保障和就业（类）行政事业单位养老支出（款）事业单位离退休费支出（项）: 支出决算为456.16万元，完成预算100%，决算数等于预算数。</w:t>
      </w:r>
    </w:p>
    <w:p>
      <w:pPr>
        <w:spacing w:line="600" w:lineRule="exact"/>
        <w:ind w:firstLineChars="200" w:firstLine="640"/>
        <w:rPr>
          <w:rStyle w:val="22"/>
          <w:rFonts w:ascii="仿宋_GB2312" w:eastAsia="仿宋_GB2312"/>
          <w:bCs/>
          <w:sz w:val="32"/>
          <w:szCs w:val="32"/>
        </w:rPr>
      </w:pPr>
      <w:r>
        <w:rPr>
          <w:rStyle w:val="22"/>
          <w:rFonts w:ascii="仿宋_GB2312" w:eastAsia="仿宋_GB2312" w:hint="eastAsia"/>
          <w:bCs/>
          <w:sz w:val="32"/>
          <w:szCs w:val="32"/>
        </w:rPr>
        <w:t xml:space="preserve">4.社会保障和就业（类）抚恤（款）死亡抚恤（项）支出决算为19.2万元，完成预算100%，决算数等于预算数。   </w:t>
      </w:r>
    </w:p>
    <w:p>
      <w:pPr>
        <w:spacing w:line="600" w:lineRule="exact"/>
        <w:ind w:firstLineChars="200" w:firstLine="640"/>
        <w:rPr>
          <w:rStyle w:val="22"/>
          <w:rFonts w:ascii="仿宋_GB2312" w:eastAsia="仿宋_GB2312"/>
          <w:bCs/>
          <w:sz w:val="32"/>
          <w:szCs w:val="32"/>
        </w:rPr>
      </w:pPr>
      <w:r>
        <w:rPr>
          <w:rStyle w:val="22"/>
          <w:rFonts w:ascii="仿宋_GB2312" w:eastAsia="仿宋_GB2312" w:hint="eastAsia"/>
          <w:bCs/>
          <w:sz w:val="32"/>
          <w:szCs w:val="32"/>
        </w:rPr>
        <w:t>5.卫生健康（类）公立医院（款）传染病医院（项）:支出决算为195万元，完成预算100%，决算数等于预算数。</w:t>
      </w:r>
    </w:p>
    <w:p>
      <w:pPr>
        <w:spacing w:line="600" w:lineRule="exact"/>
        <w:ind w:firstLineChars="200" w:firstLine="640"/>
        <w:rPr>
          <w:rStyle w:val="22"/>
          <w:rFonts w:ascii="仿宋_GB2312" w:eastAsia="仿宋_GB2312"/>
          <w:bCs/>
          <w:sz w:val="32"/>
          <w:szCs w:val="32"/>
        </w:rPr>
      </w:pPr>
      <w:r>
        <w:rPr>
          <w:rStyle w:val="22"/>
          <w:rFonts w:ascii="仿宋_GB2312" w:eastAsia="仿宋_GB2312" w:hint="eastAsia"/>
          <w:bCs/>
          <w:sz w:val="32"/>
          <w:szCs w:val="32"/>
        </w:rPr>
        <w:t>6.卫生健康（类）公共卫生（款）其他公立医院（项）:支出决算为38万元，完成预算100%，决算数等于预算数。</w:t>
      </w:r>
    </w:p>
    <w:p>
      <w:pPr>
        <w:spacing w:line="600" w:lineRule="exact"/>
        <w:ind w:firstLineChars="200" w:firstLine="640"/>
        <w:rPr>
          <w:rFonts w:ascii="仿宋_GB2312" w:eastAsia="仿宋_GB2312"/>
          <w:b/>
          <w:bCs/>
          <w:sz w:val="32"/>
          <w:szCs w:val="32"/>
        </w:rPr>
      </w:pPr>
      <w:r>
        <w:rPr>
          <w:rStyle w:val="22"/>
          <w:rFonts w:ascii="仿宋_GB2312" w:eastAsia="仿宋_GB2312" w:hint="eastAsia"/>
          <w:bCs/>
          <w:sz w:val="32"/>
          <w:szCs w:val="32"/>
        </w:rPr>
        <w:t>7</w:t>
      </w:r>
      <w:r>
        <w:rPr>
          <w:rFonts w:hint="eastAsia"/>
        </w:rPr>
        <w:t>.</w:t>
      </w:r>
      <w:r>
        <w:rPr>
          <w:rStyle w:val="22"/>
          <w:rFonts w:ascii="仿宋_GB2312" w:eastAsia="仿宋_GB2312" w:hint="eastAsia"/>
          <w:bCs/>
          <w:sz w:val="32"/>
          <w:szCs w:val="32"/>
        </w:rPr>
        <w:t xml:space="preserve"> 卫生健康（类）公共卫生健康支出（款）基本公共卫生服务（项）:支出决算为22.8万元，完成预算100%，决算数等于预算数。</w:t>
      </w:r>
    </w:p>
    <w:p>
      <w:pPr>
        <w:spacing w:line="600" w:lineRule="exact"/>
        <w:ind w:firstLineChars="200" w:firstLine="640"/>
        <w:rPr>
          <w:rStyle w:val="22"/>
          <w:rFonts w:ascii="仿宋_GB2312" w:eastAsia="仿宋_GB2312"/>
          <w:bCs/>
          <w:sz w:val="32"/>
          <w:szCs w:val="32"/>
        </w:rPr>
      </w:pPr>
      <w:r>
        <w:rPr>
          <w:rStyle w:val="22"/>
          <w:rFonts w:ascii="仿宋_GB2312" w:eastAsia="仿宋_GB2312" w:hint="eastAsia"/>
          <w:bCs/>
          <w:sz w:val="32"/>
          <w:szCs w:val="32"/>
        </w:rPr>
        <w:t>8.卫生健康（类）公共卫生健康支出（款）重大公共卫生支出（项）:支出决算为269.02万元，完成预算100%，决算数等于预算数。</w:t>
      </w:r>
    </w:p>
    <w:p>
      <w:pPr>
        <w:spacing w:line="600" w:lineRule="exact"/>
        <w:ind w:firstLineChars="200" w:firstLine="640"/>
        <w:rPr>
          <w:rStyle w:val="22"/>
          <w:rFonts w:ascii="仿宋_GB2312" w:eastAsia="仿宋_GB2312"/>
          <w:bCs/>
          <w:sz w:val="32"/>
          <w:szCs w:val="32"/>
        </w:rPr>
      </w:pPr>
      <w:r>
        <w:rPr>
          <w:rStyle w:val="22"/>
          <w:rFonts w:ascii="仿宋_GB2312" w:eastAsia="仿宋_GB2312" w:hint="eastAsia"/>
          <w:bCs/>
          <w:sz w:val="32"/>
          <w:szCs w:val="32"/>
        </w:rPr>
        <w:t>9. 卫生健康（类）其他卫生健康支出（款）其他卫生健康支出（项）:支出决算为3.16万元，完成预算100%，决算数等于预算数。</w:t>
      </w:r>
    </w:p>
    <w:p>
      <w:pPr>
        <w:spacing w:line="600" w:lineRule="exact"/>
        <w:ind w:firstLineChars="200" w:firstLine="420"/>
      </w:pPr>
      <w:r>
        <w:rPr>
          <w:rFonts w:hint="eastAsia"/>
        </w:rPr>
        <w:t xml:space="preserve"> </w:t>
      </w:r>
    </w:p>
    <w:p>
      <w:pPr>
        <w:pStyle w:val="15"/>
        <w:spacing w:beforeLines="0" w:before="93"/>
        <w:ind w:firstLineChars="250" w:firstLine="750"/>
      </w:pPr>
    </w:p>
    <w:p>
      <w:pPr>
        <w:spacing w:line="600" w:lineRule="exact"/>
        <w:ind w:firstLine="640"/>
        <w:rPr>
          <w:rFonts w:ascii="仿宋" w:eastAsia="仿宋"/>
          <w:b/>
          <w:sz w:val="32"/>
          <w:szCs w:val="32"/>
        </w:rPr>
      </w:pPr>
    </w:p>
    <w:p>
      <w:pPr>
        <w:tabs>
          <w:tab w:val="right" w:pos="8306"/>
        </w:tabs>
        <w:spacing w:line="600" w:lineRule="exact"/>
        <w:ind w:firstLine="640"/>
        <w:outlineLvl w:val="1"/>
        <w:rPr>
          <w:rStyle w:val="2Char"/>
        </w:rPr>
      </w:pPr>
      <w:bookmarkStart w:id="36" w:name="_Toc15396608"/>
      <w:bookmarkStart w:id="37" w:name="_Toc15377214"/>
      <w:r>
        <w:rPr>
          <w:rFonts w:ascii="黑体" w:eastAsia="黑体" w:hint="eastAsia"/>
          <w:sz w:val="32"/>
          <w:szCs w:val="32"/>
        </w:rPr>
        <w:t>六</w:t>
      </w:r>
      <w:r>
        <w:rPr>
          <w:rFonts w:ascii="黑体" w:eastAsia="黑体" w:hint="eastAsia"/>
          <w:b/>
          <w:sz w:val="32"/>
          <w:szCs w:val="32"/>
        </w:rPr>
        <w:t>、一</w:t>
      </w:r>
      <w:r>
        <w:rPr>
          <w:rStyle w:val="2Char"/>
          <w:rFonts w:ascii="黑体" w:eastAsia="黑体" w:hint="eastAsia"/>
          <w:b w:val="0"/>
        </w:rPr>
        <w:t>般公共预算财政拨款基本支出决算情况说明</w:t>
      </w:r>
      <w:bookmarkEnd w:id="36"/>
      <w:bookmarkEnd w:id="37"/>
      <w:r>
        <w:rPr>
          <w:rStyle w:val="2Char"/>
          <w:rFonts w:ascii="黑体" w:eastAsia="黑体"/>
          <w:b w:val="0"/>
        </w:rPr>
        <w:tab/>
      </w:r>
    </w:p>
    <w:p>
      <w:pPr>
        <w:spacing w:line="600" w:lineRule="exact"/>
        <w:ind w:firstLine="645"/>
        <w:rPr>
          <w:rFonts w:ascii="仿宋" w:eastAsia="仿宋"/>
          <w:sz w:val="32"/>
          <w:szCs w:val="32"/>
        </w:rPr>
      </w:pPr>
      <w:r>
        <w:rPr>
          <w:rFonts w:ascii="仿宋" w:eastAsia="仿宋"/>
          <w:sz w:val="32"/>
          <w:szCs w:val="32"/>
        </w:rPr>
        <w:t>20</w:t>
      </w:r>
      <w:r>
        <w:rPr>
          <w:rFonts w:ascii="仿宋" w:eastAsia="仿宋" w:hint="eastAsia"/>
          <w:sz w:val="32"/>
          <w:szCs w:val="32"/>
        </w:rPr>
        <w:t>24年一般公共预算财政拨款基本支出1369.8万元，其中：</w:t>
      </w:r>
    </w:p>
    <w:p>
      <w:pPr>
        <w:spacing w:line="600" w:lineRule="exact"/>
        <w:ind w:firstLine="645"/>
        <w:rPr>
          <w:rFonts w:ascii="仿宋" w:eastAsia="仿宋"/>
          <w:sz w:val="32"/>
          <w:szCs w:val="32"/>
        </w:rPr>
      </w:pPr>
      <w:r>
        <w:rPr>
          <w:rFonts w:ascii="仿宋" w:eastAsia="仿宋" w:hint="eastAsia"/>
          <w:sz w:val="32"/>
          <w:szCs w:val="32"/>
        </w:rPr>
        <w:t>人员经费837.82万元，主要包括：机关事业单位基本养老保险360万、抚恤金19.2万元、生活补助419.82万元、医疗费补助32.18万元其他对个人和家庭的补助6.62万。</w:t>
      </w:r>
      <w:r>
        <w:rPr>
          <w:rFonts w:ascii="仿宋" w:eastAsia="仿宋"/>
          <w:sz w:val="32"/>
          <w:szCs w:val="32"/>
        </w:rPr>
        <w:br/>
      </w:r>
      <w:r>
        <w:rPr>
          <w:rFonts w:ascii="仿宋" w:eastAsia="仿宋" w:hint="eastAsia"/>
          <w:sz w:val="32"/>
          <w:szCs w:val="32"/>
        </w:rPr>
        <w:t>　　公用经费531.98万元，主要包括：办公费</w:t>
      </w:r>
      <w:r>
        <w:rPr>
          <w:rFonts w:ascii="仿宋" w:eastAsia="仿宋" w:hint="eastAsia"/>
          <w:color w:val="000000"/>
          <w:sz w:val="32"/>
          <w:szCs w:val="32"/>
        </w:rPr>
        <w:t>2.6</w:t>
      </w:r>
      <w:r>
        <w:rPr>
          <w:rFonts w:ascii="仿宋" w:eastAsia="仿宋" w:hint="eastAsia"/>
          <w:sz w:val="32"/>
          <w:szCs w:val="32"/>
        </w:rPr>
        <w:t>万元、水</w:t>
      </w:r>
      <w:r>
        <w:rPr>
          <w:rFonts w:ascii="仿宋" w:eastAsia="仿宋" w:hint="eastAsia"/>
          <w:color w:val="000000"/>
          <w:sz w:val="32"/>
          <w:szCs w:val="32"/>
        </w:rPr>
        <w:t>费1.5万</w:t>
      </w:r>
      <w:r>
        <w:rPr>
          <w:rFonts w:ascii="仿宋" w:eastAsia="仿宋" w:hint="eastAsia"/>
          <w:sz w:val="32"/>
          <w:szCs w:val="32"/>
        </w:rPr>
        <w:t>元、差旅费2.58万元，</w:t>
      </w:r>
      <w:r>
        <w:rPr>
          <w:rFonts w:ascii="仿宋" w:eastAsia="仿宋" w:hint="eastAsia"/>
          <w:color w:val="0D0D0D"/>
          <w:sz w:val="32"/>
          <w:szCs w:val="32"/>
        </w:rPr>
        <w:t>维修（护）费23.57万元</w:t>
      </w:r>
      <w:r>
        <w:rPr>
          <w:rFonts w:ascii="仿宋" w:eastAsia="仿宋" w:hint="eastAsia"/>
          <w:sz w:val="32"/>
          <w:szCs w:val="32"/>
        </w:rPr>
        <w:t>、培训费</w:t>
      </w:r>
      <w:r>
        <w:rPr>
          <w:rFonts w:ascii="仿宋" w:eastAsia="仿宋" w:hint="eastAsia"/>
          <w:color w:val="0D0D0D"/>
          <w:sz w:val="32"/>
          <w:szCs w:val="32"/>
        </w:rPr>
        <w:t>0.86</w:t>
      </w:r>
      <w:r>
        <w:rPr>
          <w:rFonts w:ascii="仿宋" w:eastAsia="仿宋" w:hint="eastAsia"/>
          <w:sz w:val="32"/>
          <w:szCs w:val="32"/>
        </w:rPr>
        <w:t>万元、专用材料费</w:t>
      </w:r>
      <w:r>
        <w:rPr>
          <w:rFonts w:ascii="仿宋" w:eastAsia="仿宋" w:hint="eastAsia"/>
          <w:color w:val="0D0D0D"/>
          <w:sz w:val="32"/>
          <w:szCs w:val="32"/>
        </w:rPr>
        <w:t>458.64</w:t>
      </w:r>
      <w:r>
        <w:rPr>
          <w:rFonts w:ascii="仿宋" w:eastAsia="仿宋" w:hint="eastAsia"/>
          <w:sz w:val="32"/>
          <w:szCs w:val="32"/>
        </w:rPr>
        <w:t>万元、其他交通费</w:t>
      </w:r>
      <w:r>
        <w:rPr>
          <w:rFonts w:ascii="仿宋" w:eastAsia="仿宋" w:hint="eastAsia"/>
          <w:color w:val="0D0D0D"/>
          <w:sz w:val="32"/>
          <w:szCs w:val="32"/>
        </w:rPr>
        <w:t>4.26</w:t>
      </w:r>
      <w:r>
        <w:rPr>
          <w:rFonts w:ascii="仿宋" w:eastAsia="仿宋" w:hint="eastAsia"/>
          <w:sz w:val="32"/>
          <w:szCs w:val="32"/>
        </w:rPr>
        <w:t>万元、其他商品和服务支出</w:t>
      </w:r>
      <w:r>
        <w:rPr>
          <w:rFonts w:ascii="仿宋" w:eastAsia="仿宋" w:hint="eastAsia"/>
          <w:color w:val="0D0D0D"/>
          <w:sz w:val="32"/>
          <w:szCs w:val="32"/>
        </w:rPr>
        <w:t>32.47万</w:t>
      </w:r>
      <w:r>
        <w:rPr>
          <w:rFonts w:ascii="仿宋" w:eastAsia="仿宋" w:hint="eastAsia"/>
          <w:sz w:val="32"/>
          <w:szCs w:val="32"/>
        </w:rPr>
        <w:t>元、办公设备购置</w:t>
      </w:r>
      <w:r>
        <w:rPr>
          <w:rFonts w:ascii="仿宋" w:eastAsia="仿宋" w:hint="eastAsia"/>
          <w:color w:val="0D0D0D"/>
          <w:sz w:val="32"/>
          <w:szCs w:val="32"/>
        </w:rPr>
        <w:t>2.13</w:t>
      </w:r>
      <w:r>
        <w:rPr>
          <w:rFonts w:ascii="仿宋" w:eastAsia="仿宋" w:hint="eastAsia"/>
          <w:sz w:val="32"/>
          <w:szCs w:val="32"/>
        </w:rPr>
        <w:t>万元、专用设备购置</w:t>
      </w:r>
      <w:r>
        <w:rPr>
          <w:rFonts w:ascii="仿宋" w:eastAsia="仿宋" w:hint="eastAsia"/>
          <w:color w:val="0D0D0D"/>
          <w:sz w:val="32"/>
          <w:szCs w:val="32"/>
        </w:rPr>
        <w:t>3.37</w:t>
      </w:r>
      <w:r>
        <w:rPr>
          <w:rFonts w:ascii="仿宋" w:eastAsia="仿宋" w:hint="eastAsia"/>
          <w:sz w:val="32"/>
          <w:szCs w:val="32"/>
        </w:rPr>
        <w:t>万元。</w:t>
      </w:r>
    </w:p>
    <w:p>
      <w:pPr>
        <w:spacing w:line="600" w:lineRule="exact"/>
        <w:ind w:firstLine="640"/>
        <w:rPr>
          <w:rFonts w:ascii="仿宋" w:eastAsia="仿宋"/>
          <w:b/>
          <w:sz w:val="32"/>
          <w:szCs w:val="32"/>
        </w:rPr>
      </w:pPr>
    </w:p>
    <w:p>
      <w:pPr>
        <w:spacing w:line="600" w:lineRule="exact"/>
        <w:ind w:firstLine="640"/>
        <w:outlineLvl w:val="1"/>
        <w:rPr>
          <w:rStyle w:val="2Char"/>
          <w:rFonts w:ascii="黑体" w:eastAsia="黑体"/>
          <w:b w:val="0"/>
        </w:rPr>
      </w:pPr>
      <w:bookmarkStart w:id="38" w:name="_Toc15396609"/>
      <w:bookmarkStart w:id="39" w:name="_Toc15377215"/>
      <w:r>
        <w:rPr>
          <w:rFonts w:ascii="黑体" w:eastAsia="黑体" w:hint="eastAsia"/>
          <w:sz w:val="32"/>
          <w:szCs w:val="32"/>
        </w:rPr>
        <w:t>七、</w:t>
      </w:r>
      <w:r>
        <w:rPr>
          <w:rStyle w:val="2Char"/>
          <w:rFonts w:ascii="黑体" w:eastAsia="黑体" w:hint="eastAsia"/>
          <w:b w:val="0"/>
        </w:rPr>
        <w:t>财政拨款</w:t>
      </w:r>
      <w:r>
        <w:rPr>
          <w:rStyle w:val="2Char"/>
          <w:rFonts w:ascii="黑体" w:eastAsia="黑体" w:hint="eastAsia"/>
        </w:rPr>
        <w:t>“</w:t>
      </w:r>
      <w:r>
        <w:rPr>
          <w:rStyle w:val="2Char"/>
          <w:rFonts w:ascii="黑体" w:eastAsia="黑体" w:hint="eastAsia"/>
          <w:b w:val="0"/>
        </w:rPr>
        <w:t>三公”经费支出决算情况说明</w:t>
      </w:r>
      <w:bookmarkEnd w:id="38"/>
      <w:bookmarkEnd w:id="39"/>
    </w:p>
    <w:p>
      <w:pPr>
        <w:spacing w:line="600" w:lineRule="exact"/>
        <w:ind w:firstLine="640"/>
        <w:outlineLvl w:val="2"/>
        <w:rPr>
          <w:rFonts w:ascii="仿宋" w:eastAsia="仿宋"/>
          <w:b/>
          <w:sz w:val="32"/>
          <w:szCs w:val="32"/>
        </w:rPr>
      </w:pPr>
      <w:bookmarkStart w:id="40" w:name="_Toc15377216"/>
      <w:r>
        <w:rPr>
          <w:rFonts w:ascii="仿宋" w:eastAsia="仿宋" w:hint="eastAsia"/>
          <w:b/>
          <w:sz w:val="32"/>
          <w:szCs w:val="32"/>
        </w:rPr>
        <w:t>（一）“三公”经费财政拨款支出决算总体情况说明</w:t>
      </w:r>
      <w:bookmarkEnd w:id="40"/>
    </w:p>
    <w:p>
      <w:pPr>
        <w:pStyle w:val="32"/>
        <w:widowControl w:val="0"/>
        <w:autoSpaceDN w:val="0"/>
        <w:adjustRightInd w:val="0"/>
        <w:snapToGrid w:val="0"/>
        <w:spacing w:beforeAutospacing="0" w:afterAutospacing="0" w:line="600" w:lineRule="exact"/>
        <w:ind w:firstLineChars="208" w:firstLine="666"/>
        <w:jc w:val="both"/>
        <w:outlineLvl w:val="2"/>
        <w:rPr>
          <w:rFonts w:ascii="仿宋_GB2312" w:eastAsia="仿宋_GB2312"/>
          <w:bCs/>
          <w:color w:val="000000"/>
          <w:sz w:val="32"/>
          <w:szCs w:val="32"/>
        </w:rPr>
      </w:pPr>
      <w:r>
        <w:rPr>
          <w:rFonts w:ascii="仿宋_GB2312" w:eastAsia="仿宋_GB2312"/>
          <w:sz w:val="32"/>
          <w:szCs w:val="32"/>
        </w:rPr>
        <w:t>2024年“三公”经费财政拨款支出决算为0万元，完成预算0%，</w:t>
      </w:r>
      <w:bookmarkStart w:id="41" w:name="_Toc15377217"/>
      <w:r>
        <w:rPr>
          <w:rFonts w:ascii="仿宋_GB2312" w:eastAsia="仿宋_GB2312"/>
          <w:bCs/>
          <w:color w:val="000000"/>
          <w:sz w:val="32"/>
          <w:szCs w:val="32"/>
        </w:rPr>
        <w:t>决算与2023预算数持平。</w:t>
      </w:r>
    </w:p>
    <w:p>
      <w:pPr>
        <w:spacing w:line="600" w:lineRule="exact"/>
        <w:ind w:firstLine="640"/>
        <w:rPr>
          <w:rFonts w:ascii="仿宋" w:eastAsia="仿宋"/>
          <w:b/>
          <w:sz w:val="32"/>
          <w:szCs w:val="32"/>
        </w:rPr>
      </w:pPr>
      <w:r>
        <w:rPr>
          <w:rFonts w:ascii="仿宋" w:eastAsia="仿宋" w:hint="eastAsia"/>
          <w:b/>
          <w:sz w:val="32"/>
          <w:szCs w:val="32"/>
        </w:rPr>
        <w:t>（二）“三公”经费财政拨款支出决算具体情况说明</w:t>
      </w:r>
      <w:bookmarkEnd w:id="41"/>
    </w:p>
    <w:p>
      <w:pPr>
        <w:spacing w:line="60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24年“三公”经费财政拨款支出决算中，因公出国（境）费支出决算0万元，占0</w:t>
      </w:r>
      <w:r>
        <w:rPr>
          <w:rFonts w:ascii="仿宋" w:eastAsia="仿宋"/>
          <w:sz w:val="32"/>
          <w:szCs w:val="32"/>
        </w:rPr>
        <w:t>%</w:t>
      </w:r>
      <w:r>
        <w:rPr>
          <w:rFonts w:ascii="仿宋" w:eastAsia="仿宋" w:hint="eastAsia"/>
          <w:sz w:val="32"/>
          <w:szCs w:val="32"/>
        </w:rPr>
        <w:t>；公务用车购置及运行维护费支出决算0万元，占0</w:t>
      </w:r>
      <w:r>
        <w:rPr>
          <w:rFonts w:ascii="仿宋" w:eastAsia="仿宋"/>
          <w:sz w:val="32"/>
          <w:szCs w:val="32"/>
        </w:rPr>
        <w:t>%</w:t>
      </w:r>
      <w:r>
        <w:rPr>
          <w:rFonts w:ascii="仿宋" w:eastAsia="仿宋" w:hint="eastAsia"/>
          <w:sz w:val="32"/>
          <w:szCs w:val="32"/>
        </w:rPr>
        <w:t>；公务接待费支出决算0万元，占0</w:t>
      </w:r>
      <w:r>
        <w:rPr>
          <w:rFonts w:ascii="仿宋" w:eastAsia="仿宋"/>
          <w:sz w:val="32"/>
          <w:szCs w:val="32"/>
        </w:rPr>
        <w:t>%</w:t>
      </w:r>
      <w:r>
        <w:rPr>
          <w:rFonts w:ascii="仿宋" w:eastAsia="仿宋" w:hint="eastAsia"/>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22"/>
          <w:rFonts w:ascii="仿宋" w:eastAsia="仿宋" w:hint="eastAsia"/>
          <w:b w:val="0"/>
          <w:bCs/>
          <w:sz w:val="32"/>
          <w:szCs w:val="32"/>
        </w:rPr>
        <w:t>完成预算0</w:t>
      </w:r>
      <w:r>
        <w:rPr>
          <w:rStyle w:val="22"/>
          <w:rFonts w:ascii="仿宋" w:eastAsia="仿宋"/>
          <w:b w:val="0"/>
          <w:bCs/>
          <w:sz w:val="32"/>
          <w:szCs w:val="32"/>
        </w:rPr>
        <w:t>%</w:t>
      </w:r>
      <w:r>
        <w:rPr>
          <w:rStyle w:val="22"/>
          <w:rFonts w:ascii="仿宋" w:eastAsia="仿宋" w:hint="eastAsia"/>
          <w:b w:val="0"/>
          <w:bCs/>
          <w:sz w:val="32"/>
          <w:szCs w:val="32"/>
        </w:rPr>
        <w:t>。</w:t>
      </w:r>
      <w:r>
        <w:rPr>
          <w:rFonts w:ascii="仿宋_GB2312" w:eastAsia="仿宋_GB2312" w:hint="eastAsia"/>
          <w:sz w:val="32"/>
          <w:szCs w:val="32"/>
        </w:rPr>
        <w:t>全年安排因公出国（境）团组0次，出国（境）0人。因公出国（境）支出决算与2023年持平。</w:t>
      </w:r>
    </w:p>
    <w:p>
      <w:pPr>
        <w:spacing w:line="600" w:lineRule="exact"/>
        <w:ind w:firstLine="640"/>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公</w:t>
      </w:r>
      <w:r>
        <w:rPr>
          <w:rFonts w:ascii="仿宋_GB2312" w:eastAsia="仿宋_GB2312" w:hint="eastAsia"/>
          <w:sz w:val="32"/>
          <w:szCs w:val="32"/>
        </w:rPr>
        <w:t>务用车购置及运行维护费支出0万元,完成预算0</w:t>
      </w:r>
      <w:r>
        <w:rPr>
          <w:rFonts w:ascii="仿宋_GB2312" w:eastAsia="仿宋_GB2312"/>
          <w:sz w:val="32"/>
          <w:szCs w:val="32"/>
        </w:rPr>
        <w:t>%</w:t>
      </w:r>
      <w:r>
        <w:rPr>
          <w:rFonts w:ascii="仿宋_GB2312" w:eastAsia="仿宋_GB2312" w:hint="eastAsia"/>
          <w:sz w:val="32"/>
          <w:szCs w:val="32"/>
        </w:rPr>
        <w:t>。公务用车购置及运行维护费支出决算与</w:t>
      </w:r>
      <w:r>
        <w:rPr>
          <w:rFonts w:ascii="仿宋_GB2312" w:eastAsia="仿宋_GB2312"/>
          <w:sz w:val="32"/>
          <w:szCs w:val="32"/>
        </w:rPr>
        <w:t>20</w:t>
      </w:r>
      <w:r>
        <w:rPr>
          <w:rFonts w:ascii="仿宋_GB2312" w:eastAsia="仿宋_GB2312" w:hint="eastAsia"/>
          <w:sz w:val="32"/>
          <w:szCs w:val="32"/>
        </w:rPr>
        <w:t>23持平。</w:t>
      </w:r>
    </w:p>
    <w:p>
      <w:pPr>
        <w:spacing w:line="600" w:lineRule="exact"/>
        <w:ind w:firstLineChars="200" w:firstLine="420"/>
        <w:rPr>
          <w:rFonts w:ascii="仿宋_GB2312" w:eastAsia="仿宋_GB2312"/>
          <w:b/>
          <w:sz w:val="32"/>
          <w:szCs w:val="32"/>
        </w:rPr>
      </w:pPr>
      <w:r>
        <w:rPr>
          <w:rFonts w:hint="eastAsia"/>
        </w:rPr>
        <w:t xml:space="preserve">  </w:t>
      </w: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ascii="仿宋_GB2312" w:eastAsia="仿宋_GB2312" w:hint="eastAsia"/>
          <w:sz w:val="32"/>
          <w:szCs w:val="32"/>
        </w:rPr>
        <w:t>24年</w:t>
      </w:r>
      <w:r>
        <w:rPr>
          <w:rFonts w:ascii="仿宋_GB2312" w:eastAsia="仿宋_GB2312"/>
          <w:sz w:val="32"/>
          <w:szCs w:val="32"/>
        </w:rPr>
        <w:t>12</w:t>
      </w:r>
      <w:r>
        <w:rPr>
          <w:rFonts w:ascii="仿宋_GB2312" w:eastAsia="仿宋_GB2312" w:hint="eastAsia"/>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sz w:val="32"/>
          <w:szCs w:val="32"/>
        </w:rPr>
        <w:t>公务接待费支出0万元，完成预算0</w:t>
      </w:r>
      <w:r>
        <w:rPr>
          <w:rFonts w:ascii="仿宋_GB2312" w:eastAsia="仿宋_GB2312"/>
          <w:sz w:val="32"/>
          <w:szCs w:val="32"/>
        </w:rPr>
        <w:t>%</w:t>
      </w:r>
      <w:r>
        <w:rPr>
          <w:rFonts w:ascii="仿宋_GB2312" w:eastAsia="仿宋_GB2312" w:hint="eastAsia"/>
          <w:sz w:val="32"/>
          <w:szCs w:val="32"/>
        </w:rPr>
        <w:t>。公务接待费支出决算与</w:t>
      </w:r>
      <w:r>
        <w:rPr>
          <w:rFonts w:ascii="仿宋_GB2312" w:eastAsia="仿宋_GB2312"/>
          <w:sz w:val="32"/>
          <w:szCs w:val="32"/>
        </w:rPr>
        <w:t>20</w:t>
      </w:r>
      <w:r>
        <w:rPr>
          <w:rFonts w:ascii="仿宋_GB2312" w:eastAsia="仿宋_GB2312" w:hint="eastAsia"/>
          <w:sz w:val="32"/>
          <w:szCs w:val="32"/>
        </w:rPr>
        <w:t>23持平。其中：</w:t>
      </w:r>
    </w:p>
    <w:p>
      <w:pPr>
        <w:spacing w:line="600" w:lineRule="exact"/>
        <w:ind w:firstLine="640"/>
        <w:rPr>
          <w:rFonts w:ascii="仿宋_GB2312" w:eastAsia="仿宋_GB2312"/>
          <w:sz w:val="32"/>
          <w:szCs w:val="32"/>
        </w:rPr>
      </w:pPr>
      <w:r>
        <w:rPr>
          <w:rFonts w:ascii="仿宋" w:eastAsia="仿宋" w:hint="eastAsia"/>
          <w:b/>
          <w:sz w:val="32"/>
          <w:szCs w:val="32"/>
        </w:rPr>
        <w:t>国内公务接待支出</w:t>
      </w:r>
      <w:r>
        <w:rPr>
          <w:rFonts w:ascii="仿宋_GB2312" w:eastAsia="仿宋_GB2312" w:hint="eastAsia"/>
          <w:sz w:val="32"/>
          <w:szCs w:val="32"/>
        </w:rPr>
        <w:t>0万元。国内公务接待0批次，0人次（不包括陪同人员），共计支出0万元。</w:t>
      </w:r>
      <w:r>
        <w:rPr>
          <w:rFonts w:ascii="仿宋_GB2312" w:eastAsia="仿宋_GB2312"/>
          <w:sz w:val="32"/>
          <w:szCs w:val="32"/>
        </w:rPr>
        <w:t xml:space="preserve"> </w:t>
      </w:r>
    </w:p>
    <w:p>
      <w:pPr>
        <w:spacing w:line="600" w:lineRule="exact"/>
        <w:ind w:firstLineChars="200" w:firstLine="640"/>
        <w:rPr>
          <w:rFonts w:ascii="仿宋_GB2312" w:eastAsia="仿宋_GB2312"/>
          <w:sz w:val="32"/>
          <w:szCs w:val="32"/>
        </w:rPr>
      </w:pPr>
      <w:r>
        <w:rPr>
          <w:rFonts w:ascii="仿宋" w:eastAsia="仿宋" w:hint="eastAsia"/>
          <w:b/>
          <w:sz w:val="32"/>
          <w:szCs w:val="32"/>
        </w:rPr>
        <w:t>外事接待支出</w:t>
      </w:r>
      <w:r>
        <w:rPr>
          <w:rFonts w:ascii="仿宋_GB2312" w:eastAsia="仿宋_GB2312" w:hint="eastAsia"/>
          <w:sz w:val="32"/>
          <w:szCs w:val="32"/>
        </w:rPr>
        <w:t>0万元。外事接待0批次，0人次（不包括陪同人员），共计支出0万元。</w:t>
      </w:r>
    </w:p>
    <w:p>
      <w:pPr>
        <w:spacing w:line="600" w:lineRule="exact"/>
        <w:rPr>
          <w:rFonts w:ascii="仿宋_GB2312" w:eastAsia="仿宋_GB2312"/>
          <w:sz w:val="32"/>
          <w:szCs w:val="32"/>
        </w:rPr>
      </w:pPr>
    </w:p>
    <w:p>
      <w:pPr>
        <w:spacing w:line="600" w:lineRule="exact"/>
        <w:ind w:firstLine="640"/>
        <w:outlineLvl w:val="1"/>
        <w:rPr>
          <w:rStyle w:val="2Char"/>
          <w:rFonts w:ascii="黑体" w:eastAsia="黑体"/>
        </w:rPr>
      </w:pPr>
      <w:bookmarkStart w:id="42" w:name="_Toc15377218"/>
      <w:bookmarkStart w:id="43" w:name="_Toc15396610"/>
      <w:r>
        <w:rPr>
          <w:rFonts w:ascii="黑体" w:eastAsia="黑体" w:hint="eastAsia"/>
          <w:sz w:val="32"/>
          <w:szCs w:val="32"/>
        </w:rPr>
        <w:t>八、</w:t>
      </w:r>
      <w:r>
        <w:rPr>
          <w:rStyle w:val="2Char"/>
          <w:rFonts w:ascii="黑体" w:eastAsia="黑体" w:hint="eastAsia"/>
          <w:b w:val="0"/>
        </w:rPr>
        <w:t>政府性基金预算支出决算情况说明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24年政府性基金预算财政拨款支出0万元，与</w:t>
      </w:r>
      <w:r>
        <w:rPr>
          <w:rFonts w:ascii="仿宋_GB2312" w:eastAsia="仿宋_GB2312"/>
          <w:sz w:val="32"/>
          <w:szCs w:val="32"/>
        </w:rPr>
        <w:t>20</w:t>
      </w:r>
      <w:r>
        <w:rPr>
          <w:rFonts w:ascii="仿宋_GB2312" w:eastAsia="仿宋_GB2312" w:hint="eastAsia"/>
          <w:sz w:val="32"/>
          <w:szCs w:val="32"/>
        </w:rPr>
        <w:t>23持平。</w:t>
      </w:r>
    </w:p>
    <w:p>
      <w:pPr>
        <w:spacing w:line="600" w:lineRule="exact"/>
        <w:ind w:firstLine="640"/>
        <w:rPr>
          <w:rFonts w:ascii="仿宋_GB2312" w:eastAsia="仿宋_GB2312"/>
          <w:sz w:val="32"/>
          <w:szCs w:val="32"/>
        </w:rPr>
      </w:pPr>
    </w:p>
    <w:p>
      <w:pPr>
        <w:numPr>
          <w:ilvl w:val="0"/>
          <w:numId w:val="2"/>
        </w:numPr>
        <w:spacing w:line="600" w:lineRule="exact"/>
        <w:ind w:left="0" w:firstLine="640"/>
        <w:outlineLvl w:val="1"/>
        <w:rPr>
          <w:rStyle w:val="2Char"/>
          <w:rFonts w:ascii="黑体" w:eastAsia="黑体"/>
          <w:b w:val="0"/>
        </w:rPr>
      </w:pPr>
      <w:bookmarkStart w:id="44" w:name="_Toc15396611"/>
      <w:bookmarkStart w:id="45" w:name="_Toc15377219"/>
      <w:r>
        <w:rPr>
          <w:rStyle w:val="2Char"/>
          <w:rFonts w:ascii="黑体" w:eastAsia="黑体" w:hint="eastAsia"/>
          <w:b w:val="0"/>
        </w:rPr>
        <w:t>国有资本经营预算支出决算情况说明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24年国有资本经营预算财政拨款支出0万元，与</w:t>
      </w:r>
      <w:r>
        <w:rPr>
          <w:rFonts w:ascii="仿宋_GB2312" w:eastAsia="仿宋_GB2312"/>
          <w:sz w:val="32"/>
          <w:szCs w:val="32"/>
        </w:rPr>
        <w:t>20</w:t>
      </w:r>
      <w:r>
        <w:rPr>
          <w:rFonts w:ascii="仿宋_GB2312" w:eastAsia="仿宋_GB2312" w:hint="eastAsia"/>
          <w:sz w:val="32"/>
          <w:szCs w:val="32"/>
        </w:rPr>
        <w:t>23持平。</w:t>
      </w:r>
    </w:p>
    <w:p>
      <w:pPr>
        <w:spacing w:line="580" w:lineRule="exact"/>
        <w:jc w:val="center"/>
        <w:rPr>
          <w:rFonts w:ascii="方正小标宋简体" w:eastAsia="方正小标宋简体" w:cs="方正小标宋简体"/>
          <w:sz w:val="44"/>
          <w:szCs w:val="44"/>
        </w:rPr>
      </w:pPr>
    </w:p>
    <w:p>
      <w:pPr>
        <w:numPr>
          <w:ilvl w:val="0"/>
          <w:numId w:val="2"/>
        </w:numPr>
        <w:spacing w:line="600" w:lineRule="exact"/>
        <w:ind w:left="0" w:firstLine="640"/>
        <w:outlineLvl w:val="1"/>
        <w:rPr>
          <w:rStyle w:val="2Char"/>
          <w:rFonts w:ascii="黑体" w:eastAsia="黑体"/>
          <w:b w:val="0"/>
        </w:rPr>
      </w:pPr>
      <w:bookmarkStart w:id="46" w:name="_Toc15396612"/>
      <w:bookmarkStart w:id="47" w:name="_Toc15377221"/>
      <w:r>
        <w:rPr>
          <w:rStyle w:val="2Char"/>
          <w:rFonts w:ascii="黑体" w:eastAsia="黑体" w:hint="eastAsia"/>
          <w:b w:val="0"/>
        </w:rPr>
        <w:t>其他重要事项的情况说明</w:t>
      </w:r>
      <w:bookmarkEnd w:id="46"/>
      <w:bookmarkEnd w:id="47"/>
    </w:p>
    <w:p>
      <w:pPr>
        <w:spacing w:line="600" w:lineRule="exact"/>
        <w:ind w:firstLineChars="200" w:firstLine="640"/>
        <w:outlineLvl w:val="2"/>
        <w:rPr>
          <w:rFonts w:ascii="仿宋" w:eastAsia="仿宋"/>
          <w:sz w:val="32"/>
          <w:szCs w:val="32"/>
        </w:rPr>
      </w:pPr>
      <w:bookmarkStart w:id="48" w:name="_Toc15377222"/>
      <w:r>
        <w:rPr>
          <w:rFonts w:ascii="仿宋" w:eastAsia="仿宋" w:hint="eastAsia"/>
          <w:b/>
          <w:sz w:val="32"/>
          <w:szCs w:val="32"/>
        </w:rPr>
        <w:t>（一）机关运行经费支出情况</w:t>
      </w:r>
      <w:bookmarkEnd w:id="48"/>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24年，攀枝花市第四人民医院机关运行经费支出0万元，</w:t>
      </w:r>
      <w:bookmarkStart w:id="49" w:name="_Toc15377223"/>
      <w:r>
        <w:rPr>
          <w:rFonts w:ascii="仿宋_GB2312" w:eastAsia="仿宋_GB2312" w:hint="eastAsia"/>
          <w:sz w:val="32"/>
          <w:szCs w:val="32"/>
        </w:rPr>
        <w:t>与</w:t>
      </w:r>
      <w:r>
        <w:rPr>
          <w:rFonts w:ascii="仿宋_GB2312" w:eastAsia="仿宋_GB2312"/>
          <w:sz w:val="32"/>
          <w:szCs w:val="32"/>
        </w:rPr>
        <w:t>20</w:t>
      </w:r>
      <w:r>
        <w:rPr>
          <w:rFonts w:ascii="仿宋_GB2312" w:eastAsia="仿宋_GB2312" w:hint="eastAsia"/>
          <w:sz w:val="32"/>
          <w:szCs w:val="32"/>
        </w:rPr>
        <w:t>23持平</w:t>
      </w:r>
    </w:p>
    <w:p>
      <w:pPr>
        <w:spacing w:line="600" w:lineRule="exact"/>
        <w:ind w:firstLineChars="200" w:firstLine="640"/>
        <w:rPr>
          <w:rFonts w:ascii="仿宋" w:eastAsia="仿宋"/>
          <w:b/>
          <w:sz w:val="32"/>
          <w:szCs w:val="32"/>
        </w:rPr>
      </w:pPr>
      <w:r>
        <w:rPr>
          <w:rFonts w:ascii="仿宋" w:eastAsia="仿宋" w:hint="eastAsia"/>
          <w:b/>
          <w:sz w:val="32"/>
          <w:szCs w:val="32"/>
        </w:rPr>
        <w:t>（二）政府采购支出情况</w:t>
      </w:r>
      <w:bookmarkEnd w:id="49"/>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24年，攀枝花市第四人民医院政府采购支出总额0万元，其中：政府采购货物支出0.98万元、政府采购工程支出0万元、政府采购服务支出0万元。授予中小企业合同金额0万元，占政府采购支出总额的0</w:t>
      </w:r>
      <w:r>
        <w:rPr>
          <w:rFonts w:ascii="仿宋_GB2312" w:eastAsia="仿宋_GB2312"/>
          <w:sz w:val="32"/>
          <w:szCs w:val="32"/>
        </w:rPr>
        <w:t>%</w:t>
      </w:r>
      <w:r>
        <w:rPr>
          <w:rFonts w:ascii="仿宋_GB2312" w:eastAsia="仿宋_GB2312" w:hint="eastAsia"/>
          <w:sz w:val="32"/>
          <w:szCs w:val="32"/>
        </w:rPr>
        <w:t>，其中：授予小微企业合同金额0万元，占政府采购支出总额的0</w:t>
      </w:r>
      <w:r>
        <w:rPr>
          <w:rFonts w:ascii="仿宋_GB2312" w:eastAsia="仿宋_GB2312"/>
          <w:sz w:val="32"/>
          <w:szCs w:val="32"/>
        </w:rPr>
        <w:t>%</w:t>
      </w:r>
      <w:r>
        <w:rPr>
          <w:rFonts w:ascii="仿宋_GB2312" w:eastAsia="仿宋_GB2312" w:hint="eastAsia"/>
          <w:sz w:val="32"/>
          <w:szCs w:val="32"/>
        </w:rPr>
        <w:t>。</w:t>
      </w:r>
    </w:p>
    <w:p>
      <w:pPr>
        <w:spacing w:line="600" w:lineRule="exact"/>
        <w:ind w:firstLineChars="200" w:firstLine="640"/>
        <w:rPr>
          <w:rFonts w:ascii="仿宋" w:eastAsia="仿宋"/>
          <w:b/>
          <w:sz w:val="32"/>
          <w:szCs w:val="32"/>
        </w:rPr>
      </w:pPr>
    </w:p>
    <w:p>
      <w:pPr>
        <w:autoSpaceDE w:val="0"/>
        <w:autoSpaceDN w:val="0"/>
        <w:adjustRightInd w:val="0"/>
        <w:spacing w:line="600" w:lineRule="exact"/>
        <w:ind w:firstLineChars="200" w:firstLine="640"/>
        <w:jc w:val="left"/>
        <w:outlineLvl w:val="2"/>
        <w:rPr>
          <w:rFonts w:ascii="仿宋" w:eastAsia="仿宋"/>
          <w:b/>
          <w:sz w:val="32"/>
          <w:szCs w:val="32"/>
        </w:rPr>
      </w:pPr>
      <w:bookmarkStart w:id="50" w:name="_Toc15377224"/>
      <w:r>
        <w:rPr>
          <w:rFonts w:ascii="仿宋" w:eastAsia="仿宋" w:hint="eastAsia"/>
          <w:b/>
          <w:sz w:val="32"/>
          <w:szCs w:val="32"/>
        </w:rPr>
        <w:t>（三）国有资产占有使用情况</w:t>
      </w:r>
      <w:bookmarkEnd w:id="50"/>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24年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日，攀枝花市第四人民医院共有车辆11辆，其中：主要领导干部用车0辆、机要通信用车0辆、应急保障用车0辆、特种专用技术用车4辆、其他用车7辆，其他用车主要是用于日常业务及公务出行。单价</w:t>
      </w:r>
      <w:r>
        <w:rPr>
          <w:rFonts w:ascii="仿宋_GB2312" w:eastAsia="仿宋_GB2312"/>
          <w:sz w:val="32"/>
          <w:szCs w:val="32"/>
        </w:rPr>
        <w:t>100</w:t>
      </w:r>
      <w:r>
        <w:rPr>
          <w:rFonts w:ascii="仿宋_GB2312" w:eastAsia="仿宋_GB2312" w:hint="eastAsia"/>
          <w:sz w:val="32"/>
          <w:szCs w:val="32"/>
        </w:rPr>
        <w:t>万元以上专用设备6台（套）。</w:t>
      </w:r>
    </w:p>
    <w:p>
      <w:pPr>
        <w:autoSpaceDE w:val="0"/>
        <w:autoSpaceDN w:val="0"/>
        <w:adjustRightInd w:val="0"/>
        <w:spacing w:line="600" w:lineRule="exact"/>
        <w:ind w:firstLineChars="200" w:firstLine="640"/>
        <w:jc w:val="left"/>
        <w:outlineLvl w:val="2"/>
        <w:rPr>
          <w:rFonts w:ascii="仿宋" w:eastAsia="仿宋"/>
          <w:b/>
          <w:sz w:val="32"/>
          <w:szCs w:val="32"/>
        </w:rPr>
      </w:pPr>
      <w:r>
        <w:rPr>
          <w:rFonts w:ascii="仿宋" w:eastAsia="仿宋" w:hint="eastAsia"/>
          <w:b/>
          <w:sz w:val="32"/>
          <w:szCs w:val="32"/>
        </w:rPr>
        <w:t>（四）预算绩效管理情况</w:t>
      </w:r>
    </w:p>
    <w:p>
      <w:pPr>
        <w:pStyle w:val="15"/>
        <w:spacing w:beforeLines="0" w:before="93"/>
        <w:ind w:firstLineChars="200" w:firstLine="640"/>
        <w:rPr>
          <w:color w:val="000000"/>
          <w:highlight w:val="yellow"/>
        </w:rPr>
      </w:pPr>
      <w:r>
        <w:rPr>
          <w:rFonts w:cs="仿宋_GB2312" w:hint="eastAsia"/>
          <w:color w:val="000000"/>
          <w:sz w:val="32"/>
          <w:szCs w:val="32"/>
        </w:rPr>
        <w:t>根据预算绩效管理要求，本单位在2024年度预算编制阶段，组织对2024年基本养老保险项目（项目名称）等11个项目开展了预算事前绩效评估，对11个项目编制了绩效目标，预算执行过程中，选取11个项目开展绩效监控，组织对11个项目开展绩效自评，绩效自评表详见第四部分附件。</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left="0" w:firstLineChars="150" w:firstLine="660"/>
        <w:jc w:val="center"/>
        <w:outlineLvl w:val="0"/>
        <w:rPr>
          <w:rStyle w:val="1Char"/>
          <w:rFonts w:ascii="黑体" w:eastAsia="黑体"/>
          <w:b w:val="0"/>
        </w:rPr>
      </w:pPr>
      <w:bookmarkStart w:id="51" w:name="_Toc15377225"/>
      <w:bookmarkStart w:id="52" w:name="_Toc15396613"/>
      <w:r>
        <w:rPr>
          <w:rFonts w:ascii="黑体" w:eastAsia="黑体" w:hint="eastAsia"/>
          <w:sz w:val="44"/>
          <w:szCs w:val="44"/>
        </w:rPr>
        <w:t>名</w:t>
      </w:r>
      <w:r>
        <w:rPr>
          <w:rStyle w:val="1Char"/>
          <w:rFonts w:ascii="黑体" w:eastAsia="黑体" w:hint="eastAsia"/>
          <w:b w:val="0"/>
        </w:rPr>
        <w:t>词解释</w:t>
      </w:r>
      <w:bookmarkEnd w:id="51"/>
      <w:bookmarkEnd w:id="52"/>
    </w:p>
    <w:p>
      <w:pPr>
        <w:spacing w:line="600" w:lineRule="exact"/>
        <w:jc w:val="left"/>
        <w:rPr>
          <w:rFonts w:ascii="宋体"/>
          <w:b/>
          <w:sz w:val="44"/>
          <w:szCs w:val="44"/>
        </w:rPr>
      </w:pPr>
    </w:p>
    <w:p>
      <w:pPr>
        <w:pStyle w:val="27"/>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其他收入：指单位取得的除上述收入以外的各项收入。主要是洗涤中心、财产物资盘盈收入等。</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人力资源事务（款）其他人力资源事务支出（项）：指反映除行政运行、一般行政管理事务、机关服务、政府特殊津贴、资助留学回国人员、博士后日常经费、引进人才费用、事业运行以外的其他人力资源事务方面的支出。</w:t>
      </w:r>
    </w:p>
    <w:p>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一般公共服务（类）组织事务（款）其他组织事务支出（项）：指除行政运行、一般行政管理事务、机关服务、公务员事务、事业运行外的用于中国共产党组织部门的事务支出。</w:t>
      </w:r>
    </w:p>
    <w:p>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社会保障和就业（类）行政事业单位养老支出（款）事业单位离退休（项）：指实行归口管理的事业单位开支的离退休经费。</w:t>
      </w:r>
    </w:p>
    <w:p>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社会保障和就业（类）抚恤（款）死亡抚恤（项）：指按规定用于烈士和牺牲、病故人员家属的一次性和定期抚恤金以及丧葬补助费。</w:t>
      </w:r>
    </w:p>
    <w:p>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社会保障和就业（类）其他社会保障和就业支出（款）其他社会保障和就业支出（项）：指除人力资源和社会保障管理事务、民政管理事务、补充全国社会保障基金、行政事业单位离退休、企业改革补助、就业补助、抚恤、退役安置、社会福利、残疾人事业、红十字事业、最低生活保障、临时救助、特困人员救助供养、补充道路交通事故社会救助基金、其他生活救助、财政对基本养老保险基金的补助、财政对其他社会保险基金、退役军人管理事务外的用于社会保障和就业方面的支出。</w:t>
      </w:r>
    </w:p>
    <w:p>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卫生健康支出（类）公立医院（款）传染病（项）：指反映卫生健康部门所属传染病医院的支出</w:t>
      </w:r>
      <w:r>
        <w:rPr>
          <w:rFonts w:ascii="仿宋_GB2312" w:eastAsia="仿宋_GB2312"/>
          <w:color w:val="000000"/>
          <w:sz w:val="32"/>
          <w:szCs w:val="32"/>
        </w:rPr>
        <w:t>。</w:t>
      </w:r>
    </w:p>
    <w:p>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卫生健康支出（类）公共卫生（款）基本公共卫生服务（项）：指反映基本公共卫生支出</w:t>
      </w:r>
      <w:r>
        <w:rPr>
          <w:rFonts w:ascii="仿宋_GB2312" w:eastAsia="仿宋_GB2312"/>
          <w:color w:val="000000"/>
          <w:sz w:val="32"/>
          <w:szCs w:val="32"/>
        </w:rPr>
        <w:t>。</w:t>
      </w:r>
    </w:p>
    <w:p>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卫生健康支出（类）公共卫生（款）重大公共卫生服务（项）：指反映重大疾病预防控制等重大公共卫生服务项目支出</w:t>
      </w:r>
      <w:r>
        <w:rPr>
          <w:rFonts w:ascii="仿宋_GB2312" w:eastAsia="仿宋_GB2312"/>
          <w:color w:val="000000"/>
          <w:sz w:val="32"/>
          <w:szCs w:val="32"/>
        </w:rPr>
        <w:t>。</w:t>
      </w:r>
    </w:p>
    <w:p>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卫生健康支出（类）公共卫生（款）突发公共卫生事件应急处理（项）：指反映用于突发公共卫生事件应急处理支出</w:t>
      </w:r>
      <w:r>
        <w:rPr>
          <w:rFonts w:ascii="仿宋_GB2312" w:eastAsia="仿宋_GB2312"/>
          <w:color w:val="000000"/>
          <w:sz w:val="32"/>
          <w:szCs w:val="32"/>
        </w:rPr>
        <w:t>。</w:t>
      </w:r>
    </w:p>
    <w:p>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卫生健康支出（类）其他卫生健康支出（款）其他卫生健康支出（项）：指除卫生健康管理事务、公立医院、基层医疗卫生机构、公共卫生、中医药、计划生育事务、行政事业单位医疗、财政对基本医疗保险基金的补助、医疗救助、优抚对象医疗、医疗保障管理事务、行政运行、老龄卫生健康事务以外的其他用于卫生健康方面的支出。</w:t>
      </w:r>
    </w:p>
    <w:p>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城乡社区（类）国有土地使用权出让收入安排的支出（款）土地开发支出（项）：反映新疆生产建设兵团和地方政府用于前期土地开发性支出以及前期土地开发相关费用的支出。</w:t>
      </w:r>
    </w:p>
    <w:p>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经营支出：指事业单位在专业业务活动及其辅助活动之外开展非独立核算经营活动发生的支出。</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23.</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24.</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基本支出：指为保障机构正常运转、完成日常工作任务而发生的人员支出和公用支出。</w:t>
      </w:r>
    </w:p>
    <w:p>
      <w:pPr>
        <w:ind w:firstLineChars="200" w:firstLine="640"/>
        <w:rPr>
          <w:rFonts w:ascii="仿宋_GB2312" w:eastAsia="仿宋_GB2312"/>
          <w:sz w:val="32"/>
          <w:szCs w:val="32"/>
        </w:rPr>
      </w:pPr>
      <w:r>
        <w:rPr>
          <w:rFonts w:ascii="仿宋_GB2312" w:eastAsia="仿宋_GB2312"/>
          <w:sz w:val="32"/>
          <w:szCs w:val="32"/>
        </w:rPr>
        <w:t>28.</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Chars="200" w:firstLine="640"/>
        <w:rPr>
          <w:rFonts w:ascii="仿宋_GB2312" w:eastAsia="仿宋_GB2312"/>
          <w:sz w:val="32"/>
          <w:szCs w:val="32"/>
        </w:rPr>
      </w:pPr>
      <w:r>
        <w:rPr>
          <w:rFonts w:ascii="仿宋_GB2312" w:eastAsia="仿宋_GB2312"/>
          <w:sz w:val="32"/>
          <w:szCs w:val="32"/>
        </w:rPr>
        <w:t>29.</w:t>
      </w:r>
      <w:r>
        <w:rPr>
          <w:rFonts w:ascii="仿宋_GB2312" w:eastAsia="仿宋_GB2312" w:hint="eastAsia"/>
          <w:sz w:val="32"/>
          <w:szCs w:val="32"/>
        </w:rPr>
        <w:t>经营支出：指事业单位在专业业务活动及其辅助活动之外开展非独立核算经营活动发生的支出。</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30.</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31.</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Char"/>
          <w:rFonts w:ascii="黑体" w:eastAsia="黑体"/>
          <w:b w:val="0"/>
        </w:rPr>
      </w:pPr>
      <w:bookmarkStart w:id="53" w:name="_Toc15377226"/>
      <w:r>
        <w:rPr>
          <w:rFonts w:ascii="宋体"/>
          <w:b/>
          <w:sz w:val="44"/>
          <w:szCs w:val="44"/>
        </w:rPr>
        <w:br w:type="page"/>
      </w:r>
      <w:bookmarkStart w:id="54" w:name="_Toc15396614"/>
      <w:r>
        <w:rPr>
          <w:rFonts w:ascii="黑体" w:eastAsia="黑体" w:hint="eastAsia"/>
          <w:sz w:val="44"/>
          <w:szCs w:val="44"/>
        </w:rPr>
        <w:t>第</w:t>
      </w:r>
      <w:r>
        <w:rPr>
          <w:rStyle w:val="1Char"/>
          <w:rFonts w:ascii="黑体" w:eastAsia="黑体" w:hint="eastAsia"/>
          <w:b w:val="0"/>
        </w:rPr>
        <w:t>四部分 附件</w:t>
      </w:r>
      <w:bookmarkEnd w:id="54"/>
    </w:p>
    <w:p>
      <w:pPr>
        <w:spacing w:line="572" w:lineRule="exact"/>
        <w:jc w:val="left"/>
        <w:outlineLvl w:val="0"/>
        <w:rPr>
          <w:rFonts w:ascii="仿宋_GB2312" w:eastAsia="仿宋_GB2312" w:cs="仿宋_GB2312" w:hint="eastAsia"/>
          <w:sz w:val="32"/>
          <w:szCs w:val="32"/>
        </w:rPr>
      </w:pPr>
    </w:p>
    <w:p>
      <w:pPr>
        <w:pStyle w:val="15"/>
        <w:spacing w:beforeLines="0" w:before="93"/>
        <w:rPr>
          <w:rFonts w:ascii="宋体" w:cs="宋体" w:hAnsi="宋体" w:hint="eastAsia"/>
          <w:sz w:val="32"/>
          <w:szCs w:val="32"/>
        </w:rPr>
      </w:pPr>
      <w:r>
        <w:rPr>
          <w:rFonts w:ascii="宋体" w:cs="宋体" w:hAnsi="宋体" w:hint="eastAsia"/>
          <w:sz w:val="32"/>
          <w:szCs w:val="32"/>
        </w:rPr>
        <w:t>附件1</w:t>
      </w:r>
    </w:p>
    <w:p>
      <w:pPr>
        <w:pStyle w:val="15"/>
        <w:spacing w:beforeLines="0" w:before="93"/>
      </w:pPr>
    </w:p>
    <w:p>
      <w:pPr>
        <w:spacing w:line="600" w:lineRule="exact"/>
        <w:ind w:firstLineChars="200" w:firstLine="640"/>
        <w:outlineLvl w:val="0"/>
        <w:rPr>
          <w:rFonts w:ascii="宋体" w:cs="宋体"/>
          <w:kern w:val="0"/>
          <w:sz w:val="32"/>
          <w:szCs w:val="32"/>
        </w:rPr>
      </w:pPr>
      <w:bookmarkStart w:id="55" w:name="_Toc15396618"/>
      <w:r>
        <w:rPr>
          <w:rFonts w:ascii="宋体" w:cs="宋体" w:hint="eastAsia"/>
          <w:kern w:val="0"/>
          <w:sz w:val="32"/>
          <w:szCs w:val="32"/>
        </w:rPr>
        <w:t>附件:部门预算项目支出绩效自评表（2024年度）</w:t>
      </w: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pStyle w:val="15"/>
        <w:spacing w:beforeLines="0" w:before="93"/>
        <w:rPr>
          <w:rFonts w:cs="仿宋"/>
          <w:sz w:val="32"/>
          <w:szCs w:val="32"/>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黑体" w:eastAsia="黑体"/>
          <w:sz w:val="44"/>
          <w:szCs w:val="44"/>
        </w:rPr>
      </w:pPr>
    </w:p>
    <w:p>
      <w:pPr>
        <w:spacing w:line="600" w:lineRule="exact"/>
        <w:jc w:val="center"/>
        <w:outlineLvl w:val="0"/>
        <w:rPr>
          <w:rFonts w:ascii="仿宋" w:eastAsia="仿宋"/>
        </w:rPr>
      </w:pPr>
      <w:r>
        <w:rPr>
          <w:rFonts w:ascii="黑体" w:eastAsia="黑体" w:hint="eastAsia"/>
          <w:sz w:val="44"/>
          <w:szCs w:val="44"/>
        </w:rPr>
        <w:t>第</w:t>
      </w:r>
      <w:r>
        <w:rPr>
          <w:rStyle w:val="1Char"/>
          <w:rFonts w:ascii="黑体" w:eastAsia="黑体" w:hint="eastAsia"/>
          <w:b w:val="0"/>
        </w:rPr>
        <w:t>五部分 附表</w:t>
      </w:r>
      <w:bookmarkStart w:id="56" w:name="_Toc15396619"/>
      <w:bookmarkEnd w:id="53"/>
      <w:bookmarkEnd w:id="55"/>
    </w:p>
    <w:p>
      <w:pPr>
        <w:pStyle w:val="2"/>
        <w:rPr>
          <w:rFonts w:ascii="仿宋" w:eastAsia="仿宋"/>
        </w:rPr>
      </w:pPr>
      <w:r>
        <w:rPr>
          <w:rFonts w:ascii="仿宋" w:eastAsia="仿宋" w:hint="eastAsia"/>
          <w:b w:val="0"/>
        </w:rPr>
        <w:t>一、收</w:t>
      </w:r>
      <w:r>
        <w:rPr>
          <w:rStyle w:val="2Char"/>
          <w:rFonts w:ascii="仿宋" w:eastAsia="仿宋" w:hint="eastAsia"/>
        </w:rPr>
        <w:t>入支出决算总表</w:t>
      </w:r>
      <w:bookmarkEnd w:id="56"/>
    </w:p>
    <w:p>
      <w:pPr>
        <w:pStyle w:val="2"/>
        <w:rPr>
          <w:rFonts w:ascii="仿宋" w:eastAsia="仿宋"/>
        </w:rPr>
      </w:pPr>
      <w:bookmarkStart w:id="57" w:name="_Toc15396620"/>
      <w:r>
        <w:rPr>
          <w:rFonts w:ascii="仿宋" w:eastAsia="仿宋" w:hint="eastAsia"/>
          <w:b w:val="0"/>
        </w:rPr>
        <w:t>二、收</w:t>
      </w:r>
      <w:r>
        <w:rPr>
          <w:rStyle w:val="2Char"/>
          <w:rFonts w:ascii="仿宋" w:eastAsia="仿宋" w:hint="eastAsia"/>
        </w:rPr>
        <w:t>入决算表</w:t>
      </w:r>
      <w:bookmarkEnd w:id="57"/>
    </w:p>
    <w:p>
      <w:pPr>
        <w:pStyle w:val="2"/>
        <w:rPr>
          <w:rFonts w:ascii="仿宋" w:eastAsia="仿宋"/>
        </w:rPr>
      </w:pPr>
      <w:bookmarkStart w:id="58" w:name="_Toc15396621"/>
      <w:r>
        <w:rPr>
          <w:rStyle w:val="2Char"/>
          <w:rFonts w:ascii="仿宋" w:eastAsia="仿宋" w:hint="eastAsia"/>
        </w:rPr>
        <w:t>三、</w:t>
      </w:r>
      <w:r>
        <w:rPr>
          <w:rFonts w:ascii="仿宋" w:eastAsia="仿宋" w:hint="eastAsia"/>
          <w:b w:val="0"/>
        </w:rPr>
        <w:t>支</w:t>
      </w:r>
      <w:r>
        <w:rPr>
          <w:rStyle w:val="2Char"/>
          <w:rFonts w:ascii="仿宋" w:eastAsia="仿宋" w:hint="eastAsia"/>
        </w:rPr>
        <w:t>出决算表</w:t>
      </w:r>
      <w:bookmarkEnd w:id="58"/>
    </w:p>
    <w:p>
      <w:pPr>
        <w:pStyle w:val="2"/>
        <w:rPr>
          <w:rFonts w:ascii="仿宋" w:eastAsia="仿宋"/>
          <w:b w:val="0"/>
        </w:rPr>
      </w:pPr>
      <w:bookmarkStart w:id="59" w:name="_Toc15396622"/>
      <w:r>
        <w:rPr>
          <w:rStyle w:val="2Char"/>
          <w:rFonts w:ascii="仿宋" w:eastAsia="仿宋" w:hint="eastAsia"/>
        </w:rPr>
        <w:t>四、</w:t>
      </w:r>
      <w:r>
        <w:rPr>
          <w:rFonts w:ascii="仿宋" w:eastAsia="仿宋" w:hint="eastAsia"/>
          <w:b w:val="0"/>
        </w:rPr>
        <w:t>财</w:t>
      </w:r>
      <w:r>
        <w:rPr>
          <w:rStyle w:val="2Char"/>
          <w:rFonts w:ascii="仿宋" w:eastAsia="仿宋" w:hint="eastAsia"/>
        </w:rPr>
        <w:t>政拨款收入支出决算总表</w:t>
      </w:r>
      <w:bookmarkEnd w:id="59"/>
    </w:p>
    <w:p>
      <w:pPr>
        <w:pStyle w:val="2"/>
        <w:rPr>
          <w:rStyle w:val="2Char"/>
          <w:rFonts w:ascii="仿宋" w:eastAsia="仿宋"/>
        </w:rPr>
      </w:pPr>
      <w:bookmarkStart w:id="60" w:name="_Toc15396623"/>
      <w:r>
        <w:rPr>
          <w:rStyle w:val="2Char"/>
          <w:rFonts w:ascii="仿宋" w:eastAsia="仿宋" w:hint="eastAsia"/>
        </w:rPr>
        <w:t>五、</w:t>
      </w:r>
      <w:r>
        <w:rPr>
          <w:rFonts w:ascii="仿宋" w:eastAsia="仿宋" w:hint="eastAsia"/>
          <w:b w:val="0"/>
        </w:rPr>
        <w:t>财</w:t>
      </w:r>
      <w:r>
        <w:rPr>
          <w:rStyle w:val="2Char"/>
          <w:rFonts w:ascii="仿宋" w:eastAsia="仿宋" w:hint="eastAsia"/>
        </w:rPr>
        <w:t>政拨款支出决算明细表</w:t>
      </w:r>
      <w:bookmarkStart w:id="61" w:name="_Toc15396624"/>
      <w:bookmarkEnd w:id="60"/>
    </w:p>
    <w:p>
      <w:pPr>
        <w:pStyle w:val="2"/>
        <w:rPr>
          <w:rFonts w:ascii="仿宋" w:eastAsia="仿宋"/>
        </w:rPr>
      </w:pPr>
      <w:r>
        <w:rPr>
          <w:rStyle w:val="2Char"/>
          <w:rFonts w:ascii="仿宋" w:eastAsia="仿宋" w:hint="eastAsia"/>
        </w:rPr>
        <w:t>六、</w:t>
      </w:r>
      <w:r>
        <w:rPr>
          <w:rFonts w:ascii="仿宋" w:eastAsia="仿宋" w:hint="eastAsia"/>
          <w:b w:val="0"/>
        </w:rPr>
        <w:t>一</w:t>
      </w:r>
      <w:r>
        <w:rPr>
          <w:rStyle w:val="2Char"/>
          <w:rFonts w:ascii="仿宋" w:eastAsia="仿宋" w:hint="eastAsia"/>
        </w:rPr>
        <w:t>般公共预算财政拨款支出决算表</w:t>
      </w:r>
      <w:bookmarkEnd w:id="61"/>
    </w:p>
    <w:p>
      <w:pPr>
        <w:pStyle w:val="2"/>
        <w:rPr>
          <w:rFonts w:ascii="仿宋" w:eastAsia="仿宋"/>
        </w:rPr>
      </w:pPr>
      <w:bookmarkStart w:id="62" w:name="_Toc15396625"/>
      <w:r>
        <w:rPr>
          <w:rStyle w:val="2Char"/>
          <w:rFonts w:ascii="仿宋" w:eastAsia="仿宋" w:hint="eastAsia"/>
        </w:rPr>
        <w:t>七、</w:t>
      </w:r>
      <w:r>
        <w:rPr>
          <w:rFonts w:ascii="仿宋" w:eastAsia="仿宋" w:hint="eastAsia"/>
          <w:b w:val="0"/>
        </w:rPr>
        <w:t>一</w:t>
      </w:r>
      <w:r>
        <w:rPr>
          <w:rStyle w:val="2Char"/>
          <w:rFonts w:ascii="仿宋" w:eastAsia="仿宋" w:hint="eastAsia"/>
        </w:rPr>
        <w:t>般公共预算财政拨款支出决算明细表</w:t>
      </w:r>
      <w:bookmarkEnd w:id="62"/>
    </w:p>
    <w:p>
      <w:pPr>
        <w:pStyle w:val="2"/>
        <w:rPr>
          <w:rFonts w:ascii="仿宋" w:eastAsia="仿宋"/>
        </w:rPr>
      </w:pPr>
      <w:bookmarkStart w:id="63" w:name="_Toc15396626"/>
      <w:r>
        <w:rPr>
          <w:rStyle w:val="2Char"/>
          <w:rFonts w:ascii="仿宋" w:eastAsia="仿宋" w:hint="eastAsia"/>
        </w:rPr>
        <w:t>八、</w:t>
      </w:r>
      <w:r>
        <w:rPr>
          <w:rFonts w:ascii="仿宋" w:eastAsia="仿宋" w:hint="eastAsia"/>
          <w:b w:val="0"/>
        </w:rPr>
        <w:t>一</w:t>
      </w:r>
      <w:r>
        <w:rPr>
          <w:rStyle w:val="2Char"/>
          <w:rFonts w:ascii="仿宋" w:eastAsia="仿宋" w:hint="eastAsia"/>
        </w:rPr>
        <w:t>般公共预算财政拨款基本支出决算表</w:t>
      </w:r>
      <w:bookmarkEnd w:id="63"/>
    </w:p>
    <w:p>
      <w:pPr>
        <w:pStyle w:val="2"/>
        <w:rPr>
          <w:rFonts w:ascii="仿宋" w:eastAsia="仿宋"/>
        </w:rPr>
      </w:pPr>
      <w:bookmarkStart w:id="64" w:name="_Toc15396627"/>
      <w:r>
        <w:rPr>
          <w:rStyle w:val="2Char"/>
          <w:rFonts w:ascii="仿宋" w:eastAsia="仿宋" w:hint="eastAsia"/>
        </w:rPr>
        <w:t>九、</w:t>
      </w:r>
      <w:r>
        <w:rPr>
          <w:rFonts w:ascii="仿宋" w:eastAsia="仿宋" w:hint="eastAsia"/>
          <w:b w:val="0"/>
        </w:rPr>
        <w:t>一</w:t>
      </w:r>
      <w:r>
        <w:rPr>
          <w:rStyle w:val="2Char"/>
          <w:rFonts w:ascii="仿宋" w:eastAsia="仿宋" w:hint="eastAsia"/>
        </w:rPr>
        <w:t>般公共预算财政拨款项目支出决算表</w:t>
      </w:r>
      <w:bookmarkEnd w:id="64"/>
    </w:p>
    <w:p>
      <w:pPr>
        <w:pStyle w:val="2"/>
        <w:rPr>
          <w:rFonts w:ascii="仿宋" w:eastAsia="仿宋"/>
        </w:rPr>
      </w:pPr>
      <w:bookmarkStart w:id="65" w:name="_Toc15396628"/>
      <w:r>
        <w:rPr>
          <w:rStyle w:val="2Char"/>
          <w:rFonts w:ascii="仿宋" w:eastAsia="仿宋" w:hint="eastAsia"/>
        </w:rPr>
        <w:t>十、</w:t>
      </w:r>
      <w:bookmarkEnd w:id="65"/>
      <w:r>
        <w:rPr>
          <w:rFonts w:ascii="仿宋" w:eastAsia="仿宋" w:hint="eastAsia"/>
          <w:b w:val="0"/>
        </w:rPr>
        <w:t>政</w:t>
      </w:r>
      <w:r>
        <w:rPr>
          <w:rStyle w:val="2Char"/>
          <w:rFonts w:ascii="仿宋" w:eastAsia="仿宋" w:hint="eastAsia"/>
        </w:rPr>
        <w:t>府性基金预算财政拨款收入支出决算表（此表无数据）</w:t>
      </w:r>
    </w:p>
    <w:p>
      <w:pPr>
        <w:pStyle w:val="2"/>
        <w:rPr>
          <w:rFonts w:ascii="仿宋" w:eastAsia="仿宋"/>
        </w:rPr>
      </w:pPr>
    </w:p>
    <w:p>
      <w:pPr>
        <w:pStyle w:val="2"/>
        <w:rPr>
          <w:rFonts w:ascii="仿宋" w:eastAsia="仿宋"/>
        </w:rPr>
      </w:pPr>
      <w:bookmarkStart w:id="66" w:name="_Toc15396629"/>
      <w:r>
        <w:rPr>
          <w:rStyle w:val="2Char"/>
          <w:rFonts w:ascii="仿宋" w:eastAsia="仿宋" w:hint="eastAsia"/>
        </w:rPr>
        <w:t>十一、</w:t>
      </w:r>
      <w:bookmarkEnd w:id="66"/>
      <w:r>
        <w:rPr>
          <w:rFonts w:ascii="仿宋" w:eastAsia="仿宋" w:hint="eastAsia"/>
          <w:b w:val="0"/>
        </w:rPr>
        <w:t>国</w:t>
      </w:r>
      <w:r>
        <w:rPr>
          <w:rStyle w:val="2Char"/>
          <w:rFonts w:ascii="仿宋" w:eastAsia="仿宋" w:hint="eastAsia"/>
        </w:rPr>
        <w:t>有资本经营预算财政拨款收入支出决算表（此表无数据）</w:t>
      </w:r>
    </w:p>
    <w:p>
      <w:pPr>
        <w:pStyle w:val="2"/>
        <w:rPr>
          <w:rFonts w:ascii="仿宋" w:eastAsia="仿宋"/>
        </w:rPr>
      </w:pPr>
      <w:bookmarkStart w:id="67" w:name="_Toc15396630"/>
      <w:r>
        <w:rPr>
          <w:rStyle w:val="2Char"/>
          <w:rFonts w:ascii="仿宋" w:eastAsia="仿宋" w:hint="eastAsia"/>
        </w:rPr>
        <w:t>十二、</w:t>
      </w:r>
      <w:bookmarkEnd w:id="67"/>
      <w:r>
        <w:rPr>
          <w:rStyle w:val="2Char"/>
          <w:rFonts w:ascii="仿宋" w:eastAsia="仿宋" w:hint="eastAsia"/>
        </w:rPr>
        <w:t>国有资本经营预算财政拨款支出决算表（此表无数据）</w:t>
      </w:r>
    </w:p>
    <w:p>
      <w:pPr>
        <w:pStyle w:val="2"/>
        <w:rPr>
          <w:rFonts w:ascii="仿宋" w:eastAsia="仿宋"/>
        </w:rPr>
      </w:pPr>
    </w:p>
    <w:p>
      <w:pPr>
        <w:pStyle w:val="2"/>
        <w:rPr>
          <w:rFonts w:ascii="仿宋" w:eastAsia="仿宋"/>
        </w:rPr>
      </w:pPr>
      <w:bookmarkStart w:id="68" w:name="_Toc15396631"/>
      <w:r>
        <w:rPr>
          <w:rStyle w:val="2Char"/>
          <w:rFonts w:ascii="仿宋" w:eastAsia="仿宋" w:hint="eastAsia"/>
        </w:rPr>
        <w:t>十三、</w:t>
      </w:r>
      <w:bookmarkEnd w:id="68"/>
      <w:r>
        <w:rPr>
          <w:rStyle w:val="2Char"/>
          <w:rFonts w:ascii="仿宋" w:eastAsia="仿宋" w:hint="eastAsia"/>
        </w:rPr>
        <w:t>财政拨款“三公”经费支出决算表（此表无数据）</w:t>
      </w:r>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3000509000000000000"/>
    <w:charset w:val="86"/>
    <w:family w:val="auto"/>
    <w:pitch w:val="variable"/>
    <w:sig w:usb0="A00002BF" w:usb1="184F6CFA" w:usb2="00000012"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仿宋">
    <w:altName w:val="Arial Unicode MS"/>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644480726"/>
    </w:sdtPr>
    <w:sdtContent>
      <w:p>
        <w:pPr>
          <w:pStyle w:val="18"/>
          <w:tabs>
            <w:tab w:val="center" w:pos="4153"/>
            <w:tab w:val="right" w:pos="8306"/>
          </w:tabs>
          <w:jc w:val="center"/>
        </w:pPr>
        <w:r>
          <w:fldChar w:fldCharType="begin"/>
        </w:r>
        <w:r>
          <w:instrText>PAGE   \* MERGEFORMAT</w:instrText>
        </w:r>
        <w:r>
          <w:fldChar w:fldCharType="separate"/>
        </w:r>
        <w:r>
          <w:rPr>
            <w:lang w:val="zh-CN"/>
          </w:rPr>
          <w:t>19</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1">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tabs>
          <w:tab w:val="num" w:pos="0"/>
        </w:tabs>
        <w:ind w:left="0" w:hanging="0"/>
      </w:pPr>
      <w:rPr>
        <w:rFonts w:ascii="黑体" w:hAnsi="黑体" w:eastAsia="黑体" w:cs="黑体" w:hint="eastAsia"/>
        <w:sz w:val="44"/>
        <w:szCs w:val="44"/>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0">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1">
    <w:name w:val="正文 + 行距: 固定值 30 磅,首行缩进:  2 字符"/>
    <w:basedOn w:val="0"/>
    <w:pPr>
      <w:spacing w:line="600" w:lineRule="exact"/>
      <w:ind w:firstLineChars="200" w:firstLine="200"/>
    </w:pPr>
    <w:rPr>
      <w:rFonts w:ascii="仿宋_GB2312" w:eastAsia="仿宋_GB2312"/>
      <w:sz w:val="32"/>
      <w:szCs w:val="32"/>
    </w:rPr>
  </w:style>
  <w:style w:type="paragraph" w:styleId="32">
    <w:name w:val="Normal (Web)"/>
    <w:basedOn w:val="0"/>
    <w:pPr>
      <w:widowControl/>
      <w:spacing w:beforeAutospacing="1" w:afterAutospacing="1"/>
      <w:jc w:val="left"/>
    </w:pPr>
    <w:rPr>
      <w:rFonts w:ascii="宋体"/>
      <w:kern w:val="0"/>
      <w:sz w:val="24"/>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14592"/>
          <c:y val="0.1697507"/>
          <c:w val="0.70089585"/>
          <c:h val="0.7094901"/>
        </c:manualLayout>
      </c:layout>
      <c:barChart>
        <c:barDir val="col"/>
        <c:grouping val="clustered"/>
        <c:varyColors val="0"/>
        <c:ser>
          <c:idx val="0"/>
          <c:order val="0"/>
          <c:tx>
            <c:strRef>
              <c:f>'Sheet1'!$B$1</c:f>
              <c:strCache>
                <c:ptCount val="1"/>
                <c:pt idx="0">
                  <c:v>2024</c:v>
                </c:pt>
              </c:strCache>
            </c:strRef>
          </c:tx>
          <c:spPr>
            <a:solidFill>
              <a:srgbClr val="5B9BD5"/>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'Sheet1'!$A$2:$A$3</c:f>
              <c:strCache>
                <c:ptCount val="2"/>
                <c:pt idx="0">
                  <c:v>总收入</c:v>
                </c:pt>
                <c:pt idx="1">
                  <c:v>总支出</c:v>
                </c:pt>
              </c:strCache>
            </c:strRef>
          </c:cat>
          <c:val>
            <c:numRef>
              <c:f>'Sheet1'!$B$2:$B$3</c:f>
              <c:numCache>
                <c:formatCode>General</c:formatCode>
                <c:ptCount val="2"/>
                <c:pt idx="0">
                  <c:v>5119.89</c:v>
                </c:pt>
                <c:pt idx="1">
                  <c:v>5115.89</c:v>
                </c:pt>
              </c:numCache>
            </c:numRef>
          </c:val>
        </c:ser>
        <c:ser>
          <c:idx val="1"/>
          <c:order val="1"/>
          <c:tx>
            <c:strRef>
              <c:f>'Sheet1'!$C$1</c:f>
              <c:strCache>
                <c:ptCount val="1"/>
                <c:pt idx="0">
                  <c:v>2023</c:v>
                </c:pt>
              </c:strCache>
            </c:strRef>
          </c:tx>
          <c:spPr>
            <a:solidFill>
              <a:srgbClr val="ED7D31"/>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'Sheet1'!$A$2:$A$3</c:f>
              <c:strCache>
                <c:ptCount val="2"/>
                <c:pt idx="0">
                  <c:v>总收入</c:v>
                </c:pt>
                <c:pt idx="1">
                  <c:v>总支出</c:v>
                </c:pt>
              </c:strCache>
            </c:strRef>
          </c:cat>
          <c:val>
            <c:numRef>
              <c:f>'Sheet1'!$C$2:$C$3</c:f>
              <c:numCache>
                <c:formatCode>General</c:formatCode>
                <c:ptCount val="2"/>
                <c:pt idx="0">
                  <c:v>6421.82</c:v>
                </c:pt>
                <c:pt idx="1">
                  <c:v>6421.82</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manualLayout>
          <c:xMode val="edge"/>
          <c:yMode val="edge"/>
          <c:x val="0.8520155"/>
          <c:y val="0.42258227"/>
          <c:w val="0.111866005"/>
          <c:h val="0.16606359"/>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收入决算结构图</a:t>
            </a:r>
          </a:p>
        </c:rich>
      </c:tx>
      <c:layout/>
      <c:overlay val="0"/>
      <c:spPr>
        <a:ln>
          <a:noFill/>
        </a:ln>
      </c:spPr>
    </c:title>
    <c:autoTitleDeleted val="1"/>
    <c:plotArea>
      <c:layout/>
      <c:pieChart>
        <c:varyColors val="1"/>
        <c:ser>
          <c:idx val="0"/>
          <c:order val="0"/>
          <c:tx>
            <c:strRef>
              <c:f>'Sheet1 (2)'!$B$1</c:f>
              <c:strCache>
                <c:ptCount val="1"/>
                <c:pt idx="0">
                  <c:v>收入决算结构图</c:v>
                </c:pt>
              </c:strCache>
            </c:strRef>
          </c:tx>
          <c:spPr>
            <a:solidFill>
              <a:srgbClr val="4F81BD"/>
            </a:solidFill>
            <a:ln>
              <a:noFill/>
            </a:ln>
          </c:spPr>
          <c:dPt>
            <c:idx val="0"/>
            <c:bubble3D val="0"/>
            <c:spPr>
              <a:solidFill>
                <a:srgbClr val="C9C9C9"/>
              </a:solidFill>
              <a:ln>
                <a:noFill/>
              </a:ln>
            </c:spPr>
          </c:dPt>
          <c:dPt>
            <c:idx val="1"/>
            <c:bubble3D val="0"/>
            <c:spPr>
              <a:solidFill>
                <a:srgbClr val="C0504D"/>
              </a:solidFill>
              <a:ln>
                <a:noFill/>
              </a:ln>
            </c:spPr>
          </c:dPt>
          <c:dPt>
            <c:idx val="2"/>
            <c:bubble3D val="0"/>
            <c:spPr>
              <a:solidFill>
                <a:srgbClr val="2E75B6"/>
              </a:solidFill>
              <a:ln>
                <a:noFill/>
              </a:ln>
            </c:spPr>
          </c:dPt>
          <c:dPt>
            <c:idx val="3"/>
            <c:bubble3D val="0"/>
            <c:spPr>
              <a:solidFill>
                <a:srgbClr val="8064A2"/>
              </a:solidFill>
              <a:ln>
                <a:noFill/>
              </a:ln>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(2)'!$A$2:$A$5</c:f>
              <c:strCache>
                <c:ptCount val="4"/>
                <c:pt idx="0">
                  <c:v>一般公共预算财政拨款收入</c:v>
                </c:pt>
                <c:pt idx="1">
                  <c:v>政府性基金预算财政拨款收入</c:v>
                </c:pt>
                <c:pt idx="2">
                  <c:v>事业收入</c:v>
                </c:pt>
                <c:pt idx="3">
                  <c:v>其他收入</c:v>
                </c:pt>
              </c:strCache>
            </c:strRef>
          </c:cat>
          <c:val>
            <c:numRef>
              <c:f>'Sheet1 (2)'!$B$2:$B$5</c:f>
              <c:numCache>
                <c:formatCode>General</c:formatCode>
                <c:ptCount val="4"/>
                <c:pt idx="0">
                  <c:v>1369.8</c:v>
                </c:pt>
                <c:pt idx="1">
                  <c:v>0.0</c:v>
                </c:pt>
                <c:pt idx="2">
                  <c:v>1885.25</c:v>
                </c:pt>
                <c:pt idx="3">
                  <c:v>636.8</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支出决算结构图</a:t>
            </a:r>
          </a:p>
        </c:rich>
      </c:tx>
      <c:layout/>
      <c:overlay val="0"/>
      <c:spPr>
        <a:ln>
          <a:noFill/>
        </a:ln>
      </c:spPr>
    </c:title>
    <c:autoTitleDeleted val="1"/>
    <c:plotArea>
      <c:layout/>
      <c:pieChart>
        <c:varyColors val="1"/>
        <c:ser>
          <c:idx val="0"/>
          <c:order val="0"/>
          <c:tx>
            <c:strRef>
              <c:f>'Sheet1 (3)'!$B$1</c:f>
              <c:strCache>
                <c:ptCount val="1"/>
                <c:pt idx="0">
                  <c:v>支出决算结构图</c:v>
                </c:pt>
              </c:strCache>
            </c:strRef>
          </c:tx>
          <c:spPr>
            <a:solidFill>
              <a:srgbClr val="4F81BD"/>
            </a:solidFill>
            <a:ln>
              <a:noFill/>
            </a:ln>
          </c:spPr>
          <c:dPt>
            <c:idx val="0"/>
            <c:bubble3D val="0"/>
            <c:spPr>
              <a:solidFill>
                <a:srgbClr val="5B9BD5"/>
              </a:solidFill>
              <a:ln>
                <a:noFill/>
              </a:ln>
            </c:spPr>
          </c:dPt>
          <c:dPt>
            <c:idx val="1"/>
            <c:bubble3D val="0"/>
            <c:spPr>
              <a:solidFill>
                <a:srgbClr val="ED7D31"/>
              </a:solidFill>
              <a:ln>
                <a:noFill/>
              </a:ln>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4588.07</c:v>
                </c:pt>
                <c:pt idx="1">
                  <c:v>527.82</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(4)'!$B$1</c:f>
              <c:strCache>
                <c:ptCount val="1"/>
                <c:pt idx="0">
                  <c:v>2024年</c:v>
                </c:pt>
              </c:strCache>
            </c:strRef>
          </c:tx>
          <c:spPr>
            <a:solidFill>
              <a:srgbClr val="5B9BD5"/>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 (4)'!$A$2:$A$3</c:f>
              <c:strCache>
                <c:ptCount val="2"/>
                <c:pt idx="0">
                  <c:v>财政拨款收入</c:v>
                </c:pt>
                <c:pt idx="1">
                  <c:v>财政拨款支出</c:v>
                </c:pt>
              </c:strCache>
            </c:strRef>
          </c:cat>
          <c:val>
            <c:numRef>
              <c:f>'Sheet1 (4)'!$B$2:$B$3</c:f>
              <c:numCache>
                <c:formatCode>General</c:formatCode>
                <c:ptCount val="2"/>
                <c:pt idx="0">
                  <c:v>1369.8</c:v>
                </c:pt>
                <c:pt idx="1">
                  <c:v>1369.8</c:v>
                </c:pt>
              </c:numCache>
            </c:numRef>
          </c:val>
        </c:ser>
        <c:ser>
          <c:idx val="1"/>
          <c:order val="1"/>
          <c:tx>
            <c:strRef>
              <c:f>'Sheet1 (4)'!$C$1</c:f>
              <c:strCache>
                <c:ptCount val="1"/>
                <c:pt idx="0">
                  <c:v>2023年</c:v>
                </c:pt>
              </c:strCache>
            </c:strRef>
          </c:tx>
          <c:spPr>
            <a:solidFill>
              <a:srgbClr val="ED7D31"/>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 (4)'!$A$2:$A$3</c:f>
              <c:strCache>
                <c:ptCount val="2"/>
                <c:pt idx="0">
                  <c:v>财政拨款收入</c:v>
                </c:pt>
                <c:pt idx="1">
                  <c:v>财政拨款支出</c:v>
                </c:pt>
              </c:strCache>
            </c:strRef>
          </c:cat>
          <c:val>
            <c:numRef>
              <c:f>'Sheet1 (4)'!$C$2:$C$3</c:f>
              <c:numCache>
                <c:formatCode>General</c:formatCode>
                <c:ptCount val="2"/>
                <c:pt idx="0">
                  <c:v>2100.78</c:v>
                </c:pt>
                <c:pt idx="1">
                  <c:v>2100.78</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(5)'!$B$1</c:f>
              <c:strCache>
                <c:ptCount val="1"/>
                <c:pt idx="0">
                  <c:v>2024</c:v>
                </c:pt>
              </c:strCache>
            </c:strRef>
          </c:tx>
          <c:spPr>
            <a:solidFill>
              <a:srgbClr val="4F81BD"/>
            </a:solidFill>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0"/>
          </c:dLbls>
          <c:cat>
            <c:strRef>
              <c:f>'Sheet1 (5)'!$A$2</c:f>
              <c:strCache>
                <c:ptCount val="1"/>
                <c:pt idx="0">
                  <c:v>一般公共预算财政拨款支出</c:v>
                </c:pt>
              </c:strCache>
            </c:strRef>
          </c:cat>
          <c:val>
            <c:numRef>
              <c:f>Sheet1 (5)!$B$2</c:f>
              <c:numCache>
                <c:formatCode>General</c:formatCode>
                <c:ptCount val="1"/>
                <c:pt idx="0">
                  <c:v>1369.8</c:v>
                </c:pt>
              </c:numCache>
            </c:numRef>
          </c:val>
        </c:ser>
        <c:ser>
          <c:idx val="1"/>
          <c:order val="1"/>
          <c:tx>
            <c:strRef>
              <c:f>'Sheet1 (5)'!$C$1</c:f>
              <c:strCache>
                <c:ptCount val="1"/>
                <c:pt idx="0">
                  <c:v>20232</c:v>
                </c:pt>
              </c:strCache>
            </c:strRef>
          </c:tx>
          <c:spPr>
            <a:solidFill>
              <a:srgbClr val="C0504D"/>
            </a:solidFill>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0"/>
          </c:dLbls>
          <c:cat>
            <c:strRef>
              <c:f>'Sheet1 (5)'!$A$2</c:f>
              <c:strCache>
                <c:ptCount val="1"/>
                <c:pt idx="0">
                  <c:v>一般公共预算财政拨款支出</c:v>
                </c:pt>
              </c:strCache>
            </c:strRef>
          </c:cat>
          <c:val>
            <c:numRef>
              <c:f>Sheet1 (5)!$C$2</c:f>
              <c:numCache>
                <c:formatCode>General</c:formatCode>
                <c:ptCount val="1"/>
                <c:pt idx="0">
                  <c:v>2100.78</c:v>
                </c:pt>
              </c:numCache>
            </c:numRef>
          </c:val>
        </c:ser>
        <c:gapWidth val="150"/>
        <c:axId val="0"/>
        <c:axId val="1"/>
      </c:barChart>
      <c:catAx>
        <c:axId val="0"/>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宋体"/>
                <a:cs typeface="Lucida Sans"/>
              </a:defRPr>
            </a:pPr>
            <a:r>
              <a:rPr lang="zh-CN" sz="1800" b="1" i="0" u="none" strike="noStrike" baseline="0">
                <a:solidFill>
                  <a:srgbClr val="000000"/>
                </a:solidFill>
                <a:latin typeface="Times New Roman"/>
                <a:ea typeface="宋体"/>
                <a:cs typeface="Lucida Sans"/>
              </a:rPr>
              <a:t>202</a:t>
            </a:r>
            <a:r>
              <a:rPr lang="zh-CN" sz="1800" b="1" i="0" u="none" strike="noStrike" baseline="0">
                <a:solidFill>
                  <a:srgbClr val="000000"/>
                </a:solidFill>
                <a:latin typeface="Times New Roman"/>
                <a:ea typeface="宋体"/>
                <a:cs typeface="Lucida Sans"/>
              </a:rPr>
              <a:t>4</a:t>
            </a:r>
            <a:r>
              <a:rPr lang="zh-CN" sz="1800" b="1" i="0" u="none" strike="noStrike" baseline="0">
                <a:solidFill>
                  <a:srgbClr val="000000"/>
                </a:solidFill>
                <a:latin typeface="Times New Roman"/>
                <a:ea typeface="宋体"/>
                <a:cs typeface="Lucida Sans"/>
              </a:rPr>
              <a:t>年一般公共预算财政拨款支出结构</a:t>
            </a:r>
          </a:p>
        </c:rich>
      </c:tx>
      <c:layout/>
      <c:overlay val="0"/>
      <c:spPr>
        <a:ln>
          <a:noFill/>
        </a:ln>
      </c:spPr>
    </c:title>
    <c:autoTitleDeleted val="1"/>
    <c:plotArea>
      <c:layout/>
      <c:pieChart>
        <c:varyColors val="1"/>
        <c:ser>
          <c:idx val="0"/>
          <c:order val="0"/>
          <c:tx>
            <c:strRef>
              <c:f>'Sheet1 (6)'!$B$1</c:f>
              <c:strCache>
                <c:ptCount val="1"/>
                <c:pt idx="0">
                  <c:v>2024年一般公共预算财政拨款支出结构</c:v>
                </c:pt>
              </c:strCache>
            </c:strRef>
          </c:tx>
          <c:spPr>
            <a:solidFill>
              <a:srgbClr val="4F81BD"/>
            </a:solidFill>
            <a:ln>
              <a:noFill/>
            </a:ln>
          </c:spPr>
          <c:dPt>
            <c:idx val="0"/>
            <c:bubble3D val="0"/>
            <c:spPr>
              <a:solidFill>
                <a:srgbClr val="5B9BD5"/>
              </a:solidFill>
              <a:ln>
                <a:noFill/>
              </a:ln>
            </c:spPr>
          </c:dPt>
          <c:dPt>
            <c:idx val="1"/>
            <c:bubble3D val="0"/>
            <c:spPr>
              <a:solidFill>
                <a:srgbClr val="ED7D31"/>
              </a:solidFill>
              <a:ln>
                <a:noFill/>
              </a:ln>
            </c:spPr>
          </c:dPt>
          <c:dPt>
            <c:idx val="2"/>
            <c:bubble3D val="0"/>
            <c:spPr>
              <a:solidFill>
                <a:srgbClr val="9BBB59"/>
              </a:solidFill>
              <a:ln>
                <a:noFill/>
              </a:ln>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(6)'!$A$2:$A$4</c:f>
              <c:strCache>
                <c:ptCount val="3"/>
                <c:pt idx="0">
                  <c:v>社会保障和就业支出</c:v>
                </c:pt>
                <c:pt idx="1">
                  <c:v>一般公共服务支出</c:v>
                </c:pt>
                <c:pt idx="2">
                  <c:v>卫生健康支出</c:v>
                </c:pt>
              </c:strCache>
            </c:strRef>
          </c:cat>
          <c:val>
            <c:numRef>
              <c:f>'Sheet1 (6)'!$B$2:$B$4</c:f>
              <c:numCache>
                <c:formatCode>General</c:formatCode>
                <c:ptCount val="3"/>
                <c:pt idx="0">
                  <c:v>835.36</c:v>
                </c:pt>
                <c:pt idx="1">
                  <c:v>6.46</c:v>
                </c:pt>
                <c:pt idx="2">
                  <c:v>527.98</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725</TotalTime>
  <Application>Yozo_Office27021597764231179</Application>
  <Pages>21</Pages>
  <Words>5449</Words>
  <Characters>5939</Characters>
  <Lines>349</Lines>
  <Paragraphs>139</Paragraphs>
  <CharactersWithSpaces>6009</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35</cp:revision>
  <cp:lastPrinted>2023-08-30T03:59:00Z</cp:lastPrinted>
  <dcterms:created xsi:type="dcterms:W3CDTF">2023-08-30T02:50:00Z</dcterms:created>
  <dcterms:modified xsi:type="dcterms:W3CDTF">2025-09-11T10:24:58Z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2052-11.8.2.8361</vt:lpwstr>
  </property>
</Properties>
</file>