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Times New Roman" w:hAnsi="Times New Roman"/>
        </w:rPr>
      </w:pPr>
      <w:bookmarkStart w:id="0" w:name="_Toc15378441"/>
      <w:bookmarkStart w:id="1" w:name="_Toc15377425"/>
      <w:bookmarkStart w:id="2" w:name="_Toc15396597"/>
      <w:bookmarkStart w:id="3" w:name="_Toc15377193"/>
      <w:bookmarkStart w:id="4" w:name="_Toc15396475"/>
      <w:bookmarkStart w:id="5" w:name="_Toc15306267"/>
    </w:p>
    <w:p>
      <w:pPr>
        <w:pStyle w:val="16"/>
        <w:jc w:val="center"/>
        <w:rPr>
          <w:rFonts w:ascii="Times New Roman" w:eastAsia="方正小标宋简体" w:cs="Times New Roman" w:hAnsi="Times New Roman" w:hint="eastAsia"/>
          <w:color w:val="auto"/>
          <w:kern w:val="2"/>
          <w:sz w:val="44"/>
          <w:szCs w:val="44"/>
          <w:lang w:val="en-US" w:eastAsia="zh-CN" w:bidi="ar-SA"/>
          <w:highlight w:val="auto"/>
        </w:rPr>
      </w:pPr>
    </w:p>
    <w:p>
      <w:pPr>
        <w:pStyle w:val="16"/>
        <w:jc w:val="center"/>
        <w:rPr>
          <w:rFonts w:ascii="Times New Roman" w:eastAsia="方正小标宋简体" w:cs="Times New Roman" w:hAnsi="Times New Roman" w:hint="eastAsia"/>
          <w:color w:val="auto"/>
          <w:kern w:val="2"/>
          <w:sz w:val="44"/>
          <w:szCs w:val="44"/>
          <w:lang w:val="en-US" w:eastAsia="zh-CN" w:bidi="ar-SA"/>
          <w:highlight w:val="auto"/>
        </w:rPr>
      </w:pPr>
    </w:p>
    <w:p>
      <w:pPr>
        <w:pStyle w:val="16"/>
        <w:jc w:val="center"/>
        <w:rPr>
          <w:rFonts w:ascii="Times New Roman" w:eastAsia="方正小标宋简体" w:cs="Times New Roman" w:hAnsi="Times New Roman" w:hint="eastAsia"/>
          <w:color w:val="auto"/>
          <w:kern w:val="2"/>
          <w:sz w:val="44"/>
          <w:szCs w:val="44"/>
          <w:lang w:val="en-US" w:eastAsia="zh-CN" w:bidi="ar-SA"/>
          <w:highlight w:val="auto"/>
        </w:rPr>
      </w:pPr>
    </w:p>
    <w:p>
      <w:pPr>
        <w:pStyle w:val="16"/>
        <w:jc w:val="center"/>
        <w:rPr>
          <w:rFonts w:ascii="Times New Roman" w:eastAsia="方正小标宋简体" w:cs="Times New Roman" w:hAnsi="Times New Roman" w:hint="eastAsia"/>
          <w:color w:val="auto"/>
          <w:kern w:val="2"/>
          <w:sz w:val="44"/>
          <w:szCs w:val="44"/>
          <w:lang w:val="en-US" w:eastAsia="zh-CN" w:bidi="ar-SA"/>
          <w:highlight w:val="auto"/>
        </w:rPr>
      </w:pPr>
    </w:p>
    <w:p>
      <w:pPr>
        <w:pStyle w:val="16"/>
        <w:jc w:val="center"/>
        <w:rPr>
          <w:rFonts w:ascii="Times New Roman" w:eastAsia="方正小标宋简体" w:cs="Times New Roman" w:hAnsi="Times New Roman" w:hint="eastAsia"/>
          <w:color w:val="auto"/>
          <w:kern w:val="2"/>
          <w:sz w:val="44"/>
          <w:szCs w:val="44"/>
          <w:lang w:val="en-US" w:eastAsia="zh-CN" w:bidi="ar-SA"/>
          <w:highlight w:val="auto"/>
        </w:rPr>
      </w:pPr>
      <w:bookmarkStart w:id="6" w:name="_Toc15377426"/>
      <w:bookmarkStart w:id="7" w:name="_Toc15396598"/>
      <w:bookmarkStart w:id="8" w:name="_Toc15396476"/>
      <w:bookmarkStart w:id="9" w:name="_Toc15377194"/>
      <w:bookmarkStart w:id="10" w:name="_Toc15378442"/>
      <w:bookmarkEnd w:id="0"/>
      <w:bookmarkEnd w:id="1"/>
      <w:bookmarkEnd w:id="2"/>
      <w:bookmarkEnd w:id="3"/>
      <w:bookmarkEnd w:id="4"/>
      <w:r>
        <w:rPr>
          <w:rFonts w:ascii="Times New Roman" w:eastAsia="方正小标宋简体" w:cs="Times New Roman" w:hAnsi="Times New Roman" w:hint="eastAsia"/>
          <w:color w:val="auto"/>
          <w:kern w:val="2"/>
          <w:sz w:val="44"/>
          <w:szCs w:val="44"/>
          <w:lang w:val="en-US" w:eastAsia="zh-CN" w:bidi="ar-SA"/>
          <w:highlight w:val="auto"/>
        </w:rPr>
        <w:t>2024年度四川省</w:t>
      </w:r>
      <w:bookmarkStart w:id="11" w:name="_Toc15306268"/>
      <w:bookmarkEnd w:id="5"/>
      <w:r>
        <w:rPr>
          <w:rFonts w:ascii="Times New Roman" w:eastAsia="方正小标宋简体" w:cs="Times New Roman" w:hAnsi="Times New Roman" w:hint="eastAsia"/>
          <w:color w:val="auto"/>
          <w:kern w:val="2"/>
          <w:sz w:val="44"/>
          <w:szCs w:val="44"/>
          <w:lang w:val="en-US" w:eastAsia="zh-CN" w:bidi="ar-SA"/>
          <w:highlight w:val="auto"/>
        </w:rPr>
        <w:t>攀枝花市紧急医学救援中心</w:t>
      </w:r>
      <w:r>
        <w:rPr>
          <w:rFonts w:ascii="Times New Roman" w:eastAsia="方正小标宋简体" w:cs="Times New Roman" w:hAnsi="Times New Roman" w:hint="eastAsia"/>
          <w:color w:val="000000"/>
          <w:kern w:val="2"/>
          <w:sz w:val="44"/>
          <w:szCs w:val="44"/>
          <w14:textFill>
            <w14:solidFill>
              <w14:srgbClr w14:val="000000"/>
            </w14:solidFill>
          </w14:textFill>
          <w:lang w:val="en-US" w:eastAsia="zh-CN" w:bidi="ar-SA"/>
          <w:highlight w:val="auto"/>
        </w:rPr>
        <w:t>单位决算</w:t>
      </w:r>
      <w:bookmarkEnd w:id="6"/>
      <w:bookmarkEnd w:id="7"/>
      <w:bookmarkEnd w:id="8"/>
      <w:bookmarkEnd w:id="9"/>
      <w:bookmarkEnd w:id="10"/>
      <w:bookmarkEnd w:id="11"/>
    </w:p>
    <w:p>
      <w:pPr>
        <w:widowControl/>
        <w:jc w:val="center"/>
        <w:rPr>
          <w:rFonts w:ascii="Times New Roman" w:eastAsia="黑体" w:hAnsi="Times New Roman" w:hint="eastAsia"/>
          <w:color w:val="auto"/>
          <w:sz w:val="48"/>
          <w:szCs w:val="48"/>
          <w:highlight w:val="auto"/>
        </w:rPr>
        <w:sectPr>
          <w:headerReference w:type="default" r:id="rId2"/>
          <w:footerReference w:type="default" r:id="rId3"/>
          <w:pgSz w:w="11906" w:h="16838"/>
          <w:pgMar w:top="1440" w:right="1800" w:bottom="1440" w:left="1800" w:header="851" w:footer="992" w:gutter="0"/>
          <w:pgNumType w:fmt="numberInDash" w:start="1"/>
          <w:titlePg/>
          <w:docGrid w:type="lines" w:linePitch="312" w:charSpace="0"/>
        </w:sectPr>
      </w:pPr>
    </w:p>
    <w:p>
      <w:pPr>
        <w:widowControl/>
        <w:jc w:val="center"/>
        <w:rPr>
          <w:rFonts w:ascii="Times New Roman" w:eastAsia="黑体" w:hAnsi="Times New Roman"/>
          <w:color w:val="auto"/>
          <w:sz w:val="48"/>
          <w:szCs w:val="48"/>
          <w:highlight w:val="auto"/>
        </w:rPr>
      </w:pPr>
      <w:r>
        <w:rPr>
          <w:rFonts w:ascii="Times New Roman" w:eastAsia="黑体" w:hAnsi="Times New Roman" w:hint="eastAsia"/>
          <w:color w:val="auto"/>
          <w:sz w:val="48"/>
          <w:szCs w:val="48"/>
          <w:highlight w:val="auto"/>
        </w:rPr>
        <w:t>目录</w:t>
      </w:r>
    </w:p>
    <w:p>
      <w:pPr>
        <w:widowControl/>
        <w:jc w:val="center"/>
        <w:rPr>
          <w:rFonts w:ascii="Times New Roman" w:eastAsia="黑体" w:cs="Arial" w:hAnsi="Times New Roman"/>
          <w:color w:val="auto"/>
          <w:sz w:val="28"/>
          <w:szCs w:val="28"/>
          <w:highlight w:val="auto"/>
        </w:rPr>
      </w:pPr>
    </w:p>
    <w:p>
      <w:pPr>
        <w:pStyle w:val="22"/>
        <w:tabs>
          <w:tab w:val="right" w:leader="dot" w:pos="8296"/>
        </w:tabs>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公开时间：20</w:t>
      </w:r>
      <w:r>
        <w:rPr>
          <w:rFonts w:ascii="Times New Roman" w:eastAsia="仿宋_GB2312" w:cs="仿宋_GB2312" w:hAnsi="Times New Roman" w:hint="eastAsia"/>
          <w:color w:val="auto"/>
          <w:sz w:val="32"/>
          <w:szCs w:val="32"/>
          <w:lang w:val="en-US" w:eastAsia="zh-CN"/>
          <w:highlight w:val="auto"/>
        </w:rPr>
        <w:t>2</w:t>
      </w:r>
      <w:r>
        <w:rPr>
          <w:rFonts w:ascii="Times New Roman" w:eastAsia="仿宋_GB2312" w:cs="仿宋_GB2312" w:hAnsi="Times New Roman"/>
          <w:color w:val="auto"/>
          <w:sz w:val="32"/>
          <w:szCs w:val="32"/>
          <w:lang w:val="en-US" w:eastAsia="zh-CN"/>
          <w:highlight w:val="auto"/>
        </w:rPr>
        <w:t>5</w:t>
      </w:r>
      <w:r>
        <w:rPr>
          <w:rFonts w:ascii="Times New Roman" w:eastAsia="仿宋_GB2312" w:cs="仿宋_GB2312" w:hAnsi="Times New Roman" w:hint="eastAsia"/>
          <w:color w:val="auto"/>
          <w:sz w:val="32"/>
          <w:szCs w:val="32"/>
          <w:highlight w:val="auto"/>
        </w:rPr>
        <w:t>年</w:t>
      </w:r>
      <w:r>
        <w:rPr>
          <w:rFonts w:ascii="Times New Roman" w:eastAsia="仿宋_GB2312" w:cs="仿宋_GB2312" w:hAnsi="Times New Roman"/>
          <w:color w:val="auto"/>
          <w:sz w:val="32"/>
          <w:szCs w:val="32"/>
          <w:lang w:val="en-US" w:eastAsia="zh-CN"/>
          <w:highlight w:val="auto"/>
        </w:rPr>
        <w:t>9</w:t>
      </w:r>
      <w:r>
        <w:rPr>
          <w:rFonts w:ascii="Times New Roman" w:eastAsia="仿宋_GB2312" w:cs="仿宋_GB2312" w:hAnsi="Times New Roman" w:hint="eastAsia"/>
          <w:color w:val="auto"/>
          <w:sz w:val="32"/>
          <w:szCs w:val="32"/>
          <w:highlight w:val="auto"/>
        </w:rPr>
        <w:t>月</w:t>
      </w:r>
      <w:r>
        <w:rPr>
          <w:rFonts w:ascii="Times New Roman" w:eastAsia="仿宋_GB2312" w:cs="仿宋_GB2312" w:hAnsi="Times New Roman"/>
          <w:color w:val="auto"/>
          <w:sz w:val="32"/>
          <w:szCs w:val="32"/>
          <w:lang w:val="en-US" w:eastAsia="zh-CN"/>
          <w:highlight w:val="auto"/>
        </w:rPr>
        <w:t>11</w:t>
      </w:r>
      <w:bookmarkStart w:id="12" w:name="_GoBack"/>
      <w:bookmarkEnd w:id="12"/>
      <w:r>
        <w:rPr>
          <w:rFonts w:ascii="Times New Roman" w:eastAsia="仿宋_GB2312" w:cs="仿宋_GB2312" w:hAnsi="Times New Roman" w:hint="eastAsia"/>
          <w:color w:val="auto"/>
          <w:sz w:val="32"/>
          <w:szCs w:val="32"/>
          <w:highlight w:val="auto"/>
        </w:rPr>
        <w:t>日</w:t>
      </w:r>
    </w:p>
    <w:p>
      <w:pPr>
        <w:rPr>
          <w:rFonts w:ascii="Times New Roman" w:hAnsi="Times New Roman"/>
          <w:color w:val="auto"/>
          <w:highlight w:val="auto"/>
        </w:rPr>
      </w:pP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before="0" w:line="560" w:lineRule="exact"/>
        <w:jc w:val="left"/>
        <w:textAlignment w:val="auto"/>
        <w:rPr>
          <w:rFonts w:ascii="Times New Roman" w:eastAsia="仿宋" w:cs="黑体" w:hAnsi="Times New Roman" w:hint="eastAsia"/>
          <w:color w:val="auto"/>
          <w:sz w:val="32"/>
          <w:szCs w:val="32"/>
          <w:lang w:val="en-US" w:eastAsia="zh-CN"/>
          <w:highlight w:val="auto"/>
        </w:rPr>
      </w:pPr>
      <w:r>
        <w:rPr>
          <w:rFonts w:ascii="Times New Roman" w:eastAsia="黑体" w:cs="黑体" w:hAnsi="Times New Roman" w:hint="eastAsia"/>
          <w:color w:val="auto"/>
          <w:sz w:val="32"/>
          <w:szCs w:val="32"/>
          <w:highlight w:val="auto"/>
        </w:rPr>
        <w:t xml:space="preserve">第一部分 </w:t>
      </w:r>
      <w:r>
        <w:rPr>
          <w:rFonts w:ascii="Times New Roman" w:eastAsia="黑体" w:cs="黑体" w:hAnsi="Times New Roman" w:hint="eastAsia"/>
          <w:color w:val="auto"/>
          <w:sz w:val="32"/>
          <w:szCs w:val="32"/>
          <w:lang w:eastAsia="zh-CN"/>
          <w:highlight w:val="auto"/>
        </w:rPr>
        <w:t>单位</w:t>
      </w:r>
      <w:r>
        <w:rPr>
          <w:rFonts w:ascii="Times New Roman" w:eastAsia="黑体" w:cs="黑体" w:hAnsi="Times New Roman" w:hint="eastAsia"/>
          <w:color w:val="auto"/>
          <w:sz w:val="32"/>
          <w:szCs w:val="32"/>
          <w:highlight w:val="auto"/>
        </w:rPr>
        <w:t>概况</w:t>
      </w:r>
      <w:r>
        <w:rPr>
          <w:rFonts w:ascii="Times New Roman" w:cs="Times New Roman" w:hAnsi="Times New Roman"/>
          <w:sz w:val="24"/>
          <w:szCs w:val="24"/>
          <w:lang w:bidi="ar-SA"/>
        </w:rPr>
        <w:tab/>
      </w:r>
      <w:r>
        <w:rPr>
          <w:rFonts w:ascii="Times New Roman" w:cs="Times New Roman" w:hAnsi="Times New Roman" w:hint="eastAsia"/>
          <w:sz w:val="24"/>
          <w:szCs w:val="24"/>
          <w:lang w:val="en-US" w:eastAsia="zh-CN" w:bidi="ar-SA"/>
        </w:rPr>
        <w:t>4</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宋体" w:cs="仿宋_GB2312" w:hAnsi="Times New Roman" w:hint="eastAsia"/>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一、</w:t>
      </w:r>
      <w:r>
        <w:rPr>
          <w:rFonts w:eastAsia="仿宋_GB2312" w:cs="仿宋_GB2312" w:hint="eastAsia"/>
          <w:color w:val="auto"/>
          <w:sz w:val="32"/>
          <w:szCs w:val="32"/>
          <w:lang w:eastAsia="zh-CN"/>
          <w:highlight w:val="auto"/>
        </w:rPr>
        <w:t>单位</w:t>
      </w:r>
      <w:r>
        <w:rPr>
          <w:rFonts w:ascii="Times New Roman" w:eastAsia="仿宋_GB2312" w:cs="仿宋_GB2312" w:hAnsi="Times New Roman" w:hint="eastAsia"/>
          <w:color w:val="auto"/>
          <w:sz w:val="32"/>
          <w:szCs w:val="32"/>
          <w:lang w:eastAsia="zh-CN"/>
          <w:highlight w:val="auto"/>
        </w:rPr>
        <w:t>职责</w:t>
      </w:r>
      <w:r>
        <w:rPr>
          <w:rFonts w:ascii="Times New Roman" w:cs="Times New Roman" w:hAnsi="Times New Roman"/>
          <w:sz w:val="24"/>
          <w:szCs w:val="24"/>
          <w:lang w:bidi="ar-SA"/>
        </w:rPr>
        <w:tab/>
      </w:r>
      <w:r>
        <w:rPr>
          <w:rFonts w:cs="Times New Roman" w:hint="eastAsia"/>
          <w:sz w:val="24"/>
          <w:szCs w:val="24"/>
          <w:lang w:val="en-US" w:eastAsia="zh-CN" w:bidi="ar-SA"/>
        </w:rPr>
        <w:t>4</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宋体" w:cs="仿宋_GB2312" w:hAnsi="Times New Roman" w:hint="eastAsia"/>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二、机构设置</w:t>
      </w:r>
      <w:r>
        <w:rPr>
          <w:rFonts w:ascii="Times New Roman" w:cs="Times New Roman" w:hAnsi="Times New Roman"/>
          <w:sz w:val="24"/>
          <w:szCs w:val="24"/>
          <w:lang w:bidi="ar-SA"/>
        </w:rPr>
        <w:tab/>
      </w:r>
      <w:r>
        <w:rPr>
          <w:rFonts w:cs="Times New Roman" w:hint="eastAsia"/>
          <w:sz w:val="24"/>
          <w:szCs w:val="24"/>
          <w:lang w:val="en-US" w:eastAsia="zh-CN" w:bidi="ar-SA"/>
        </w:rPr>
        <w:t>4</w:t>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before="0" w:line="560" w:lineRule="exact"/>
        <w:jc w:val="left"/>
        <w:textAlignment w:val="auto"/>
        <w:rPr>
          <w:rFonts w:ascii="Times New Roman" w:eastAsia="仿宋" w:cs="黑体" w:hAnsi="Times New Roman" w:hint="eastAsia"/>
          <w:color w:val="auto"/>
          <w:sz w:val="32"/>
          <w:szCs w:val="32"/>
          <w:lang w:val="en-US" w:eastAsia="zh-CN"/>
          <w:highlight w:val="auto"/>
        </w:rPr>
      </w:pPr>
      <w:r>
        <w:rPr>
          <w:rFonts w:ascii="Times New Roman" w:eastAsia="黑体" w:cs="黑体" w:hAnsi="Times New Roman" w:hint="eastAsia"/>
          <w:color w:val="auto"/>
          <w:sz w:val="32"/>
          <w:szCs w:val="32"/>
          <w:highlight w:val="auto"/>
        </w:rPr>
        <w:t>第二部分</w:t>
      </w:r>
      <w:r>
        <w:rPr>
          <w:rFonts w:ascii="Times New Roman" w:eastAsia="黑体" w:cs="黑体" w:hAnsi="Times New Roman" w:hint="eastAsia"/>
          <w:color w:val="auto"/>
          <w:sz w:val="32"/>
          <w:szCs w:val="32"/>
          <w:lang w:val="en-US" w:eastAsia="zh-CN"/>
          <w:highlight w:val="auto"/>
        </w:rPr>
        <w:t xml:space="preserve"> 2024年度</w:t>
      </w:r>
      <w:r>
        <w:rPr>
          <w:rFonts w:ascii="Times New Roman" w:eastAsia="黑体" w:cs="黑体" w:hAnsi="Times New Roman" w:hint="eastAsia"/>
          <w:color w:val="auto"/>
          <w:sz w:val="32"/>
          <w:szCs w:val="32"/>
          <w:lang w:eastAsia="zh-CN"/>
          <w:highlight w:val="auto"/>
        </w:rPr>
        <w:t>单位</w:t>
      </w:r>
      <w:r>
        <w:rPr>
          <w:rFonts w:ascii="Times New Roman" w:eastAsia="黑体" w:cs="黑体" w:hAnsi="Times New Roman" w:hint="eastAsia"/>
          <w:color w:val="auto"/>
          <w:sz w:val="32"/>
          <w:szCs w:val="32"/>
          <w:highlight w:val="auto"/>
        </w:rPr>
        <w:t>决算情况说明</w:t>
      </w:r>
      <w:r>
        <w:rPr>
          <w:rFonts w:ascii="Times New Roman" w:cs="Times New Roman" w:hAnsi="Times New Roman"/>
          <w:sz w:val="24"/>
          <w:szCs w:val="24"/>
          <w:lang w:bidi="ar-SA"/>
        </w:rPr>
        <w:tab/>
      </w:r>
      <w:r>
        <w:rPr>
          <w:rFonts w:ascii="Times New Roman" w:cs="Times New Roman" w:hAnsi="Times New Roman" w:hint="eastAsia"/>
          <w:sz w:val="24"/>
          <w:szCs w:val="24"/>
          <w:lang w:val="en-US" w:eastAsia="zh-CN" w:bidi="ar-SA"/>
        </w:rPr>
        <w:t>4</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宋体" w:cs="仿宋_GB2312" w:hAnsi="Times New Roman" w:hint="eastAsia"/>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一、收入支出决算总体情况说明</w:t>
      </w:r>
      <w:r>
        <w:rPr>
          <w:rFonts w:ascii="Times New Roman" w:cs="Times New Roman" w:hAnsi="Times New Roman"/>
          <w:sz w:val="24"/>
          <w:szCs w:val="24"/>
          <w:lang w:bidi="ar-SA"/>
        </w:rPr>
        <w:tab/>
      </w:r>
      <w:r>
        <w:rPr>
          <w:rFonts w:cs="Times New Roman" w:hint="eastAsia"/>
          <w:sz w:val="24"/>
          <w:szCs w:val="24"/>
          <w:lang w:val="en-US" w:eastAsia="zh-CN" w:bidi="ar-SA"/>
        </w:rPr>
        <w:t>4</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宋体" w:cs="仿宋_GB2312" w:hAnsi="Times New Roman" w:hint="eastAsia"/>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二、收入决算情况说明</w:t>
      </w:r>
      <w:r>
        <w:rPr>
          <w:rFonts w:ascii="Times New Roman" w:cs="Times New Roman" w:hAnsi="Times New Roman"/>
          <w:sz w:val="24"/>
          <w:szCs w:val="24"/>
          <w:lang w:bidi="ar-SA"/>
        </w:rPr>
        <w:tab/>
      </w:r>
      <w:r>
        <w:rPr>
          <w:rFonts w:cs="Times New Roman" w:hint="eastAsia"/>
          <w:sz w:val="24"/>
          <w:szCs w:val="24"/>
          <w:lang w:val="en-US" w:eastAsia="zh-CN" w:bidi="ar-SA"/>
        </w:rPr>
        <w:t>5</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宋体" w:cs="仿宋_GB2312" w:hAnsi="Times New Roman" w:hint="eastAsia"/>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三、支出决算情况说明</w:t>
      </w:r>
      <w:r>
        <w:rPr>
          <w:rFonts w:ascii="Times New Roman" w:cs="Times New Roman" w:hAnsi="Times New Roman"/>
          <w:sz w:val="24"/>
          <w:szCs w:val="24"/>
          <w:lang w:bidi="ar-SA"/>
        </w:rPr>
        <w:tab/>
      </w:r>
      <w:r>
        <w:rPr>
          <w:rFonts w:cs="Times New Roman" w:hint="eastAsia"/>
          <w:sz w:val="24"/>
          <w:szCs w:val="24"/>
          <w:lang w:val="en-US" w:eastAsia="zh-CN" w:bidi="ar-SA"/>
        </w:rPr>
        <w:t>5</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宋体" w:cs="仿宋_GB2312" w:hAnsi="Times New Roman" w:hint="eastAsia"/>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四、财政拨款收入支出决算总体情况说明</w:t>
      </w:r>
      <w:r>
        <w:rPr>
          <w:rFonts w:ascii="Times New Roman" w:cs="Times New Roman" w:hAnsi="Times New Roman"/>
          <w:sz w:val="24"/>
          <w:szCs w:val="24"/>
          <w:lang w:bidi="ar-SA"/>
        </w:rPr>
        <w:tab/>
      </w:r>
      <w:r>
        <w:rPr>
          <w:rFonts w:cs="Times New Roman" w:hint="eastAsia"/>
          <w:sz w:val="24"/>
          <w:szCs w:val="24"/>
          <w:lang w:val="en-US" w:eastAsia="zh-CN" w:bidi="ar-SA"/>
        </w:rPr>
        <w:t>6</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宋体" w:cs="仿宋_GB2312" w:hAnsi="Times New Roman" w:hint="eastAsia"/>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五、一般公共预算财政拨款支出决算情况说明</w:t>
      </w:r>
      <w:r>
        <w:rPr>
          <w:rFonts w:ascii="Times New Roman" w:cs="Times New Roman" w:hAnsi="Times New Roman"/>
          <w:sz w:val="24"/>
          <w:szCs w:val="24"/>
          <w:lang w:bidi="ar-SA"/>
        </w:rPr>
        <w:tab/>
      </w:r>
      <w:r>
        <w:rPr>
          <w:rFonts w:cs="Times New Roman" w:hint="eastAsia"/>
          <w:sz w:val="24"/>
          <w:szCs w:val="24"/>
          <w:lang w:val="en-US" w:eastAsia="zh-CN" w:bidi="ar-SA"/>
        </w:rPr>
        <w:t>7</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宋体" w:cs="仿宋_GB2312" w:hAnsi="Times New Roman" w:hint="eastAsia"/>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六、一般公共预算财政拨款基本支出决算情况说明</w:t>
      </w:r>
      <w:r>
        <w:rPr>
          <w:rFonts w:ascii="Times New Roman" w:cs="Times New Roman" w:hAnsi="Times New Roman"/>
          <w:sz w:val="24"/>
          <w:szCs w:val="24"/>
          <w:lang w:bidi="ar-SA"/>
        </w:rPr>
        <w:tab/>
      </w:r>
      <w:r>
        <w:rPr>
          <w:rFonts w:cs="Times New Roman" w:hint="eastAsia"/>
          <w:sz w:val="24"/>
          <w:szCs w:val="24"/>
          <w:lang w:val="en-US" w:eastAsia="zh-CN" w:bidi="ar-SA"/>
        </w:rPr>
        <w:t>9</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宋体" w:cs="仿宋_GB2312" w:hAnsi="Times New Roman"/>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七、财政拨款</w:t>
      </w:r>
      <w:r>
        <w:rPr>
          <w:rFonts w:ascii="Times New Roman" w:eastAsia="仿宋_GB2312" w:cs="仿宋_GB2312" w:hAnsi="Times New Roman" w:hint="eastAsia"/>
          <w:color w:val="auto"/>
          <w:sz w:val="32"/>
          <w:szCs w:val="32"/>
          <w:lang w:eastAsia="zh-CN"/>
          <w:highlight w:val="auto"/>
        </w:rPr>
        <w:t>“</w:t>
      </w:r>
      <w:r>
        <w:rPr>
          <w:rFonts w:ascii="Times New Roman" w:eastAsia="仿宋_GB2312" w:cs="仿宋_GB2312" w:hAnsi="Times New Roman" w:hint="eastAsia"/>
          <w:color w:val="auto"/>
          <w:sz w:val="32"/>
          <w:szCs w:val="32"/>
          <w:highlight w:val="auto"/>
        </w:rPr>
        <w:t>三公”经费支出决算情况说明</w:t>
      </w:r>
      <w:r>
        <w:rPr>
          <w:rFonts w:ascii="Times New Roman" w:cs="Times New Roman" w:hAnsi="Times New Roman"/>
          <w:sz w:val="24"/>
          <w:szCs w:val="24"/>
          <w:lang w:bidi="ar-SA"/>
        </w:rPr>
        <w:tab/>
      </w:r>
      <w:r>
        <w:rPr>
          <w:rFonts w:cs="Times New Roman" w:hint="eastAsia"/>
          <w:sz w:val="24"/>
          <w:szCs w:val="24"/>
          <w:lang w:val="en-US" w:eastAsia="zh-CN" w:bidi="ar-SA"/>
        </w:rPr>
        <w:t>10</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宋体" w:cs="仿宋_GB2312" w:hAnsi="Times New Roman"/>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八、政府性基金预算支出决算情况说明</w:t>
      </w:r>
      <w:r>
        <w:rPr>
          <w:rFonts w:ascii="Times New Roman" w:cs="Times New Roman" w:hAnsi="Times New Roman"/>
          <w:sz w:val="24"/>
          <w:szCs w:val="24"/>
          <w:lang w:bidi="ar-SA"/>
        </w:rPr>
        <w:tab/>
      </w:r>
      <w:r>
        <w:rPr>
          <w:rFonts w:cs="Times New Roman" w:hint="eastAsia"/>
          <w:sz w:val="24"/>
          <w:szCs w:val="24"/>
          <w:lang w:val="en-US" w:eastAsia="zh-CN" w:bidi="ar-SA"/>
        </w:rPr>
        <w:t>11</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宋体" w:cs="仿宋_GB2312" w:hAnsi="Times New Roman"/>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九、</w:t>
      </w:r>
      <w:r>
        <w:rPr>
          <w:rFonts w:ascii="Times New Roman" w:eastAsia="仿宋_GB2312" w:cs="仿宋_GB2312" w:hAnsi="Times New Roman" w:hint="eastAsia"/>
          <w:color w:val="auto"/>
          <w:sz w:val="32"/>
          <w:szCs w:val="32"/>
          <w:lang w:eastAsia="zh-CN"/>
          <w:highlight w:val="auto"/>
        </w:rPr>
        <w:t>国</w:t>
      </w:r>
      <w:r>
        <w:rPr>
          <w:rFonts w:ascii="Times New Roman" w:eastAsia="仿宋_GB2312" w:cs="仿宋_GB2312" w:hAnsi="Times New Roman" w:hint="eastAsia"/>
          <w:color w:val="auto"/>
          <w:sz w:val="32"/>
          <w:szCs w:val="32"/>
          <w:highlight w:val="auto"/>
        </w:rPr>
        <w:t>有资本经营预算支出决算情况说明</w:t>
      </w:r>
      <w:r>
        <w:rPr>
          <w:rFonts w:ascii="Times New Roman" w:cs="Times New Roman" w:hAnsi="Times New Roman"/>
          <w:sz w:val="24"/>
          <w:szCs w:val="24"/>
          <w:lang w:bidi="ar-SA"/>
        </w:rPr>
        <w:tab/>
      </w:r>
      <w:r>
        <w:rPr>
          <w:rFonts w:cs="Times New Roman" w:hint="eastAsia"/>
          <w:sz w:val="24"/>
          <w:szCs w:val="24"/>
          <w:lang w:val="en-US" w:eastAsia="zh-CN" w:bidi="ar-SA"/>
        </w:rPr>
        <w:t>12</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宋体" w:cs="仿宋_GB2312" w:hAnsi="Times New Roman"/>
          <w:color w:val="auto"/>
          <w:sz w:val="32"/>
          <w:szCs w:val="32"/>
          <w:lang w:val="en-US" w:eastAsia="zh-CN"/>
          <w:highlight w:val="auto"/>
        </w:rPr>
      </w:pPr>
      <w:r>
        <w:rPr>
          <w:rFonts w:ascii="Times New Roman" w:eastAsia="仿宋_GB2312" w:cs="仿宋_GB2312" w:hAnsi="Times New Roman" w:hint="eastAsia"/>
          <w:color w:val="auto"/>
          <w:sz w:val="32"/>
          <w:szCs w:val="32"/>
          <w:lang w:eastAsia="zh-CN"/>
          <w:highlight w:val="auto"/>
        </w:rPr>
        <w:t>十</w:t>
      </w:r>
      <w:r>
        <w:rPr>
          <w:rFonts w:ascii="Times New Roman" w:eastAsia="仿宋_GB2312" w:cs="仿宋_GB2312" w:hAnsi="Times New Roman" w:hint="eastAsia"/>
          <w:color w:val="auto"/>
          <w:sz w:val="32"/>
          <w:szCs w:val="32"/>
          <w:highlight w:val="auto"/>
        </w:rPr>
        <w:t>、其他重要事项的情况说明</w:t>
      </w:r>
      <w:r>
        <w:rPr>
          <w:rFonts w:ascii="Times New Roman" w:cs="Times New Roman" w:hAnsi="Times New Roman"/>
          <w:sz w:val="24"/>
          <w:szCs w:val="24"/>
          <w:lang w:bidi="ar-SA"/>
        </w:rPr>
        <w:tab/>
      </w:r>
      <w:r>
        <w:rPr>
          <w:rFonts w:cs="Times New Roman" w:hint="eastAsia"/>
          <w:sz w:val="24"/>
          <w:szCs w:val="24"/>
          <w:lang w:val="en-US" w:eastAsia="zh-CN" w:bidi="ar-SA"/>
        </w:rPr>
        <w:t>12</w:t>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before="0" w:line="560" w:lineRule="exact"/>
        <w:jc w:val="left"/>
        <w:textAlignment w:val="auto"/>
        <w:rPr>
          <w:rFonts w:ascii="Times New Roman" w:eastAsia="仿宋" w:cs="黑体" w:hAnsi="Times New Roman"/>
          <w:color w:val="auto"/>
          <w:sz w:val="32"/>
          <w:szCs w:val="32"/>
          <w:lang w:val="en-US" w:eastAsia="zh-CN"/>
          <w:highlight w:val="auto"/>
        </w:rPr>
      </w:pPr>
      <w:r>
        <w:rPr>
          <w:rFonts w:ascii="Times New Roman" w:eastAsia="黑体" w:cs="黑体" w:hAnsi="Times New Roman" w:hint="eastAsia"/>
          <w:color w:val="auto"/>
          <w:sz w:val="32"/>
          <w:szCs w:val="32"/>
          <w:highlight w:val="auto"/>
        </w:rPr>
        <w:t>第三部分 名词解释</w:t>
      </w:r>
      <w:r>
        <w:rPr>
          <w:rFonts w:ascii="Times New Roman" w:cs="Times New Roman" w:hAnsi="Times New Roman"/>
          <w:sz w:val="24"/>
          <w:szCs w:val="24"/>
          <w:lang w:bidi="ar-SA"/>
        </w:rPr>
        <w:tab/>
      </w:r>
      <w:r>
        <w:rPr>
          <w:rFonts w:ascii="Times New Roman" w:cs="Times New Roman" w:hAnsi="Times New Roman" w:hint="eastAsia"/>
          <w:sz w:val="24"/>
          <w:szCs w:val="24"/>
          <w:lang w:val="en-US" w:eastAsia="zh-CN" w:bidi="ar-SA"/>
        </w:rPr>
        <w:t>13</w:t>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before="0" w:line="560" w:lineRule="exact"/>
        <w:jc w:val="left"/>
        <w:textAlignment w:val="auto"/>
        <w:rPr>
          <w:rFonts w:ascii="Times New Roman" w:eastAsia="仿宋" w:cs="黑体" w:hAnsi="Times New Roman"/>
          <w:color w:val="auto"/>
          <w:sz w:val="32"/>
          <w:szCs w:val="32"/>
          <w:lang w:val="en-US" w:eastAsia="zh-CN"/>
          <w:highlight w:val="auto"/>
        </w:rPr>
      </w:pPr>
      <w:r>
        <w:rPr>
          <w:rFonts w:ascii="Times New Roman" w:eastAsia="黑体" w:cs="黑体" w:hAnsi="Times New Roman" w:hint="eastAsia"/>
          <w:color w:val="auto"/>
          <w:sz w:val="32"/>
          <w:szCs w:val="32"/>
          <w:highlight w:val="auto"/>
        </w:rPr>
        <w:t>第四部分 附件</w:t>
      </w:r>
      <w:r>
        <w:rPr>
          <w:rFonts w:ascii="Times New Roman" w:cs="Times New Roman" w:hAnsi="Times New Roman"/>
          <w:sz w:val="24"/>
          <w:szCs w:val="24"/>
          <w:lang w:bidi="ar-SA"/>
        </w:rPr>
        <w:tab/>
      </w:r>
      <w:r>
        <w:rPr>
          <w:rFonts w:ascii="Times New Roman" w:cs="Times New Roman" w:hAnsi="Times New Roman" w:hint="eastAsia"/>
          <w:sz w:val="24"/>
          <w:szCs w:val="24"/>
          <w:lang w:val="en-US" w:eastAsia="zh-CN" w:bidi="ar-SA"/>
        </w:rPr>
        <w:t>15</w:t>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before="0" w:line="560" w:lineRule="exact"/>
        <w:jc w:val="left"/>
        <w:textAlignment w:val="auto"/>
        <w:rPr>
          <w:rFonts w:ascii="Times New Roman" w:eastAsia="仿宋" w:cs="黑体" w:hAnsi="Times New Roman"/>
          <w:color w:val="auto"/>
          <w:sz w:val="32"/>
          <w:szCs w:val="32"/>
          <w:lang w:val="en-US" w:eastAsia="zh-CN"/>
          <w:highlight w:val="auto"/>
        </w:rPr>
      </w:pPr>
      <w:r>
        <w:rPr>
          <w:rFonts w:ascii="Times New Roman" w:eastAsia="黑体" w:cs="黑体" w:hAnsi="Times New Roman" w:hint="eastAsia"/>
          <w:color w:val="auto"/>
          <w:sz w:val="32"/>
          <w:szCs w:val="32"/>
          <w:highlight w:val="auto"/>
        </w:rPr>
        <w:t>第五部分 附表</w:t>
      </w:r>
      <w:r>
        <w:rPr>
          <w:rFonts w:ascii="Times New Roman" w:cs="Times New Roman" w:hAnsi="Times New Roman"/>
          <w:sz w:val="24"/>
          <w:szCs w:val="24"/>
          <w:lang w:bidi="ar-SA"/>
        </w:rPr>
        <w:tab/>
      </w:r>
      <w:r>
        <w:rPr>
          <w:rFonts w:ascii="Times New Roman" w:cs="Times New Roman" w:hAnsi="Times New Roman" w:hint="eastAsia"/>
          <w:sz w:val="24"/>
          <w:szCs w:val="24"/>
          <w:lang w:val="en-US" w:eastAsia="zh-CN" w:bidi="ar-SA"/>
        </w:rPr>
        <w:t>16</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宋体" w:cs="仿宋_GB2312" w:hAnsi="Times New Roman"/>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一、收入支出决算总表</w:t>
      </w:r>
      <w:r>
        <w:rPr>
          <w:rFonts w:ascii="Times New Roman" w:cs="Times New Roman" w:hAnsi="Times New Roman"/>
          <w:sz w:val="24"/>
          <w:szCs w:val="24"/>
          <w:lang w:bidi="ar-SA"/>
        </w:rPr>
        <w:tab/>
      </w:r>
      <w:r>
        <w:rPr>
          <w:rFonts w:cs="Times New Roman" w:hint="eastAsia"/>
          <w:sz w:val="24"/>
          <w:szCs w:val="24"/>
          <w:lang w:val="en-US" w:eastAsia="zh-CN" w:bidi="ar-SA"/>
        </w:rPr>
        <w:t>16</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宋体" w:cs="仿宋_GB2312" w:hAnsi="Times New Roman"/>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二、收入决算表</w:t>
      </w:r>
      <w:r>
        <w:rPr>
          <w:rFonts w:ascii="Times New Roman" w:cs="Times New Roman" w:hAnsi="Times New Roman"/>
          <w:sz w:val="24"/>
          <w:szCs w:val="24"/>
          <w:lang w:bidi="ar-SA"/>
        </w:rPr>
        <w:tab/>
      </w:r>
      <w:r>
        <w:rPr>
          <w:rFonts w:cs="Times New Roman" w:hint="eastAsia"/>
          <w:sz w:val="24"/>
          <w:szCs w:val="24"/>
          <w:lang w:val="en-US" w:eastAsia="zh-CN" w:bidi="ar-SA"/>
        </w:rPr>
        <w:t>16</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宋体" w:cs="仿宋_GB2312" w:hAnsi="Times New Roman"/>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三、支出决算表</w:t>
      </w:r>
      <w:r>
        <w:rPr>
          <w:rFonts w:ascii="Times New Roman" w:cs="Times New Roman" w:hAnsi="Times New Roman"/>
          <w:sz w:val="24"/>
          <w:szCs w:val="24"/>
          <w:lang w:bidi="ar-SA"/>
        </w:rPr>
        <w:tab/>
      </w:r>
      <w:r>
        <w:rPr>
          <w:rFonts w:cs="Times New Roman" w:hint="eastAsia"/>
          <w:sz w:val="24"/>
          <w:szCs w:val="24"/>
          <w:lang w:val="en-US" w:eastAsia="zh-CN" w:bidi="ar-SA"/>
        </w:rPr>
        <w:t>16</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宋体" w:cs="仿宋_GB2312" w:hAnsi="Times New Roman"/>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四、财政拨款收入支出决算总表</w:t>
      </w:r>
      <w:r>
        <w:rPr>
          <w:rFonts w:ascii="Times New Roman" w:cs="Times New Roman" w:hAnsi="Times New Roman"/>
          <w:sz w:val="24"/>
          <w:szCs w:val="24"/>
          <w:lang w:bidi="ar-SA"/>
        </w:rPr>
        <w:tab/>
      </w:r>
      <w:r>
        <w:rPr>
          <w:rFonts w:cs="Times New Roman" w:hint="eastAsia"/>
          <w:sz w:val="24"/>
          <w:szCs w:val="24"/>
          <w:lang w:val="en-US" w:eastAsia="zh-CN" w:bidi="ar-SA"/>
        </w:rPr>
        <w:t>16</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宋体" w:cs="仿宋_GB2312" w:hAnsi="Times New Roman"/>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五、财政拨款支出决算明细表</w:t>
      </w:r>
      <w:r>
        <w:rPr>
          <w:rFonts w:ascii="Times New Roman" w:cs="Times New Roman" w:hAnsi="Times New Roman"/>
          <w:sz w:val="24"/>
          <w:szCs w:val="24"/>
          <w:lang w:bidi="ar-SA"/>
        </w:rPr>
        <w:tab/>
      </w:r>
      <w:r>
        <w:rPr>
          <w:rFonts w:cs="Times New Roman" w:hint="eastAsia"/>
          <w:sz w:val="24"/>
          <w:szCs w:val="24"/>
          <w:lang w:val="en-US" w:eastAsia="zh-CN" w:bidi="ar-SA"/>
        </w:rPr>
        <w:t>16</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宋体" w:cs="仿宋_GB2312" w:hAnsi="Times New Roman"/>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六、一般公共预算财政拨款支出决算表</w:t>
      </w:r>
      <w:r>
        <w:rPr>
          <w:rFonts w:ascii="Times New Roman" w:cs="Times New Roman" w:hAnsi="Times New Roman"/>
          <w:sz w:val="24"/>
          <w:szCs w:val="24"/>
          <w:lang w:bidi="ar-SA"/>
        </w:rPr>
        <w:tab/>
      </w:r>
      <w:r>
        <w:rPr>
          <w:rFonts w:cs="Times New Roman" w:hint="eastAsia"/>
          <w:sz w:val="24"/>
          <w:szCs w:val="24"/>
          <w:lang w:val="en-US" w:eastAsia="zh-CN" w:bidi="ar-SA"/>
        </w:rPr>
        <w:t>16</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宋体" w:cs="仿宋_GB2312" w:hAnsi="Times New Roman"/>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七、一般公共预算财政拨款支出决算明细表</w:t>
      </w:r>
      <w:r>
        <w:rPr>
          <w:rFonts w:ascii="Times New Roman" w:cs="Times New Roman" w:hAnsi="Times New Roman"/>
          <w:sz w:val="24"/>
          <w:szCs w:val="24"/>
          <w:lang w:bidi="ar-SA"/>
        </w:rPr>
        <w:tab/>
      </w:r>
      <w:r>
        <w:rPr>
          <w:rFonts w:cs="Times New Roman" w:hint="eastAsia"/>
          <w:sz w:val="24"/>
          <w:szCs w:val="24"/>
          <w:lang w:val="en-US" w:eastAsia="zh-CN" w:bidi="ar-SA"/>
        </w:rPr>
        <w:t>16</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宋体" w:cs="仿宋_GB2312" w:hAnsi="Times New Roman"/>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八、一般公共预算财政拨款基本支出决算</w:t>
      </w:r>
      <w:r>
        <w:rPr>
          <w:rFonts w:ascii="Times New Roman" w:eastAsia="仿宋_GB2312" w:cs="仿宋_GB2312" w:hAnsi="Times New Roman" w:hint="eastAsia"/>
          <w:color w:val="auto"/>
          <w:sz w:val="32"/>
          <w:szCs w:val="32"/>
          <w:lang w:eastAsia="zh-CN"/>
          <w:highlight w:val="auto"/>
        </w:rPr>
        <w:t>明细</w:t>
      </w:r>
      <w:r>
        <w:rPr>
          <w:rFonts w:ascii="Times New Roman" w:eastAsia="仿宋_GB2312" w:cs="仿宋_GB2312" w:hAnsi="Times New Roman" w:hint="eastAsia"/>
          <w:color w:val="auto"/>
          <w:sz w:val="32"/>
          <w:szCs w:val="32"/>
          <w:highlight w:val="auto"/>
        </w:rPr>
        <w:t>表</w:t>
      </w:r>
      <w:r>
        <w:rPr>
          <w:rFonts w:ascii="Times New Roman" w:cs="Times New Roman" w:hAnsi="Times New Roman"/>
          <w:sz w:val="24"/>
          <w:szCs w:val="24"/>
          <w:lang w:bidi="ar-SA"/>
        </w:rPr>
        <w:tab/>
      </w:r>
      <w:r>
        <w:rPr>
          <w:rFonts w:cs="Times New Roman" w:hint="eastAsia"/>
          <w:sz w:val="24"/>
          <w:szCs w:val="24"/>
          <w:lang w:val="en-US" w:eastAsia="zh-CN" w:bidi="ar-SA"/>
        </w:rPr>
        <w:t>16</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宋体" w:cs="仿宋_GB2312" w:hAnsi="Times New Roman"/>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九、一般公共预算财政拨款项目支出决算表</w:t>
      </w:r>
      <w:r>
        <w:rPr>
          <w:rFonts w:ascii="Times New Roman" w:cs="Times New Roman" w:hAnsi="Times New Roman"/>
          <w:sz w:val="24"/>
          <w:szCs w:val="24"/>
          <w:lang w:bidi="ar-SA"/>
        </w:rPr>
        <w:tab/>
      </w:r>
      <w:r>
        <w:rPr>
          <w:rFonts w:cs="Times New Roman" w:hint="eastAsia"/>
          <w:sz w:val="24"/>
          <w:szCs w:val="24"/>
          <w:lang w:val="en-US" w:eastAsia="zh-CN" w:bidi="ar-SA"/>
        </w:rPr>
        <w:t>16</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宋体" w:cs="仿宋_GB2312" w:hAnsi="Times New Roman"/>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十、政府性基金预算财政拨款收入支出决算表</w:t>
      </w:r>
      <w:r>
        <w:rPr>
          <w:rFonts w:ascii="Times New Roman" w:cs="Times New Roman" w:hAnsi="Times New Roman"/>
          <w:sz w:val="24"/>
          <w:szCs w:val="24"/>
          <w:lang w:bidi="ar-SA"/>
        </w:rPr>
        <w:tab/>
      </w:r>
      <w:r>
        <w:rPr>
          <w:rFonts w:cs="Times New Roman" w:hint="eastAsia"/>
          <w:sz w:val="24"/>
          <w:szCs w:val="24"/>
          <w:lang w:val="en-US" w:eastAsia="zh-CN" w:bidi="ar-SA"/>
        </w:rPr>
        <w:t>16</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宋体" w:cs="仿宋_GB2312" w:hAnsi="Times New Roman"/>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十一、国有资本经营预算财政拨款收入支出决算表</w:t>
      </w:r>
      <w:r>
        <w:rPr>
          <w:rFonts w:ascii="Times New Roman" w:cs="Times New Roman" w:hAnsi="Times New Roman"/>
          <w:sz w:val="24"/>
          <w:szCs w:val="24"/>
          <w:lang w:bidi="ar-SA"/>
        </w:rPr>
        <w:tab/>
      </w:r>
      <w:r>
        <w:rPr>
          <w:rFonts w:cs="Times New Roman" w:hint="eastAsia"/>
          <w:sz w:val="24"/>
          <w:szCs w:val="24"/>
          <w:lang w:val="en-US" w:eastAsia="zh-CN" w:bidi="ar-SA"/>
        </w:rPr>
        <w:t>16</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宋体" w:cs="仿宋_GB2312" w:hAnsi="Times New Roman"/>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十二、</w:t>
      </w:r>
      <w:r>
        <w:rPr>
          <w:rFonts w:ascii="Times New Roman" w:eastAsia="仿宋_GB2312" w:cs="仿宋_GB2312" w:hAnsi="Times New Roman" w:hint="eastAsia"/>
          <w:color w:val="auto"/>
          <w:sz w:val="32"/>
          <w:szCs w:val="32"/>
          <w:lang w:val="en-US" w:eastAsia="zh-CN"/>
          <w:highlight w:val="auto"/>
        </w:rPr>
        <w:t>国有资本经营预算财政拨款支出决算表</w:t>
      </w:r>
      <w:r>
        <w:rPr>
          <w:rFonts w:ascii="Times New Roman" w:cs="Times New Roman" w:hAnsi="Times New Roman"/>
          <w:sz w:val="24"/>
          <w:szCs w:val="24"/>
          <w:lang w:bidi="ar-SA"/>
        </w:rPr>
        <w:tab/>
      </w:r>
      <w:r>
        <w:rPr>
          <w:rFonts w:cs="Times New Roman" w:hint="eastAsia"/>
          <w:sz w:val="24"/>
          <w:szCs w:val="24"/>
          <w:lang w:val="en-US" w:eastAsia="zh-CN" w:bidi="ar-SA"/>
        </w:rPr>
        <w:t>16</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宋体" w:cs="仿宋_GB2312" w:hAnsi="Times New Roman"/>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十三、财政拨款“三公”经费支出决算表</w:t>
      </w:r>
      <w:r>
        <w:rPr>
          <w:rFonts w:ascii="Times New Roman" w:cs="Times New Roman" w:hAnsi="Times New Roman"/>
          <w:sz w:val="24"/>
          <w:szCs w:val="24"/>
          <w:lang w:bidi="ar-SA"/>
        </w:rPr>
        <w:tab/>
      </w:r>
      <w:r>
        <w:rPr>
          <w:rFonts w:cs="Times New Roman" w:hint="eastAsia"/>
          <w:sz w:val="24"/>
          <w:szCs w:val="24"/>
          <w:lang w:val="en-US" w:eastAsia="zh-CN" w:bidi="ar-SA"/>
        </w:rPr>
        <w:t>16</w:t>
      </w:r>
    </w:p>
    <w:p>
      <w:pPr>
        <w:keepNext w:val="0"/>
        <w:keepLines w:val="0"/>
        <w:pageBreakBefore w:val="0"/>
        <w:widowControl/>
        <w:kinsoku/>
        <w:wordWrap/>
        <w:overflowPunct/>
        <w:topLinePunct w:val="0"/>
        <w:autoSpaceDE/>
        <w:autoSpaceDN/>
        <w:bidi w:val="0"/>
        <w:spacing w:line="560" w:lineRule="exact"/>
        <w:jc w:val="left"/>
        <w:textAlignment w:val="auto"/>
        <w:rPr>
          <w:rFonts w:ascii="Times New Roman" w:eastAsia="仿宋_GB2312" w:cs="仿宋_GB2312" w:hAnsi="Times New Roman" w:hint="eastAsia"/>
          <w:bCs/>
          <w:color w:val="auto"/>
          <w:kern w:val="44"/>
          <w:sz w:val="32"/>
          <w:szCs w:val="32"/>
          <w:highlight w:val="auto"/>
        </w:rPr>
      </w:pPr>
      <w:bookmarkStart w:id="13" w:name="_Toc15377196"/>
      <w:bookmarkStart w:id="14" w:name="_Toc15396599"/>
      <w:r>
        <w:rPr>
          <w:rFonts w:ascii="Times New Roman" w:eastAsia="仿宋_GB2312" w:cs="仿宋_GB2312" w:hAnsi="Times New Roman" w:hint="eastAsia"/>
          <w:b/>
          <w:color w:val="auto"/>
          <w:sz w:val="32"/>
          <w:szCs w:val="32"/>
          <w:highlight w:val="auto"/>
        </w:rPr>
        <w:br w:type="page"/>
      </w:r>
    </w:p>
    <w:p>
      <w:pPr>
        <w:pStyle w:val="1"/>
        <w:jc w:val="center"/>
        <w:rPr>
          <w:rStyle w:val="1Char"/>
          <w:rFonts w:ascii="Times New Roman" w:eastAsia="方正小标宋简体" w:cs="方正小标宋简体" w:hAnsi="Times New Roman" w:hint="eastAsia"/>
          <w:b/>
          <w:bCs w:val="0"/>
          <w:color w:val="auto"/>
          <w:highlight w:val="auto"/>
        </w:rPr>
      </w:pPr>
      <w:r>
        <w:rPr>
          <w:rFonts w:ascii="Times New Roman" w:eastAsia="方正小标宋简体" w:cs="方正小标宋简体" w:hAnsi="Times New Roman" w:hint="eastAsia"/>
          <w:b w:val="0"/>
          <w:color w:val="auto"/>
          <w:highlight w:val="auto"/>
        </w:rPr>
        <w:t>第一部分</w:t>
      </w:r>
      <w:r>
        <w:rPr>
          <w:rFonts w:ascii="Times New Roman" w:eastAsia="方正小标宋简体" w:cs="方正小标宋简体" w:hAnsi="Times New Roman" w:hint="eastAsia"/>
          <w:b w:val="0"/>
          <w:color w:val="auto"/>
          <w:lang w:val="en-US" w:eastAsia="zh-CN"/>
          <w:highlight w:val="auto"/>
        </w:rPr>
        <w:t xml:space="preserve"> </w:t>
      </w:r>
      <w:r>
        <w:rPr>
          <w:rFonts w:ascii="Times New Roman" w:eastAsia="方正小标宋简体" w:cs="方正小标宋简体" w:hAnsi="Times New Roman" w:hint="eastAsia"/>
          <w:b w:val="0"/>
          <w:color w:val="auto"/>
          <w:highlight w:val="auto"/>
        </w:rPr>
        <w:t xml:space="preserve"> </w:t>
      </w:r>
      <w:r>
        <w:rPr>
          <w:rStyle w:val="1Char"/>
          <w:rFonts w:eastAsia="方正小标宋简体" w:cs="方正小标宋简体" w:hint="eastAsia"/>
          <w:b w:val="0"/>
          <w:bCs w:val="0"/>
          <w:color w:val="auto"/>
          <w:lang w:eastAsia="zh-CN"/>
          <w:highlight w:val="auto"/>
        </w:rPr>
        <w:t>单位</w:t>
      </w:r>
      <w:r>
        <w:rPr>
          <w:rStyle w:val="1Char"/>
          <w:rFonts w:ascii="Times New Roman" w:eastAsia="方正小标宋简体" w:cs="方正小标宋简体" w:hAnsi="Times New Roman" w:hint="eastAsia"/>
          <w:b w:val="0"/>
          <w:bCs w:val="0"/>
          <w:color w:val="auto"/>
          <w:highlight w:val="auto"/>
        </w:rPr>
        <w:t>概况</w:t>
      </w:r>
      <w:bookmarkEnd w:id="13"/>
      <w:bookmarkEnd w:id="14"/>
    </w:p>
    <w:p>
      <w:pPr>
        <w:pStyle w:val="2"/>
        <w:keepNext/>
        <w:keepLines/>
        <w:pageBreakBefore w:val="0"/>
        <w:widowControl w:val="0"/>
        <w:kinsoku/>
        <w:wordWrap/>
        <w:overflowPunct/>
        <w:topLinePunct w:val="0"/>
        <w:autoSpaceDE/>
        <w:autoSpaceDN/>
        <w:bidi w:val="0"/>
        <w:spacing w:before="0" w:after="0"/>
        <w:jc w:val="left"/>
        <w:textAlignment w:val="auto"/>
        <w:rPr>
          <w:rFonts w:ascii="Times New Roman" w:eastAsia="黑体" w:hAnsi="Times New Roman" w:hint="eastAsia"/>
          <w:b w:val="0"/>
          <w:color w:val="auto"/>
          <w:highlight w:val="auto"/>
        </w:rPr>
      </w:pPr>
      <w:bookmarkStart w:id="15" w:name="_Toc15377197"/>
      <w:bookmarkStart w:id="16" w:name="_Toc15396600"/>
    </w:p>
    <w:p>
      <w:pPr>
        <w:pStyle w:val="2"/>
        <w:keepNext/>
        <w:keepLines/>
        <w:pageBreakBefore w:val="0"/>
        <w:widowControl w:val="0"/>
        <w:kinsoku/>
        <w:wordWrap/>
        <w:overflowPunct/>
        <w:topLinePunct w:val="0"/>
        <w:autoSpaceDE/>
        <w:autoSpaceDN/>
        <w:bidi w:val="0"/>
        <w:spacing w:before="0" w:after="0"/>
        <w:jc w:val="left"/>
        <w:textAlignment w:val="auto"/>
        <w:rPr>
          <w:rStyle w:val="2Char"/>
          <w:rFonts w:ascii="Times New Roman" w:eastAsia="黑体" w:hAnsi="Times New Roman" w:hint="eastAsia"/>
          <w:b w:val="0"/>
          <w:bCs w:val="0"/>
          <w:color w:val="auto"/>
          <w:lang w:eastAsia="zh-CN"/>
          <w:highlight w:val="auto"/>
        </w:rPr>
      </w:pPr>
      <w:r>
        <w:rPr>
          <w:rFonts w:ascii="Times New Roman" w:eastAsia="黑体" w:hAnsi="Times New Roman" w:hint="eastAsia"/>
          <w:b w:val="0"/>
          <w:color w:val="auto"/>
          <w:highlight w:val="auto"/>
        </w:rPr>
        <w:t>一、</w:t>
      </w:r>
      <w:bookmarkEnd w:id="15"/>
      <w:bookmarkEnd w:id="16"/>
      <w:r>
        <w:rPr>
          <w:rFonts w:ascii="Times New Roman" w:eastAsia="黑体" w:hAnsi="Times New Roman" w:hint="eastAsia"/>
          <w:b w:val="0"/>
          <w:color w:val="auto"/>
          <w:lang w:eastAsia="zh-CN"/>
          <w:highlight w:val="auto"/>
        </w:rPr>
        <w:t>单位职责</w:t>
      </w:r>
    </w:p>
    <w:p>
      <w:pPr>
        <w:pageBreakBefore w:val="0"/>
        <w:widowControl w:val="0"/>
        <w:kinsoku/>
        <w:wordWrap/>
        <w:overflowPunct/>
        <w:topLinePunct w:val="0"/>
        <w:autoSpaceDE/>
        <w:autoSpaceDN/>
        <w:bidi w:val="0"/>
        <w:spacing w:line="560" w:lineRule="exact"/>
        <w:ind w:firstLineChars="200" w:firstLine="640"/>
        <w:jc w:val="left"/>
        <w:textAlignment w:val="auto"/>
        <w:rPr>
          <w:rFonts w:ascii="Times New Roman" w:eastAsia="黑体" w:hAnsi="Times New Roman" w:hint="eastAsia"/>
          <w:b w:val="0"/>
          <w:color w:val="auto"/>
          <w:highlight w:val="auto"/>
        </w:rPr>
      </w:pPr>
      <w:bookmarkStart w:id="17" w:name="_Toc15396601"/>
      <w:bookmarkStart w:id="18" w:name="_Toc15377200"/>
      <w:r>
        <w:rPr>
          <w:rFonts w:ascii="Times New Roman" w:eastAsia="仿宋" w:hAnsi="Times New Roman" w:hint="eastAsia"/>
          <w:sz w:val="32"/>
          <w:szCs w:val="32"/>
          <w:lang w:eastAsia="zh-CN"/>
        </w:rPr>
        <w:t>承担日常院前急救和突发公共事件医疗救援的指挥调度；负责传染病人转运协调和危重病人转诊；开展院前急救培训；负责全市救护车的统一规范管理和医疗救援物资储备的日常管理；开展急诊急救质量控制等工作。</w:t>
      </w:r>
    </w:p>
    <w:p>
      <w:pPr>
        <w:pStyle w:val="2"/>
        <w:keepNext/>
        <w:keepLines/>
        <w:pageBreakBefore w:val="0"/>
        <w:widowControl w:val="0"/>
        <w:kinsoku/>
        <w:wordWrap/>
        <w:overflowPunct/>
        <w:topLinePunct w:val="0"/>
        <w:autoSpaceDE/>
        <w:autoSpaceDN/>
        <w:bidi w:val="0"/>
        <w:spacing w:before="0" w:after="0"/>
        <w:jc w:val="left"/>
        <w:textAlignment w:val="auto"/>
        <w:rPr>
          <w:rStyle w:val="2Char"/>
          <w:rFonts w:ascii="Times New Roman" w:hAnsi="Times New Roman"/>
          <w:b w:val="0"/>
          <w:bCs w:val="0"/>
          <w:color w:val="auto"/>
          <w:highlight w:val="auto"/>
        </w:rPr>
      </w:pPr>
      <w:r>
        <w:rPr>
          <w:rFonts w:ascii="Times New Roman" w:eastAsia="黑体" w:hAnsi="Times New Roman" w:hint="eastAsia"/>
          <w:b w:val="0"/>
          <w:color w:val="auto"/>
          <w:highlight w:val="auto"/>
        </w:rPr>
        <w:t>二、机</w:t>
      </w:r>
      <w:r>
        <w:rPr>
          <w:rStyle w:val="2Char"/>
          <w:rFonts w:ascii="Times New Roman" w:eastAsia="黑体" w:hAnsi="Times New Roman" w:hint="eastAsia"/>
          <w:b w:val="0"/>
          <w:bCs w:val="0"/>
          <w:color w:val="auto"/>
          <w:highlight w:val="auto"/>
        </w:rPr>
        <w:t>构设置</w:t>
      </w:r>
      <w:bookmarkEnd w:id="17"/>
      <w:bookmarkEnd w:id="18"/>
    </w:p>
    <w:p>
      <w:pPr>
        <w:pageBreakBefore w:val="0"/>
        <w:widowControl w:val="0"/>
        <w:kinsoku/>
        <w:wordWrap/>
        <w:overflowPunct/>
        <w:topLinePunct w:val="0"/>
        <w:autoSpaceDE/>
        <w:autoSpaceDN/>
        <w:bidi w:val="0"/>
        <w:ind w:firstLineChars="250" w:firstLine="800"/>
        <w:jc w:val="left"/>
        <w:textAlignment w:val="auto"/>
        <w:rPr>
          <w:rFonts w:ascii="Times New Roman" w:eastAsia="仿宋_GB2312" w:cs="仿宋_GB2312" w:hAnsi="Times New Roman" w:hint="eastAsia"/>
          <w:color w:val="auto"/>
          <w:sz w:val="32"/>
          <w:szCs w:val="32"/>
          <w:highlight w:val="auto"/>
        </w:rPr>
      </w:pPr>
      <w:r>
        <w:rPr>
          <w:rFonts w:ascii="仿宋_GB2312" w:eastAsia="仿宋_GB2312" w:cs="仿宋_GB2312" w:hint="eastAsia"/>
          <w:color w:val="auto"/>
          <w:sz w:val="32"/>
          <w:szCs w:val="32"/>
          <w:highlight w:val="auto"/>
        </w:rPr>
        <w:t>四川省攀枝花市紧急医学救援中心</w:t>
      </w:r>
      <w:r>
        <w:rPr>
          <w:rFonts w:ascii="Times New Roman" w:eastAsia="仿宋_GB2312" w:cs="仿宋_GB2312" w:hAnsi="Times New Roman" w:hint="eastAsia"/>
          <w:color w:val="auto"/>
          <w:sz w:val="32"/>
          <w:szCs w:val="32"/>
          <w:highlight w:val="auto"/>
        </w:rPr>
        <w:t>下属二级</w:t>
      </w:r>
      <w:r>
        <w:rPr>
          <w:rFonts w:ascii="Times New Roman" w:eastAsia="仿宋_GB2312" w:cs="仿宋_GB2312" w:hAnsi="Times New Roman" w:hint="eastAsia"/>
          <w:color w:val="auto"/>
          <w:sz w:val="32"/>
          <w:szCs w:val="32"/>
          <w:lang w:eastAsia="zh-CN"/>
          <w:highlight w:val="auto"/>
        </w:rPr>
        <w:t>预算</w:t>
      </w:r>
      <w:r>
        <w:rPr>
          <w:rFonts w:ascii="Times New Roman" w:eastAsia="仿宋_GB2312" w:cs="仿宋_GB2312" w:hAnsi="Times New Roman" w:hint="eastAsia"/>
          <w:color w:val="auto"/>
          <w:sz w:val="32"/>
          <w:szCs w:val="32"/>
          <w:highlight w:val="auto"/>
        </w:rPr>
        <w:t>单位</w:t>
      </w:r>
      <w:r>
        <w:rPr>
          <w:rFonts w:eastAsia="仿宋_GB2312" w:cs="仿宋_GB2312" w:hint="eastAsia"/>
          <w:color w:val="auto"/>
          <w:sz w:val="32"/>
          <w:szCs w:val="32"/>
          <w:lang w:val="en-US" w:eastAsia="zh-CN"/>
          <w:highlight w:val="auto"/>
        </w:rPr>
        <w:t>0</w:t>
      </w:r>
      <w:r>
        <w:rPr>
          <w:rFonts w:ascii="Times New Roman" w:eastAsia="仿宋_GB2312" w:cs="仿宋_GB2312" w:hAnsi="Times New Roman" w:hint="eastAsia"/>
          <w:color w:val="auto"/>
          <w:sz w:val="32"/>
          <w:szCs w:val="32"/>
          <w:highlight w:val="auto"/>
        </w:rPr>
        <w:t>个，其中行政单位</w:t>
      </w:r>
      <w:r>
        <w:rPr>
          <w:rFonts w:eastAsia="仿宋_GB2312" w:cs="仿宋_GB2312" w:hint="eastAsia"/>
          <w:color w:val="auto"/>
          <w:sz w:val="32"/>
          <w:szCs w:val="32"/>
          <w:lang w:val="en-US" w:eastAsia="zh-CN"/>
          <w:highlight w:val="auto"/>
        </w:rPr>
        <w:t>0</w:t>
      </w:r>
      <w:r>
        <w:rPr>
          <w:rFonts w:ascii="Times New Roman" w:eastAsia="仿宋_GB2312" w:cs="仿宋_GB2312" w:hAnsi="Times New Roman" w:hint="eastAsia"/>
          <w:color w:val="auto"/>
          <w:sz w:val="32"/>
          <w:szCs w:val="32"/>
          <w:highlight w:val="auto"/>
        </w:rPr>
        <w:t>个，参照公务员法管理的事业单位</w:t>
      </w:r>
      <w:r>
        <w:rPr>
          <w:rFonts w:eastAsia="仿宋_GB2312" w:cs="仿宋_GB2312" w:hint="eastAsia"/>
          <w:bCs/>
          <w:color w:val="auto"/>
          <w:sz w:val="32"/>
          <w:szCs w:val="32"/>
          <w:lang w:val="en-US" w:eastAsia="zh-CN"/>
          <w:highlight w:val="auto"/>
        </w:rPr>
        <w:t>0</w:t>
      </w:r>
      <w:r>
        <w:rPr>
          <w:rFonts w:ascii="Times New Roman" w:eastAsia="仿宋_GB2312" w:cs="仿宋_GB2312" w:hAnsi="Times New Roman" w:hint="eastAsia"/>
          <w:color w:val="auto"/>
          <w:sz w:val="32"/>
          <w:szCs w:val="32"/>
          <w:highlight w:val="auto"/>
        </w:rPr>
        <w:t>个，其他事业单位</w:t>
      </w:r>
      <w:r>
        <w:rPr>
          <w:rFonts w:eastAsia="仿宋_GB2312" w:cs="仿宋_GB2312" w:hint="eastAsia"/>
          <w:color w:val="auto"/>
          <w:sz w:val="32"/>
          <w:szCs w:val="32"/>
          <w:lang w:val="en-US" w:eastAsia="zh-CN"/>
          <w:highlight w:val="auto"/>
        </w:rPr>
        <w:t>0</w:t>
      </w:r>
      <w:r>
        <w:rPr>
          <w:rFonts w:ascii="Times New Roman" w:eastAsia="仿宋_GB2312" w:cs="仿宋_GB2312" w:hAnsi="Times New Roman" w:hint="eastAsia"/>
          <w:color w:val="auto"/>
          <w:sz w:val="32"/>
          <w:szCs w:val="32"/>
          <w:highlight w:val="auto"/>
        </w:rPr>
        <w:t>个。</w:t>
      </w:r>
    </w:p>
    <w:p>
      <w:pPr>
        <w:pStyle w:val="16"/>
        <w:pageBreakBefore w:val="0"/>
        <w:widowControl w:val="0"/>
        <w:kinsoku/>
        <w:wordWrap/>
        <w:overflowPunct/>
        <w:topLinePunct w:val="0"/>
        <w:autoSpaceDE/>
        <w:autoSpaceDN/>
        <w:bidi w:val="0"/>
        <w:adjustRightInd w:val="0"/>
        <w:snapToGrid w:val="0"/>
        <w:spacing w:beforeLines="0" w:before="30" w:line="600" w:lineRule="exact"/>
        <w:ind w:firstLineChars="208" w:firstLine="669"/>
        <w:jc w:val="left"/>
        <w:textAlignment w:val="auto"/>
        <w:rPr>
          <w:rFonts w:ascii="Times New Roman" w:eastAsia="仿宋_GB2312" w:cs="仿宋_GB2312" w:hAnsi="Times New Roman" w:hint="eastAsia"/>
          <w:color w:val="auto"/>
          <w:sz w:val="32"/>
          <w:szCs w:val="32"/>
          <w:lang w:eastAsia="zh-CN"/>
          <w:highlight w:val="auto"/>
        </w:rPr>
      </w:pPr>
      <w:r>
        <w:rPr>
          <w:rFonts w:ascii="Times New Roman" w:eastAsia="仿宋_GB2312" w:cs="仿宋_GB2312" w:hAnsi="Times New Roman" w:hint="eastAsia"/>
          <w:color w:val="auto"/>
          <w:sz w:val="32"/>
          <w:szCs w:val="32"/>
          <w:highlight w:val="auto"/>
        </w:rPr>
        <w:t>纳入</w:t>
      </w:r>
      <w:r>
        <w:rPr>
          <w:sz w:val="32"/>
          <w:szCs w:val="32"/>
        </w:rPr>
        <w:t>四川省攀枝花市紧急医学救援中心</w:t>
      </w:r>
      <w:r>
        <w:rPr>
          <w:rFonts w:ascii="Times New Roman" w:eastAsia="仿宋_GB2312" w:cs="仿宋_GB2312" w:hAnsi="Times New Roman" w:hint="eastAsia"/>
          <w:color w:val="auto"/>
          <w:sz w:val="32"/>
          <w:szCs w:val="32"/>
          <w:lang w:eastAsia="zh-CN"/>
          <w:highlight w:val="auto"/>
        </w:rPr>
        <w:t>2024年度</w:t>
      </w:r>
      <w:r>
        <w:rPr>
          <w:rFonts w:ascii="Times New Roman" w:eastAsia="仿宋_GB2312" w:cs="仿宋_GB2312" w:hAnsi="Times New Roman" w:hint="eastAsia"/>
          <w:color w:val="auto"/>
          <w:sz w:val="32"/>
          <w:szCs w:val="32"/>
          <w:highlight w:val="auto"/>
        </w:rPr>
        <w:t>部门决算编制范围的二级预算单位</w:t>
      </w:r>
      <w:r>
        <w:rPr>
          <w:rFonts w:ascii="Times New Roman" w:cs="仿宋_GB2312" w:hAnsi="Times New Roman" w:hint="eastAsia"/>
          <w:color w:val="auto"/>
          <w:sz w:val="32"/>
          <w:szCs w:val="32"/>
          <w:lang w:eastAsia="zh-CN"/>
          <w:highlight w:val="auto"/>
        </w:rPr>
        <w:t>：无。</w:t>
      </w:r>
    </w:p>
    <w:p>
      <w:pPr>
        <w:pStyle w:val="1"/>
        <w:keepNext/>
        <w:keepLines/>
        <w:pageBreakBefore w:val="0"/>
        <w:widowControl w:val="0"/>
        <w:kinsoku/>
        <w:wordWrap/>
        <w:overflowPunct/>
        <w:topLinePunct w:val="0"/>
        <w:autoSpaceDE/>
        <w:autoSpaceDN/>
        <w:bidi w:val="0"/>
        <w:spacing w:before="0" w:after="0"/>
        <w:jc w:val="left"/>
        <w:textAlignment w:val="auto"/>
        <w:rPr>
          <w:rFonts w:ascii="Times New Roman" w:eastAsia="方正小标宋简体" w:cs="方正小标宋简体" w:hAnsi="Times New Roman" w:hint="eastAsia"/>
          <w:b w:val="0"/>
          <w:color w:val="auto"/>
          <w:highlight w:val="auto"/>
        </w:rPr>
      </w:pPr>
      <w:bookmarkStart w:id="19" w:name="_Toc15396602"/>
      <w:bookmarkStart w:id="20" w:name="_Toc15377204"/>
    </w:p>
    <w:p>
      <w:pPr>
        <w:pStyle w:val="1"/>
        <w:keepNext/>
        <w:keepLines/>
        <w:pageBreakBefore w:val="0"/>
        <w:widowControl w:val="0"/>
        <w:kinsoku/>
        <w:wordWrap/>
        <w:overflowPunct/>
        <w:topLinePunct w:val="0"/>
        <w:autoSpaceDE/>
        <w:autoSpaceDN/>
        <w:bidi w:val="0"/>
        <w:spacing w:before="0" w:after="0"/>
        <w:jc w:val="left"/>
        <w:textAlignment w:val="auto"/>
        <w:rPr>
          <w:rFonts w:ascii="Times New Roman" w:eastAsia="方正小标宋简体" w:cs="方正小标宋简体" w:hAnsi="Times New Roman" w:hint="eastAsia"/>
          <w:b w:val="0"/>
          <w:color w:val="auto"/>
          <w:highlight w:val="auto"/>
        </w:rPr>
      </w:pPr>
      <w:r>
        <w:rPr>
          <w:rFonts w:ascii="Times New Roman" w:eastAsia="方正小标宋简体" w:cs="方正小标宋简体" w:hAnsi="Times New Roman" w:hint="eastAsia"/>
          <w:b w:val="0"/>
          <w:color w:val="auto"/>
          <w:highlight w:val="auto"/>
        </w:rPr>
        <w:t>第二部分</w:t>
      </w:r>
      <w:r>
        <w:rPr>
          <w:rFonts w:ascii="Times New Roman" w:eastAsia="方正小标宋简体" w:cs="方正小标宋简体" w:hAnsi="Times New Roman" w:hint="eastAsia"/>
          <w:b w:val="0"/>
          <w:color w:val="auto"/>
          <w:lang w:val="en-US" w:eastAsia="zh-CN"/>
          <w:highlight w:val="auto"/>
        </w:rPr>
        <w:t xml:space="preserve"> </w:t>
      </w:r>
      <w:r>
        <w:rPr>
          <w:rFonts w:ascii="Times New Roman" w:eastAsia="方正小标宋简体" w:cs="方正小标宋简体" w:hAnsi="Times New Roman" w:hint="eastAsia"/>
          <w:b w:val="0"/>
          <w:color w:val="auto"/>
          <w:highlight w:val="auto"/>
        </w:rPr>
        <w:t xml:space="preserve"> </w:t>
      </w:r>
      <w:r>
        <w:rPr>
          <w:rFonts w:ascii="Times New Roman" w:eastAsia="方正小标宋简体" w:cs="方正小标宋简体" w:hAnsi="Times New Roman" w:hint="eastAsia"/>
          <w:b w:val="0"/>
          <w:color w:val="auto"/>
          <w:lang w:val="en-US" w:eastAsia="zh-CN"/>
          <w:highlight w:val="auto"/>
        </w:rPr>
        <w:t>2024年度</w:t>
      </w:r>
      <w:r>
        <w:rPr>
          <w:rFonts w:eastAsia="方正小标宋简体" w:cs="方正小标宋简体" w:hint="eastAsia"/>
          <w:b w:val="0"/>
          <w:color w:val="auto"/>
          <w:lang w:eastAsia="zh-CN"/>
          <w:highlight w:val="auto"/>
        </w:rPr>
        <w:t>单位</w:t>
      </w:r>
      <w:r>
        <w:rPr>
          <w:rFonts w:ascii="Times New Roman" w:eastAsia="方正小标宋简体" w:cs="方正小标宋简体" w:hAnsi="Times New Roman" w:hint="eastAsia"/>
          <w:b w:val="0"/>
          <w:color w:val="auto"/>
          <w:highlight w:val="auto"/>
        </w:rPr>
        <w:t>决算情况说明</w:t>
      </w:r>
      <w:bookmarkEnd w:id="19"/>
      <w:bookmarkEnd w:id="20"/>
    </w:p>
    <w:p>
      <w:pPr>
        <w:pStyle w:val="32"/>
        <w:keepNext w:val="0"/>
        <w:keepLines w:val="0"/>
        <w:pageBreakBefore w:val="0"/>
        <w:widowControl w:val="0"/>
        <w:kinsoku/>
        <w:wordWrap/>
        <w:overflowPunct/>
        <w:topLinePunct w:val="0"/>
        <w:autoSpaceDE/>
        <w:autoSpaceDN/>
        <w:bidi w:val="0"/>
        <w:adjustRightInd/>
        <w:snapToGrid/>
        <w:spacing w:line="600" w:lineRule="exact"/>
        <w:ind w:left="0" w:firstLineChars="200" w:firstLine="640"/>
        <w:jc w:val="left"/>
        <w:textAlignment w:val="auto"/>
        <w:outlineLvl w:val="1"/>
        <w:rPr>
          <w:rStyle w:val="2Char"/>
          <w:rFonts w:ascii="Times New Roman" w:eastAsia="黑体" w:hAnsi="Times New Roman" w:hint="eastAsia"/>
          <w:b w:val="0"/>
          <w:color w:val="auto"/>
          <w:highlight w:val="auto"/>
        </w:rPr>
      </w:pPr>
      <w:bookmarkStart w:id="21" w:name="_Toc15377205"/>
      <w:bookmarkStart w:id="22" w:name="_Toc15396603"/>
      <w:r>
        <w:rPr>
          <w:rFonts w:ascii="Times New Roman" w:eastAsia="黑体" w:hAnsi="Times New Roman" w:hint="eastAsia"/>
          <w:color w:val="auto"/>
          <w:sz w:val="32"/>
          <w:szCs w:val="32"/>
          <w:lang w:eastAsia="zh-CN"/>
          <w:highlight w:val="auto"/>
        </w:rPr>
        <w:t>一、</w:t>
      </w:r>
      <w:r>
        <w:rPr>
          <w:rFonts w:ascii="Times New Roman" w:eastAsia="黑体" w:hAnsi="Times New Roman" w:hint="eastAsia"/>
          <w:color w:val="auto"/>
          <w:sz w:val="32"/>
          <w:szCs w:val="32"/>
          <w:highlight w:val="auto"/>
        </w:rPr>
        <w:t>收</w:t>
      </w:r>
      <w:r>
        <w:rPr>
          <w:rStyle w:val="2Char"/>
          <w:rFonts w:ascii="Times New Roman" w:eastAsia="黑体" w:hAnsi="Times New Roman" w:hint="eastAsia"/>
          <w:b w:val="0"/>
          <w:color w:val="auto"/>
          <w:highlight w:val="auto"/>
        </w:rPr>
        <w:t>入支出决算总体情况说明</w:t>
      </w:r>
      <w:bookmarkEnd w:id="21"/>
      <w:bookmarkEnd w:id="22"/>
    </w:p>
    <w:p>
      <w:pPr>
        <w:pStyle w:val="32"/>
        <w:keepNext w:val="0"/>
        <w:keepLines w:val="0"/>
        <w:pageBreakBefore w:val="0"/>
        <w:widowControl w:val="0"/>
        <w:kinsoku/>
        <w:wordWrap/>
        <w:overflowPunct/>
        <w:topLinePunct w:val="0"/>
        <w:autoSpaceDE/>
        <w:autoSpaceDN/>
        <w:bidi w:val="0"/>
        <w:adjustRightInd/>
        <w:snapToGrid/>
        <w:spacing w:line="600" w:lineRule="exact"/>
        <w:ind w:left="0" w:firstLineChars="200" w:firstLine="640"/>
        <w:jc w:val="left"/>
        <w:textAlignment w:val="auto"/>
        <w:outlineLvl w:val="1"/>
        <w:rPr>
          <w:rFonts w:ascii="Times New Roman" w:eastAsia="仿宋_GB2312" w:cs="仿宋_GB2312" w:hAnsi="Times New Roman" w:hint="eastAsia"/>
          <w:color w:val="auto"/>
          <w:sz w:val="32"/>
          <w:szCs w:val="32"/>
          <w:lang w:eastAsia="zh-CN"/>
          <w:highlight w:val="auto"/>
        </w:rPr>
      </w:pPr>
      <w:r>
        <w:rPr>
          <w:rFonts w:ascii="Times New Roman" w:eastAsia="仿宋_GB2312" w:cs="仿宋_GB2312" w:hAnsi="Times New Roman" w:hint="eastAsia"/>
          <w:color w:val="auto"/>
          <w:sz w:val="32"/>
          <w:szCs w:val="32"/>
          <w:lang w:eastAsia="zh-CN"/>
          <w:highlight w:val="auto"/>
        </w:rPr>
        <w:t>2024年度收入</w:t>
      </w:r>
      <w:r>
        <w:rPr>
          <w:rFonts w:ascii="Times New Roman" w:eastAsia="仿宋_GB2312" w:cs="仿宋_GB2312" w:hAnsi="Times New Roman" w:hint="eastAsia"/>
          <w:color w:val="auto"/>
          <w:sz w:val="32"/>
          <w:szCs w:val="32"/>
          <w:highlight w:val="auto"/>
        </w:rPr>
        <w:t>、</w:t>
      </w:r>
      <w:r>
        <w:rPr>
          <w:rFonts w:ascii="Times New Roman" w:eastAsia="仿宋_GB2312" w:cs="仿宋_GB2312" w:hAnsi="Times New Roman" w:hint="eastAsia"/>
          <w:color w:val="auto"/>
          <w:sz w:val="32"/>
          <w:szCs w:val="32"/>
          <w:lang w:eastAsia="zh-CN"/>
          <w:highlight w:val="auto"/>
        </w:rPr>
        <w:t>支出</w:t>
      </w:r>
      <w:r>
        <w:rPr>
          <w:rFonts w:ascii="Times New Roman" w:eastAsia="仿宋_GB2312" w:cs="仿宋_GB2312" w:hAnsi="Times New Roman" w:hint="eastAsia"/>
          <w:color w:val="auto"/>
          <w:sz w:val="32"/>
          <w:szCs w:val="32"/>
          <w:highlight w:val="auto"/>
        </w:rPr>
        <w:t>总计</w:t>
      </w:r>
      <w:r>
        <w:rPr>
          <w:rFonts w:ascii="Times New Roman" w:eastAsia="仿宋_GB2312" w:cs="仿宋_GB2312" w:hAnsi="Times New Roman" w:hint="eastAsia"/>
          <w:color w:val="auto"/>
          <w:sz w:val="32"/>
          <w:szCs w:val="32"/>
          <w:lang w:eastAsia="zh-CN"/>
          <w:highlight w:val="auto"/>
        </w:rPr>
        <w:t>均为</w:t>
      </w:r>
      <w:r>
        <w:rPr>
          <w:rFonts w:ascii="仿宋_GB2312" w:eastAsia="仿宋_GB2312" w:cs="仿宋_GB2312" w:hint="eastAsia"/>
          <w:sz w:val="32"/>
          <w:szCs w:val="32"/>
        </w:rPr>
        <w:t>253.78</w:t>
      </w:r>
      <w:r>
        <w:rPr>
          <w:rFonts w:ascii="Times New Roman" w:eastAsia="仿宋_GB2312" w:cs="仿宋_GB2312" w:hAnsi="Times New Roman" w:hint="eastAsia"/>
          <w:color w:val="auto"/>
          <w:sz w:val="32"/>
          <w:szCs w:val="32"/>
          <w:highlight w:val="auto"/>
        </w:rPr>
        <w:t>万元。与</w:t>
      </w:r>
      <w:r>
        <w:rPr>
          <w:rFonts w:ascii="Times New Roman" w:eastAsia="仿宋_GB2312" w:cs="仿宋_GB2312" w:hAnsi="Times New Roman" w:hint="eastAsia"/>
          <w:color w:val="auto"/>
          <w:sz w:val="32"/>
          <w:szCs w:val="32"/>
          <w:lang w:eastAsia="zh-CN"/>
          <w:highlight w:val="auto"/>
        </w:rPr>
        <w:t>202</w:t>
      </w:r>
      <w:r>
        <w:rPr>
          <w:rFonts w:ascii="Times New Roman" w:eastAsia="仿宋_GB2312" w:cs="仿宋_GB2312" w:hAnsi="Times New Roman" w:hint="eastAsia"/>
          <w:color w:val="auto"/>
          <w:sz w:val="32"/>
          <w:szCs w:val="32"/>
          <w:lang w:val="en-US" w:eastAsia="zh-CN"/>
          <w:highlight w:val="auto"/>
        </w:rPr>
        <w:t>3</w:t>
      </w:r>
      <w:r>
        <w:rPr>
          <w:rFonts w:ascii="Times New Roman" w:eastAsia="仿宋_GB2312" w:cs="仿宋_GB2312" w:hAnsi="Times New Roman" w:hint="eastAsia"/>
          <w:color w:val="auto"/>
          <w:sz w:val="32"/>
          <w:szCs w:val="32"/>
          <w:highlight w:val="auto"/>
        </w:rPr>
        <w:t>年</w:t>
      </w:r>
      <w:r>
        <w:rPr>
          <w:rFonts w:ascii="Times New Roman" w:eastAsia="仿宋_GB2312" w:cs="仿宋_GB2312" w:hAnsi="Times New Roman" w:hint="eastAsia"/>
          <w:color w:val="auto"/>
          <w:sz w:val="32"/>
          <w:szCs w:val="32"/>
          <w:lang w:eastAsia="zh-CN"/>
          <w:highlight w:val="auto"/>
        </w:rPr>
        <w:t>度</w:t>
      </w:r>
      <w:r>
        <w:rPr>
          <w:rFonts w:ascii="Times New Roman" w:eastAsia="仿宋_GB2312" w:cs="仿宋_GB2312" w:hAnsi="Times New Roman" w:hint="eastAsia"/>
          <w:color w:val="auto"/>
          <w:sz w:val="32"/>
          <w:szCs w:val="32"/>
          <w:highlight w:val="auto"/>
        </w:rPr>
        <w:t>相比，</w:t>
      </w:r>
      <w:r>
        <w:rPr>
          <w:rFonts w:ascii="Times New Roman" w:eastAsia="仿宋_GB2312" w:cs="仿宋_GB2312" w:hAnsi="Times New Roman" w:hint="eastAsia"/>
          <w:color w:val="auto"/>
          <w:sz w:val="32"/>
          <w:szCs w:val="32"/>
          <w:lang w:eastAsia="zh-CN"/>
          <w:highlight w:val="auto"/>
        </w:rPr>
        <w:t>收入</w:t>
      </w:r>
      <w:r>
        <w:rPr>
          <w:rFonts w:ascii="Times New Roman" w:eastAsia="仿宋_GB2312" w:cs="仿宋_GB2312" w:hAnsi="Times New Roman" w:hint="eastAsia"/>
          <w:color w:val="auto"/>
          <w:sz w:val="32"/>
          <w:szCs w:val="32"/>
          <w:highlight w:val="auto"/>
        </w:rPr>
        <w:t>、</w:t>
      </w:r>
      <w:r>
        <w:rPr>
          <w:rFonts w:ascii="Times New Roman" w:eastAsia="仿宋_GB2312" w:cs="仿宋_GB2312" w:hAnsi="Times New Roman" w:hint="eastAsia"/>
          <w:color w:val="auto"/>
          <w:sz w:val="32"/>
          <w:szCs w:val="32"/>
          <w:lang w:eastAsia="zh-CN"/>
          <w:highlight w:val="auto"/>
        </w:rPr>
        <w:t>支出</w:t>
      </w:r>
      <w:r>
        <w:rPr>
          <w:rFonts w:ascii="Times New Roman" w:eastAsia="仿宋_GB2312" w:cs="仿宋_GB2312" w:hAnsi="Times New Roman" w:hint="eastAsia"/>
          <w:color w:val="auto"/>
          <w:sz w:val="32"/>
          <w:szCs w:val="32"/>
          <w:highlight w:val="auto"/>
        </w:rPr>
        <w:t>总计各减少</w:t>
      </w:r>
      <w:r>
        <w:rPr>
          <w:rFonts w:eastAsia="仿宋_GB2312" w:cs="仿宋_GB2312" w:hint="eastAsia"/>
          <w:color w:val="auto"/>
          <w:sz w:val="32"/>
          <w:szCs w:val="32"/>
          <w:lang w:val="en-US" w:eastAsia="zh-CN"/>
          <w:highlight w:val="auto"/>
        </w:rPr>
        <w:t>44.81</w:t>
      </w:r>
      <w:r>
        <w:rPr>
          <w:rFonts w:ascii="Times New Roman" w:eastAsia="仿宋_GB2312" w:cs="仿宋_GB2312" w:hAnsi="Times New Roman" w:hint="eastAsia"/>
          <w:color w:val="auto"/>
          <w:sz w:val="32"/>
          <w:szCs w:val="32"/>
          <w:highlight w:val="auto"/>
        </w:rPr>
        <w:t>万元，下降</w:t>
      </w:r>
      <w:r>
        <w:rPr>
          <w:rFonts w:eastAsia="仿宋_GB2312" w:cs="仿宋_GB2312" w:hint="eastAsia"/>
          <w:color w:val="auto"/>
          <w:sz w:val="32"/>
          <w:szCs w:val="32"/>
          <w:lang w:val="en-US" w:eastAsia="zh-CN"/>
          <w:highlight w:val="auto"/>
        </w:rPr>
        <w:t>15.01</w:t>
      </w:r>
      <w:r>
        <w:rPr>
          <w:rFonts w:ascii="Times New Roman" w:eastAsia="仿宋_GB2312" w:cs="仿宋_GB2312" w:hAnsi="Times New Roman" w:hint="eastAsia"/>
          <w:color w:val="auto"/>
          <w:sz w:val="32"/>
          <w:szCs w:val="32"/>
          <w:highlight w:val="auto"/>
        </w:rPr>
        <w:t>%。主要变动原因是</w:t>
      </w:r>
      <w:r>
        <w:rPr>
          <w:rFonts w:ascii="Times New Roman" w:eastAsia="仿宋" w:cs="Times New Roman" w:hAnsi="Times New Roman"/>
          <w:sz w:val="32"/>
          <w:szCs w:val="32"/>
          <w:lang w:val="en-US" w:eastAsia="zh-CN" w:bidi="ar-SA"/>
        </w:rPr>
        <w:t>人员</w:t>
      </w:r>
      <w:r>
        <w:rPr>
          <w:rFonts w:ascii="Times New Roman" w:eastAsia="仿宋" w:cs="Times New Roman" w:hAnsi="Times New Roman" w:hint="eastAsia"/>
          <w:sz w:val="32"/>
          <w:szCs w:val="32"/>
          <w:lang w:val="en-US" w:eastAsia="zh-CN" w:bidi="ar-SA"/>
        </w:rPr>
        <w:t>减少</w:t>
      </w:r>
      <w:r>
        <w:rPr>
          <w:rFonts w:ascii="Times New Roman" w:eastAsia="仿宋" w:cs="Times New Roman" w:hAnsi="Times New Roman"/>
          <w:sz w:val="32"/>
          <w:szCs w:val="32"/>
          <w:lang w:val="en-US" w:eastAsia="zh-CN" w:bidi="ar-SA"/>
        </w:rPr>
        <w:t>，人员经费及公用经费</w:t>
      </w:r>
      <w:r>
        <w:rPr>
          <w:rFonts w:ascii="Times New Roman" w:eastAsia="仿宋" w:cs="Times New Roman" w:hAnsi="Times New Roman" w:hint="eastAsia"/>
          <w:sz w:val="32"/>
          <w:szCs w:val="32"/>
          <w:lang w:val="en-US" w:eastAsia="zh-CN" w:bidi="ar-SA"/>
        </w:rPr>
        <w:t>减少</w:t>
      </w:r>
      <w:r>
        <w:rPr>
          <w:rFonts w:ascii="Times New Roman" w:eastAsia="仿宋" w:cs="Times New Roman" w:hAnsi="Times New Roman"/>
          <w:sz w:val="32"/>
          <w:szCs w:val="32"/>
          <w:lang w:bidi="ar-SA"/>
        </w:rPr>
        <w:t>。</w:t>
      </w:r>
    </w:p>
    <w:p>
      <w:pPr>
        <w:keepNext w:val="0"/>
        <w:keepLines w:val="0"/>
        <w:pageBreakBefore w:val="0"/>
        <w:widowControl w:val="0"/>
        <w:kinsoku/>
        <w:wordWrap/>
        <w:overflowPunct/>
        <w:topLinePunct w:val="0"/>
        <w:autoSpaceDE/>
        <w:autoSpaceDN/>
        <w:bidi w:val="0"/>
        <w:adjustRightInd/>
        <w:snapToGrid/>
        <w:ind w:firstLineChars="200" w:firstLine="640"/>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（图1：</w:t>
      </w:r>
      <w:r>
        <w:rPr>
          <w:rFonts w:ascii="Times New Roman" w:eastAsia="仿宋_GB2312" w:cs="仿宋_GB2312" w:hAnsi="Times New Roman" w:hint="eastAsia"/>
          <w:color w:val="auto"/>
          <w:sz w:val="32"/>
          <w:szCs w:val="32"/>
          <w:lang w:eastAsia="zh-CN"/>
          <w:highlight w:val="auto"/>
        </w:rPr>
        <w:t>收入</w:t>
      </w:r>
      <w:r>
        <w:rPr>
          <w:rFonts w:ascii="Times New Roman" w:eastAsia="仿宋_GB2312" w:cs="仿宋_GB2312" w:hAnsi="Times New Roman" w:hint="eastAsia"/>
          <w:color w:val="auto"/>
          <w:sz w:val="32"/>
          <w:szCs w:val="32"/>
          <w:highlight w:val="auto"/>
        </w:rPr>
        <w:t>、</w:t>
      </w:r>
      <w:r>
        <w:rPr>
          <w:rFonts w:ascii="Times New Roman" w:eastAsia="仿宋_GB2312" w:cs="仿宋_GB2312" w:hAnsi="Times New Roman" w:hint="eastAsia"/>
          <w:color w:val="auto"/>
          <w:sz w:val="32"/>
          <w:szCs w:val="32"/>
          <w:lang w:eastAsia="zh-CN"/>
          <w:highlight w:val="auto"/>
        </w:rPr>
        <w:t>支出</w:t>
      </w:r>
      <w:r>
        <w:rPr>
          <w:rFonts w:ascii="Times New Roman" w:eastAsia="仿宋_GB2312" w:cs="仿宋_GB2312" w:hAnsi="Times New Roman" w:hint="eastAsia"/>
          <w:color w:val="auto"/>
          <w:sz w:val="32"/>
          <w:szCs w:val="32"/>
          <w:highlight w:val="auto"/>
        </w:rPr>
        <w:t>决算总计变动情况图）</w:t>
      </w:r>
    </w:p>
    <w:p>
      <w:pPr>
        <w:keepNext w:val="0"/>
        <w:keepLines w:val="0"/>
        <w:pageBreakBefore w:val="0"/>
        <w:widowControl w:val="0"/>
        <w:kinsoku/>
        <w:wordWrap/>
        <w:overflowPunct/>
        <w:topLinePunct w:val="0"/>
        <w:autoSpaceDE/>
        <w:autoSpaceDN/>
        <w:bidi w:val="0"/>
        <w:adjustRightInd/>
        <w:snapToGrid/>
        <w:ind w:firstLineChars="200" w:firstLine="640"/>
        <w:jc w:val="left"/>
        <w:textAlignment w:val="auto"/>
        <w:rPr>
          <w:rFonts w:ascii="Times New Roman" w:eastAsia="仿宋_GB2312" w:cs="仿宋_GB2312" w:hAnsi="Times New Roman" w:hint="eastAsia"/>
          <w:color w:val="auto"/>
          <w:sz w:val="32"/>
          <w:szCs w:val="32"/>
          <w:highlight w:val="auto"/>
        </w:rPr>
      </w:pPr>
    </w:p>
    <w:p>
      <w:pPr>
        <w:keepNext w:val="0"/>
        <w:keepLines w:val="0"/>
        <w:pageBreakBefore w:val="0"/>
        <w:widowControl w:val="0"/>
        <w:kinsoku/>
        <w:wordWrap/>
        <w:overflowPunct/>
        <w:topLinePunct w:val="0"/>
        <w:autoSpaceDE/>
        <w:autoSpaceDN/>
        <w:bidi w:val="0"/>
        <w:adjustRightInd/>
        <w:snapToGrid/>
        <w:ind w:firstLineChars="200" w:firstLine="640"/>
        <w:jc w:val="left"/>
        <w:textAlignment w:val="auto"/>
        <w:rPr>
          <w:rFonts w:ascii="Times New Roman" w:eastAsia="黑体" w:hAnsi="Times New Roman" w:hint="eastAsia"/>
          <w:color w:val="auto"/>
          <w:sz w:val="32"/>
          <w:szCs w:val="32"/>
          <w:lang w:eastAsia="zh-CN"/>
          <w:highlight w:val="auto"/>
        </w:rPr>
      </w:pPr>
      <w:r>
        <w:rPr>
          <w:rFonts w:ascii="Times New Roman" w:eastAsia="仿宋_GB2312" w:cs="仿宋_GB2312" w:hAnsi="Times New Roman" w:hint="eastAsia"/>
          <w:color w:val="auto"/>
          <w:sz w:val="32"/>
          <w:szCs w:val="32"/>
          <w:lang w:eastAsia="zh-CN"/>
          <w:highlight w:val="auto"/>
        </w:rPr>
        <w:drawing>
          <wp:anchor distT="0" distB="0" distL="114300" distR="114300" simplePos="0" relativeHeight="20" behindDoc="0" locked="0" layoutInCell="1" hidden="0" allowOverlap="1">
            <wp:simplePos x="0" y="0"/>
            <wp:positionH relativeFrom="column">
              <wp:posOffset>1334770</wp:posOffset>
            </wp:positionH>
            <wp:positionV relativeFrom="paragraph">
              <wp:posOffset>-500380</wp:posOffset>
            </wp:positionV>
            <wp:extent cx="2728595" cy="2439670"/>
            <wp:effectExtent l="0" t="0" r="0" b="0"/>
            <wp:wrapTopAndBottom/>
            <wp:docPr id="7" name="图表 1"/>
            <wp:cNvGraphicFramePr>
              <a:graphicFrameLocks noChangeAspect="0"/>
            </wp:cNvGraphicFramePr>
            <a:graphic>
              <a:graphicData uri="http://schemas.openxmlformats.org/drawingml/2006/chart">
                <c:chart xmlns:c="http://schemas.openxmlformats.org/drawingml/2006/chart" r:id="rId6"/>
              </a:graphicData>
            </a:graphic>
          </wp:anchor>
        </w:drawing>
      </w:r>
      <w:bookmarkStart w:id="23" w:name="_Toc15377206"/>
      <w:bookmarkStart w:id="24" w:name="_Toc15396604"/>
      <w:r>
        <w:rPr>
          <w:rFonts w:ascii="Times New Roman" w:eastAsia="黑体" w:hAnsi="Times New Roman" w:hint="eastAsia"/>
          <w:color w:val="auto"/>
          <w:sz w:val="32"/>
          <w:szCs w:val="32"/>
          <w:lang w:eastAsia="zh-CN"/>
          <w:highlight w:val="auto"/>
        </w:rPr>
        <w:t>二、收入决算情况说明</w:t>
      </w:r>
      <w:bookmarkEnd w:id="23"/>
      <w:bookmarkEnd w:id="24"/>
    </w:p>
    <w:p>
      <w:pPr>
        <w:pStyle w:val="32"/>
        <w:keepNext w:val="0"/>
        <w:keepLines w:val="0"/>
        <w:pageBreakBefore w:val="0"/>
        <w:widowControl w:val="0"/>
        <w:kinsoku/>
        <w:wordWrap/>
        <w:overflowPunct/>
        <w:topLinePunct w:val="0"/>
        <w:autoSpaceDE/>
        <w:autoSpaceDN/>
        <w:bidi w:val="0"/>
        <w:adjustRightInd/>
        <w:snapToGrid/>
        <w:spacing w:line="600" w:lineRule="exact"/>
        <w:ind w:left="0" w:firstLineChars="200" w:firstLine="640"/>
        <w:jc w:val="left"/>
        <w:textAlignment w:val="auto"/>
        <w:outlineLvl w:val="1"/>
        <w:rPr>
          <w:rFonts w:ascii="Times New Roman" w:eastAsia="仿宋_GB2312" w:cs="仿宋_GB2312" w:hAnsi="Times New Roman" w:hint="eastAsia"/>
          <w:b/>
          <w:bCs/>
          <w:color w:val="auto"/>
          <w:sz w:val="32"/>
          <w:szCs w:val="32"/>
          <w:lang w:eastAsia="zh-CN"/>
          <w:highlight w:val="auto"/>
        </w:rPr>
      </w:pPr>
      <w:r>
        <w:rPr>
          <w:rFonts w:ascii="仿宋_GB2312" w:eastAsia="仿宋_GB2312" w:cs="仿宋_GB2312" w:hint="eastAsia"/>
          <w:color w:val="auto"/>
          <w:sz w:val="32"/>
          <w:szCs w:val="32"/>
          <w:lang w:eastAsia="zh-CN"/>
          <w:highlight w:val="auto"/>
        </w:rPr>
        <w:t>2024年度本年收入合计</w:t>
      </w:r>
      <w:r>
        <w:rPr>
          <w:rFonts w:ascii="仿宋_GB2312" w:eastAsia="仿宋_GB2312" w:cs="仿宋_GB2312" w:hint="eastAsia"/>
          <w:sz w:val="32"/>
          <w:szCs w:val="32"/>
        </w:rPr>
        <w:t>253.78万元，其中：一般公共预算财政拨款收入253.78</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100</w:t>
      </w:r>
      <w:r>
        <w:rPr>
          <w:rFonts w:ascii="仿宋_GB2312" w:eastAsia="仿宋_GB2312" w:cs="仿宋_GB2312" w:hint="eastAsia"/>
          <w:color w:val="auto"/>
          <w:sz w:val="32"/>
          <w:szCs w:val="32"/>
          <w:lang w:eastAsia="zh-CN"/>
          <w:highlight w:val="auto"/>
        </w:rPr>
        <w:t>%；政府性基金预算财政拨款收入</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；国有资本经营预算财政拨款收入</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%；上级补助收入</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%；事业收入</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%；经营收入</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%；附属单位上缴收入</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%；其他收入</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w:t>
      </w:r>
    </w:p>
    <w:p>
      <w:pPr>
        <w:ind w:firstLineChars="250" w:firstLine="800"/>
        <w:rPr>
          <w:rFonts w:ascii="Times New Roman" w:eastAsia="仿宋_GB2312" w:cs="仿宋_GB2312" w:hAnsi="Times New Roman" w:hint="eastAsia"/>
          <w:color w:val="auto"/>
          <w:sz w:val="32"/>
          <w:szCs w:val="32"/>
          <w:lang w:eastAsia="zh-CN"/>
          <w:highlight w:val="auto"/>
        </w:rPr>
      </w:pPr>
      <w:r>
        <w:rPr>
          <w:rFonts w:ascii="Times New Roman" w:eastAsia="仿宋_GB2312" w:cs="仿宋_GB2312" w:hAnsi="Times New Roman" w:hint="eastAsia"/>
          <w:color w:val="auto"/>
          <w:sz w:val="32"/>
          <w:szCs w:val="32"/>
          <w:lang w:eastAsia="zh-CN"/>
          <w:highlight w:val="auto"/>
        </w:rPr>
        <w:t>（图2：收入决算结构图）</w:t>
      </w:r>
    </w:p>
    <w:p>
      <w:pPr>
        <w:pStyle w:val="32"/>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1"/>
        <w:rPr>
          <w:rFonts w:ascii="Times New Roman" w:eastAsia="黑体" w:hAnsi="Times New Roman" w:hint="eastAsia"/>
          <w:color w:val="auto"/>
          <w:sz w:val="32"/>
          <w:szCs w:val="32"/>
          <w:lang w:eastAsia="zh-CN"/>
          <w:highlight w:val="auto"/>
        </w:rPr>
      </w:pPr>
      <w:bookmarkStart w:id="25" w:name="_Toc15396605"/>
      <w:bookmarkStart w:id="26" w:name="_Toc15377207"/>
      <w:r>
        <w:rPr>
          <w:rFonts w:ascii="Times New Roman" w:eastAsia="黑体" w:hAnsi="Times New Roman" w:hint="eastAsia"/>
          <w:color w:val="auto"/>
          <w:sz w:val="32"/>
          <w:szCs w:val="32"/>
          <w:lang w:eastAsia="zh-CN"/>
          <w:highlight w:val="auto"/>
        </w:rPr>
        <w:drawing>
          <wp:anchor distT="0" distB="0" distL="114300" distR="114300" simplePos="0" relativeHeight="22" behindDoc="0" locked="0" layoutInCell="1" hidden="0" allowOverlap="1">
            <wp:simplePos x="0" y="0"/>
            <wp:positionH relativeFrom="column">
              <wp:posOffset>753745</wp:posOffset>
            </wp:positionH>
            <wp:positionV relativeFrom="paragraph">
              <wp:posOffset>147320</wp:posOffset>
            </wp:positionV>
            <wp:extent cx="3622673" cy="2533650"/>
            <wp:effectExtent l="0" t="0" r="0" b="0"/>
            <wp:wrapTopAndBottom/>
            <wp:docPr id="8" name="图表 2"/>
            <wp:cNvGraphicFramePr>
              <a:graphicFrameLocks noChangeAspect="0"/>
            </wp:cNvGraphicFramePr>
            <a:graphic>
              <a:graphicData uri="http://schemas.openxmlformats.org/drawingml/2006/chart">
                <c:chart xmlns:c="http://schemas.openxmlformats.org/drawingml/2006/chart" r:id="rId7"/>
              </a:graphicData>
            </a:graphic>
          </wp:anchor>
        </w:drawing>
      </w:r>
    </w:p>
    <w:p>
      <w:pPr>
        <w:pStyle w:val="32"/>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1"/>
        <w:rPr>
          <w:rStyle w:val="2Char"/>
          <w:rFonts w:ascii="Times New Roman" w:eastAsia="黑体" w:hAnsi="Times New Roman" w:hint="eastAsia"/>
          <w:b w:val="0"/>
          <w:color w:val="auto"/>
          <w:highlight w:val="auto"/>
        </w:rPr>
      </w:pPr>
      <w:r>
        <w:rPr>
          <w:rFonts w:ascii="Times New Roman" w:eastAsia="黑体" w:hAnsi="Times New Roman" w:hint="eastAsia"/>
          <w:color w:val="auto"/>
          <w:sz w:val="32"/>
          <w:szCs w:val="32"/>
          <w:lang w:eastAsia="zh-CN"/>
          <w:highlight w:val="auto"/>
        </w:rPr>
        <w:t>三、</w:t>
      </w:r>
      <w:r>
        <w:rPr>
          <w:rFonts w:ascii="Times New Roman" w:eastAsia="黑体" w:hAnsi="Times New Roman" w:hint="eastAsia"/>
          <w:color w:val="auto"/>
          <w:sz w:val="32"/>
          <w:szCs w:val="32"/>
          <w:highlight w:val="auto"/>
        </w:rPr>
        <w:t>支</w:t>
      </w:r>
      <w:r>
        <w:rPr>
          <w:rStyle w:val="2Char"/>
          <w:rFonts w:ascii="Times New Roman" w:eastAsia="黑体" w:hAnsi="Times New Roman" w:hint="eastAsia"/>
          <w:b w:val="0"/>
          <w:color w:val="auto"/>
          <w:highlight w:val="auto"/>
        </w:rPr>
        <w:t>出决算情况说明</w:t>
      </w:r>
      <w:bookmarkEnd w:id="25"/>
      <w:bookmarkEnd w:id="26"/>
    </w:p>
    <w:p>
      <w:pPr>
        <w:pStyle w:val="32"/>
        <w:keepNext w:val="0"/>
        <w:keepLines w:val="0"/>
        <w:pageBreakBefore w:val="0"/>
        <w:widowControl w:val="0"/>
        <w:kinsoku/>
        <w:wordWrap/>
        <w:overflowPunct/>
        <w:topLinePunct w:val="0"/>
        <w:autoSpaceDE/>
        <w:autoSpaceDN/>
        <w:bidi w:val="0"/>
        <w:adjustRightInd/>
        <w:snapToGrid/>
        <w:spacing w:line="600" w:lineRule="exact"/>
        <w:ind w:left="0" w:firstLineChars="200" w:firstLine="640"/>
        <w:jc w:val="left"/>
        <w:textAlignment w:val="auto"/>
        <w:outlineLvl w:val="1"/>
        <w:rPr>
          <w:rFonts w:ascii="Times New Roman" w:eastAsia="仿宋_GB2312" w:cs="仿宋_GB2312" w:hAnsi="Times New Roman" w:hint="eastAsia"/>
          <w:color w:val="auto"/>
          <w:sz w:val="32"/>
          <w:szCs w:val="32"/>
          <w:lang w:eastAsia="zh-CN"/>
          <w:highlight w:val="auto"/>
        </w:rPr>
      </w:pPr>
      <w:r>
        <w:rPr>
          <w:rFonts w:ascii="仿宋_GB2312" w:eastAsia="仿宋_GB2312" w:cs="仿宋_GB2312" w:hint="eastAsia"/>
          <w:color w:val="auto"/>
          <w:sz w:val="32"/>
          <w:szCs w:val="32"/>
          <w:lang w:eastAsia="zh-CN"/>
          <w:highlight w:val="auto"/>
        </w:rPr>
        <w:t>2024年度本年支出合计</w:t>
      </w:r>
      <w:r>
        <w:rPr>
          <w:rFonts w:ascii="仿宋_GB2312" w:eastAsia="仿宋_GB2312" w:cs="仿宋_GB2312" w:hint="eastAsia"/>
          <w:sz w:val="32"/>
          <w:szCs w:val="32"/>
        </w:rPr>
        <w:t>253.78</w:t>
      </w:r>
      <w:r>
        <w:rPr>
          <w:rFonts w:ascii="仿宋_GB2312" w:eastAsia="仿宋_GB2312" w:cs="仿宋_GB2312" w:hint="eastAsia"/>
          <w:color w:val="auto"/>
          <w:sz w:val="32"/>
          <w:szCs w:val="32"/>
          <w:lang w:eastAsia="zh-CN"/>
          <w:highlight w:val="auto"/>
        </w:rPr>
        <w:t>万元，其中：基本支出</w:t>
      </w:r>
      <w:r>
        <w:rPr>
          <w:rFonts w:ascii="仿宋_GB2312" w:eastAsia="仿宋_GB2312" w:cs="仿宋_GB2312" w:hint="eastAsia"/>
          <w:sz w:val="32"/>
          <w:szCs w:val="32"/>
        </w:rPr>
        <w:t>229.68</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90.5</w:t>
      </w:r>
      <w:r>
        <w:rPr>
          <w:rFonts w:ascii="仿宋_GB2312" w:eastAsia="仿宋_GB2312" w:cs="仿宋_GB2312" w:hint="eastAsia"/>
          <w:color w:val="auto"/>
          <w:sz w:val="32"/>
          <w:szCs w:val="32"/>
          <w:lang w:eastAsia="zh-CN"/>
          <w:highlight w:val="auto"/>
        </w:rPr>
        <w:t>%；项目支出</w:t>
      </w:r>
      <w:r>
        <w:rPr>
          <w:rFonts w:ascii="仿宋_GB2312" w:eastAsia="仿宋_GB2312" w:cs="仿宋_GB2312" w:hint="eastAsia"/>
          <w:sz w:val="32"/>
          <w:szCs w:val="32"/>
        </w:rPr>
        <w:t>24.1</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9.49</w:t>
      </w:r>
      <w:r>
        <w:rPr>
          <w:rFonts w:ascii="仿宋_GB2312" w:eastAsia="仿宋_GB2312" w:cs="仿宋_GB2312" w:hint="eastAsia"/>
          <w:color w:val="auto"/>
          <w:sz w:val="32"/>
          <w:szCs w:val="32"/>
          <w:lang w:eastAsia="zh-CN"/>
          <w:highlight w:val="auto"/>
        </w:rPr>
        <w:t>%；上缴上级支出</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%；经营支出</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%；对附属单位补助支出</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w:t>
      </w:r>
    </w:p>
    <w:p>
      <w:pPr>
        <w:ind w:firstLineChars="250" w:firstLine="800"/>
        <w:rPr>
          <w:rFonts w:ascii="Times New Roman" w:eastAsia="仿宋_GB2312" w:cs="仿宋_GB2312" w:hAnsi="Times New Roman" w:hint="eastAsia"/>
          <w:color w:val="auto"/>
          <w:sz w:val="32"/>
          <w:szCs w:val="32"/>
          <w:lang w:eastAsia="zh-CN"/>
          <w:highlight w:val="auto"/>
        </w:rPr>
      </w:pPr>
      <w:r>
        <w:rPr>
          <w:rFonts w:ascii="Times New Roman" w:eastAsia="仿宋_GB2312" w:cs="仿宋_GB2312" w:hAnsi="Times New Roman" w:hint="eastAsia"/>
          <w:color w:val="auto"/>
          <w:sz w:val="32"/>
          <w:szCs w:val="32"/>
          <w:lang w:eastAsia="zh-CN"/>
          <w:highlight w:val="auto"/>
        </w:rPr>
        <w:t>（图3：支出决算结构图）</w:t>
      </w:r>
    </w:p>
    <w:p>
      <w:pPr>
        <w:ind w:firstLineChars="250" w:firstLine="800"/>
        <w:rPr>
          <w:rFonts w:ascii="Times New Roman" w:eastAsia="仿宋_GB2312" w:cs="仿宋_GB2312" w:hAnsi="Times New Roman" w:hint="eastAsia"/>
          <w:color w:val="auto"/>
          <w:sz w:val="32"/>
          <w:szCs w:val="32"/>
          <w:lang w:eastAsia="zh-CN"/>
          <w:highlight w:val="auto"/>
        </w:rPr>
      </w:pPr>
      <w:r>
        <w:rPr>
          <w:rFonts w:ascii="Times New Roman" w:eastAsia="仿宋_GB2312" w:cs="仿宋_GB2312" w:hAnsi="Times New Roman" w:hint="eastAsia"/>
          <w:color w:val="auto"/>
          <w:sz w:val="32"/>
          <w:szCs w:val="32"/>
          <w:lang w:eastAsia="zh-CN"/>
          <w:highlight w:val="auto"/>
        </w:rPr>
        <w:drawing>
          <wp:anchor distT="0" distB="0" distL="114300" distR="114300" simplePos="0" relativeHeight="26" behindDoc="0" locked="0" layoutInCell="1" hidden="0" allowOverlap="1">
            <wp:simplePos x="0" y="0"/>
            <wp:positionH relativeFrom="column">
              <wp:posOffset>512444</wp:posOffset>
            </wp:positionH>
            <wp:positionV relativeFrom="paragraph">
              <wp:posOffset>71120</wp:posOffset>
            </wp:positionV>
            <wp:extent cx="3290570" cy="2144395"/>
            <wp:effectExtent l="0" t="0" r="0" b="0"/>
            <wp:wrapTopAndBottom/>
            <wp:docPr id="9" name="图表 3"/>
            <wp:cNvGraphicFramePr>
              <a:graphicFrameLocks noChangeAspect="0"/>
            </wp:cNvGraphicFramePr>
            <a:graphic>
              <a:graphicData uri="http://schemas.openxmlformats.org/drawingml/2006/chart">
                <c:chart xmlns:c="http://schemas.openxmlformats.org/drawingml/2006/chart" r:id="rId8"/>
              </a:graphicData>
            </a:graphic>
          </wp:anchor>
        </w:drawing>
      </w:r>
    </w:p>
    <w:p>
      <w:pPr>
        <w:spacing w:line="600" w:lineRule="exact"/>
        <w:ind w:firstLineChars="200" w:firstLine="640"/>
        <w:outlineLvl w:val="1"/>
        <w:rPr>
          <w:rStyle w:val="2Char"/>
          <w:rFonts w:ascii="Times New Roman" w:eastAsia="黑体" w:hAnsi="Times New Roman"/>
          <w:b w:val="0"/>
          <w:color w:val="auto"/>
          <w:highlight w:val="auto"/>
        </w:rPr>
      </w:pPr>
      <w:bookmarkStart w:id="27" w:name="_Toc15377208"/>
      <w:bookmarkStart w:id="28" w:name="_Toc15396606"/>
      <w:r>
        <w:rPr>
          <w:rFonts w:ascii="Times New Roman" w:eastAsia="黑体" w:hAnsi="Times New Roman" w:hint="eastAsia"/>
          <w:color w:val="auto"/>
          <w:sz w:val="32"/>
          <w:szCs w:val="32"/>
          <w:highlight w:val="auto"/>
        </w:rPr>
        <w:t>四、财</w:t>
      </w:r>
      <w:r>
        <w:rPr>
          <w:rStyle w:val="2Char"/>
          <w:rFonts w:ascii="Times New Roman" w:eastAsia="黑体" w:hAnsi="Times New Roman" w:hint="eastAsia"/>
          <w:b w:val="0"/>
          <w:color w:val="auto"/>
          <w:highlight w:val="auto"/>
        </w:rPr>
        <w:t>政拨款收入支出决算总体情况说明</w:t>
      </w:r>
      <w:bookmarkEnd w:id="27"/>
      <w:bookmarkEnd w:id="28"/>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2024年度财政拨款收入、支出总计均为</w:t>
      </w:r>
      <w:r>
        <w:rPr>
          <w:rFonts w:ascii="仿宋_GB2312" w:eastAsia="仿宋_GB2312" w:cs="仿宋_GB2312" w:hint="eastAsia"/>
          <w:sz w:val="32"/>
          <w:szCs w:val="32"/>
        </w:rPr>
        <w:t>253.78</w:t>
      </w:r>
      <w:r>
        <w:rPr>
          <w:rFonts w:ascii="Times New Roman" w:eastAsia="仿宋_GB2312" w:cs="仿宋_GB2312" w:hAnsi="Times New Roman" w:hint="eastAsia"/>
          <w:color w:val="auto"/>
          <w:kern w:val="2"/>
          <w:sz w:val="32"/>
          <w:szCs w:val="32"/>
          <w:lang w:val="en-US" w:eastAsia="zh-CN" w:bidi="ar-SA"/>
          <w:highlight w:val="auto"/>
        </w:rPr>
        <w:t>万元。与2023年度相比，财政拨款收入总计、支出总计各减少</w:t>
      </w:r>
      <w:r>
        <w:rPr>
          <w:rFonts w:eastAsia="仿宋_GB2312" w:cs="仿宋_GB2312" w:hint="eastAsia"/>
          <w:color w:val="auto"/>
          <w:kern w:val="2"/>
          <w:sz w:val="32"/>
          <w:szCs w:val="32"/>
          <w:lang w:val="en-US" w:eastAsia="zh-CN" w:bidi="ar-SA"/>
          <w:highlight w:val="auto"/>
        </w:rPr>
        <w:t>44.81</w:t>
      </w:r>
      <w:r>
        <w:rPr>
          <w:rFonts w:ascii="Times New Roman" w:eastAsia="仿宋_GB2312" w:cs="仿宋_GB2312" w:hAnsi="Times New Roman" w:hint="eastAsia"/>
          <w:color w:val="auto"/>
          <w:kern w:val="2"/>
          <w:sz w:val="32"/>
          <w:szCs w:val="32"/>
          <w:lang w:val="en-US" w:eastAsia="zh-CN" w:bidi="ar-SA"/>
          <w:highlight w:val="auto"/>
        </w:rPr>
        <w:t>万元，下降</w:t>
      </w:r>
      <w:r>
        <w:rPr>
          <w:rFonts w:eastAsia="仿宋_GB2312" w:cs="仿宋_GB2312" w:hint="eastAsia"/>
          <w:color w:val="auto"/>
          <w:kern w:val="2"/>
          <w:sz w:val="32"/>
          <w:szCs w:val="32"/>
          <w:lang w:val="en-US" w:eastAsia="zh-CN" w:bidi="ar-SA"/>
          <w:highlight w:val="auto"/>
        </w:rPr>
        <w:t>15.01</w:t>
      </w:r>
      <w:r>
        <w:rPr>
          <w:rFonts w:ascii="Times New Roman" w:eastAsia="仿宋_GB2312" w:cs="仿宋_GB2312" w:hAnsi="Times New Roman" w:hint="eastAsia"/>
          <w:color w:val="auto"/>
          <w:kern w:val="2"/>
          <w:sz w:val="32"/>
          <w:szCs w:val="32"/>
          <w:lang w:val="en-US" w:eastAsia="zh-CN" w:bidi="ar-SA"/>
          <w:highlight w:val="auto"/>
        </w:rPr>
        <w:t>%。主要变动原因</w:t>
      </w:r>
      <w:r>
        <w:rPr>
          <w:rFonts w:ascii="Times New Roman" w:eastAsia="仿宋_GB2312" w:cs="仿宋_GB2312" w:hAnsi="Times New Roman" w:hint="eastAsia"/>
          <w:color w:val="auto"/>
          <w:sz w:val="32"/>
          <w:szCs w:val="32"/>
          <w:highlight w:val="auto"/>
        </w:rPr>
        <w:t>是</w:t>
      </w:r>
      <w:r>
        <w:rPr>
          <w:rFonts w:ascii="Times New Roman" w:eastAsia="仿宋" w:cs="Times New Roman" w:hAnsi="Times New Roman"/>
          <w:sz w:val="32"/>
          <w:szCs w:val="32"/>
          <w:lang w:val="en-US" w:eastAsia="zh-CN" w:bidi="ar-SA"/>
        </w:rPr>
        <w:t>人员</w:t>
      </w:r>
      <w:r>
        <w:rPr>
          <w:rFonts w:ascii="Times New Roman" w:eastAsia="仿宋" w:cs="Times New Roman" w:hAnsi="Times New Roman" w:hint="eastAsia"/>
          <w:sz w:val="32"/>
          <w:szCs w:val="32"/>
          <w:lang w:val="en-US" w:eastAsia="zh-CN" w:bidi="ar-SA"/>
        </w:rPr>
        <w:t>减少</w:t>
      </w:r>
      <w:r>
        <w:rPr>
          <w:rFonts w:ascii="Times New Roman" w:eastAsia="仿宋" w:cs="Times New Roman" w:hAnsi="Times New Roman"/>
          <w:sz w:val="32"/>
          <w:szCs w:val="32"/>
          <w:lang w:val="en-US" w:eastAsia="zh-CN" w:bidi="ar-SA"/>
        </w:rPr>
        <w:t>，人员经费及公用经费</w:t>
      </w:r>
      <w:r>
        <w:rPr>
          <w:rFonts w:ascii="Times New Roman" w:eastAsia="仿宋" w:cs="Times New Roman" w:hAnsi="Times New Roman" w:hint="eastAsia"/>
          <w:sz w:val="32"/>
          <w:szCs w:val="32"/>
          <w:lang w:val="en-US" w:eastAsia="zh-CN" w:bidi="ar-SA"/>
        </w:rPr>
        <w:t>减少</w:t>
      </w:r>
      <w:r>
        <w:rPr>
          <w:rFonts w:ascii="Times New Roman" w:eastAsia="仿宋" w:cs="Times New Roman" w:hAnsi="Times New Roman"/>
          <w:sz w:val="32"/>
          <w:szCs w:val="32"/>
          <w:lang w:bidi="ar-SA"/>
        </w:rPr>
        <w:t>。</w:t>
      </w:r>
    </w:p>
    <w:p>
      <w:pPr>
        <w:spacing w:line="600" w:lineRule="exact"/>
        <w:ind w:firstLineChars="200"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drawing>
          <wp:anchor distT="0" distB="0" distL="114300" distR="114300" simplePos="0" relativeHeight="28" behindDoc="0" locked="0" layoutInCell="1" hidden="0" allowOverlap="1">
            <wp:simplePos x="0" y="0"/>
            <wp:positionH relativeFrom="column">
              <wp:posOffset>1096645</wp:posOffset>
            </wp:positionH>
            <wp:positionV relativeFrom="paragraph">
              <wp:posOffset>1082675</wp:posOffset>
            </wp:positionV>
            <wp:extent cx="2624455" cy="1916430"/>
            <wp:effectExtent l="0" t="0" r="0" b="0"/>
            <wp:wrapTopAndBottom/>
            <wp:docPr id="10" name="图表 4"/>
            <wp:cNvGraphicFramePr>
              <a:graphicFrameLocks noChangeAspect="0"/>
            </wp:cNvGraphicFramePr>
            <a:graphic>
              <a:graphicData uri="http://schemas.openxmlformats.org/drawingml/2006/chart">
                <c:chart xmlns:c="http://schemas.openxmlformats.org/drawingml/2006/chart" r:id="rId9"/>
              </a:graphicData>
            </a:graphic>
          </wp:anchor>
        </w:drawing>
      </w:r>
      <w:r>
        <w:rPr>
          <w:rFonts w:ascii="Times New Roman" w:eastAsia="仿宋_GB2312" w:cs="仿宋_GB2312" w:hAnsi="Times New Roman" w:hint="eastAsia"/>
          <w:color w:val="auto"/>
          <w:kern w:val="2"/>
          <w:sz w:val="32"/>
          <w:szCs w:val="32"/>
          <w:lang w:val="en-US" w:eastAsia="zh-CN" w:bidi="ar-SA"/>
          <w:highlight w:val="auto"/>
        </w:rPr>
        <w:t>（图4：财政拨款收、支决算总计变动情况）</w:t>
      </w:r>
    </w:p>
    <w:p>
      <w:pPr>
        <w:spacing w:line="600" w:lineRule="exact"/>
        <w:rPr>
          <w:rFonts w:ascii="Times New Roman" w:eastAsia="仿宋_GB2312" w:cs="仿宋_GB2312" w:hAnsi="Times New Roman" w:hint="eastAsia"/>
          <w:color w:val="auto"/>
          <w:kern w:val="2"/>
          <w:sz w:val="32"/>
          <w:szCs w:val="32"/>
          <w:lang w:val="en-US" w:eastAsia="zh-CN" w:bidi="ar-SA"/>
          <w:highlight w:val="auto"/>
        </w:rPr>
      </w:pPr>
    </w:p>
    <w:p>
      <w:pPr>
        <w:spacing w:line="600" w:lineRule="exact"/>
        <w:ind w:firstLineChars="200" w:firstLine="640"/>
        <w:outlineLvl w:val="1"/>
        <w:rPr>
          <w:rStyle w:val="2Char"/>
          <w:rFonts w:ascii="Times New Roman" w:eastAsia="黑体" w:hAnsi="Times New Roman"/>
          <w:b w:val="0"/>
          <w:color w:val="auto"/>
          <w:highlight w:val="auto"/>
        </w:rPr>
      </w:pPr>
      <w:bookmarkStart w:id="29" w:name="_Toc15377209"/>
      <w:bookmarkStart w:id="30" w:name="_Toc15396607"/>
      <w:r>
        <w:rPr>
          <w:rFonts w:ascii="Times New Roman" w:eastAsia="黑体" w:hAnsi="Times New Roman" w:hint="eastAsia"/>
          <w:color w:val="auto"/>
          <w:sz w:val="32"/>
          <w:szCs w:val="32"/>
          <w:highlight w:val="auto"/>
        </w:rPr>
        <w:t>五、</w:t>
      </w:r>
      <w:r>
        <w:rPr>
          <w:rFonts w:ascii="Times New Roman" w:eastAsia="黑体" w:hAnsi="Times New Roman" w:hint="eastAsia"/>
          <w:b/>
          <w:color w:val="auto"/>
          <w:sz w:val="32"/>
          <w:szCs w:val="32"/>
          <w:highlight w:val="auto"/>
        </w:rPr>
        <w:t>一</w:t>
      </w:r>
      <w:r>
        <w:rPr>
          <w:rStyle w:val="2Char"/>
          <w:rFonts w:ascii="Times New Roman" w:eastAsia="黑体" w:hAnsi="Times New Roman" w:hint="eastAsia"/>
          <w:b w:val="0"/>
          <w:color w:val="auto"/>
          <w:highlight w:val="auto"/>
        </w:rPr>
        <w:t>般公共预算财政拨款支出决算情况说明</w:t>
      </w:r>
      <w:bookmarkEnd w:id="29"/>
      <w:bookmarkEnd w:id="30"/>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31" w:name="_Toc15377210"/>
      <w:r>
        <w:rPr>
          <w:rFonts w:ascii="Times New Roman" w:eastAsia="楷体_GB2312" w:cs="楷体_GB2312" w:hAnsi="Times New Roman" w:hint="eastAsia"/>
          <w:b/>
          <w:color w:val="auto"/>
          <w:sz w:val="32"/>
          <w:szCs w:val="32"/>
          <w:highlight w:val="auto"/>
        </w:rPr>
        <w:t>（一）一般公共预算财政拨款支出决算总体情况</w:t>
      </w:r>
      <w:bookmarkEnd w:id="31"/>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仿宋_GB2312" w:eastAsia="仿宋_GB2312" w:cs="仿宋_GB2312" w:hint="eastAsia"/>
          <w:color w:val="auto"/>
          <w:kern w:val="2"/>
          <w:sz w:val="32"/>
          <w:szCs w:val="32"/>
          <w:lang w:val="en-US" w:eastAsia="zh-CN" w:bidi="ar-SA"/>
          <w:highlight w:val="auto"/>
        </w:rPr>
        <w:t>2024年度一般公共预算财政拨款支出</w:t>
      </w:r>
      <w:r>
        <w:rPr>
          <w:rFonts w:ascii="仿宋_GB2312" w:eastAsia="仿宋_GB2312" w:cs="仿宋_GB2312" w:hint="eastAsia"/>
          <w:sz w:val="32"/>
          <w:szCs w:val="32"/>
        </w:rPr>
        <w:t>253.78</w:t>
      </w:r>
      <w:r>
        <w:rPr>
          <w:rFonts w:ascii="仿宋_GB2312" w:eastAsia="仿宋_GB2312" w:cs="仿宋_GB2312" w:hint="eastAsia"/>
          <w:color w:val="auto"/>
          <w:kern w:val="2"/>
          <w:sz w:val="32"/>
          <w:szCs w:val="32"/>
          <w:lang w:val="en-US" w:eastAsia="zh-CN" w:bidi="ar-SA"/>
          <w:highlight w:val="auto"/>
        </w:rPr>
        <w:t>万元，占本年支出合计的</w:t>
      </w:r>
      <w:r>
        <w:rPr>
          <w:rFonts w:ascii="仿宋_GB2312" w:eastAsia="仿宋_GB2312" w:cs="仿宋_GB2312" w:hint="eastAsia"/>
          <w:sz w:val="32"/>
          <w:szCs w:val="32"/>
        </w:rPr>
        <w:t>100</w:t>
      </w:r>
      <w:r>
        <w:rPr>
          <w:rFonts w:ascii="仿宋_GB2312" w:eastAsia="仿宋_GB2312" w:cs="仿宋_GB2312" w:hint="eastAsia"/>
          <w:color w:val="auto"/>
          <w:kern w:val="2"/>
          <w:sz w:val="32"/>
          <w:szCs w:val="32"/>
          <w:lang w:val="en-US" w:eastAsia="zh-CN" w:bidi="ar-SA"/>
          <w:highlight w:val="auto"/>
        </w:rPr>
        <w:t>%。与2023年度相比，一般公共预算财政拨款支出</w:t>
      </w:r>
      <w:r>
        <w:rPr>
          <w:rFonts w:ascii="Times New Roman" w:eastAsia="仿宋_GB2312" w:cs="仿宋_GB2312" w:hAnsi="Times New Roman" w:hint="eastAsia"/>
          <w:color w:val="auto"/>
          <w:kern w:val="2"/>
          <w:sz w:val="32"/>
          <w:szCs w:val="32"/>
          <w:lang w:val="en-US" w:eastAsia="zh-CN" w:bidi="ar-SA"/>
          <w:highlight w:val="auto"/>
        </w:rPr>
        <w:t>减少</w:t>
      </w:r>
      <w:r>
        <w:rPr>
          <w:rFonts w:eastAsia="仿宋_GB2312" w:cs="仿宋_GB2312" w:hint="eastAsia"/>
          <w:color w:val="auto"/>
          <w:kern w:val="2"/>
          <w:sz w:val="32"/>
          <w:szCs w:val="32"/>
          <w:lang w:val="en-US" w:eastAsia="zh-CN" w:bidi="ar-SA"/>
          <w:highlight w:val="auto"/>
        </w:rPr>
        <w:t>44.81</w:t>
      </w:r>
      <w:r>
        <w:rPr>
          <w:rFonts w:ascii="Times New Roman" w:eastAsia="仿宋_GB2312" w:cs="仿宋_GB2312" w:hAnsi="Times New Roman" w:hint="eastAsia"/>
          <w:color w:val="auto"/>
          <w:kern w:val="2"/>
          <w:sz w:val="32"/>
          <w:szCs w:val="32"/>
          <w:lang w:val="en-US" w:eastAsia="zh-CN" w:bidi="ar-SA"/>
          <w:highlight w:val="auto"/>
        </w:rPr>
        <w:t>万元，下降</w:t>
      </w:r>
      <w:r>
        <w:rPr>
          <w:rFonts w:eastAsia="仿宋_GB2312" w:cs="仿宋_GB2312" w:hint="eastAsia"/>
          <w:color w:val="auto"/>
          <w:kern w:val="2"/>
          <w:sz w:val="32"/>
          <w:szCs w:val="32"/>
          <w:lang w:val="en-US" w:eastAsia="zh-CN" w:bidi="ar-SA"/>
          <w:highlight w:val="auto"/>
        </w:rPr>
        <w:t>15.01</w:t>
      </w:r>
      <w:r>
        <w:rPr>
          <w:rFonts w:ascii="Times New Roman" w:eastAsia="仿宋_GB2312" w:cs="仿宋_GB2312" w:hAnsi="Times New Roman" w:hint="eastAsia"/>
          <w:color w:val="auto"/>
          <w:kern w:val="2"/>
          <w:sz w:val="32"/>
          <w:szCs w:val="32"/>
          <w:lang w:val="en-US" w:eastAsia="zh-CN" w:bidi="ar-SA"/>
          <w:highlight w:val="auto"/>
        </w:rPr>
        <w:t>%</w:t>
      </w:r>
      <w:r>
        <w:rPr>
          <w:rFonts w:ascii="仿宋_GB2312" w:eastAsia="仿宋_GB2312" w:cs="仿宋_GB2312" w:hint="eastAsia"/>
          <w:color w:val="auto"/>
          <w:kern w:val="2"/>
          <w:sz w:val="32"/>
          <w:szCs w:val="32"/>
          <w:lang w:val="en-US" w:eastAsia="zh-CN" w:bidi="ar-SA"/>
          <w:highlight w:val="auto"/>
        </w:rPr>
        <w:t>。主要变动原因是</w:t>
      </w:r>
      <w:r>
        <w:rPr>
          <w:rFonts w:ascii="Times New Roman" w:eastAsia="仿宋" w:cs="Times New Roman" w:hAnsi="Times New Roman"/>
          <w:sz w:val="32"/>
          <w:szCs w:val="32"/>
          <w:lang w:val="en-US" w:eastAsia="zh-CN" w:bidi="ar-SA"/>
        </w:rPr>
        <w:t>人员</w:t>
      </w:r>
      <w:r>
        <w:rPr>
          <w:rFonts w:ascii="Times New Roman" w:eastAsia="仿宋" w:cs="Times New Roman" w:hAnsi="Times New Roman" w:hint="eastAsia"/>
          <w:sz w:val="32"/>
          <w:szCs w:val="32"/>
          <w:lang w:val="en-US" w:eastAsia="zh-CN" w:bidi="ar-SA"/>
        </w:rPr>
        <w:t>减少</w:t>
      </w:r>
      <w:r>
        <w:rPr>
          <w:rFonts w:ascii="Times New Roman" w:eastAsia="仿宋" w:cs="Times New Roman" w:hAnsi="Times New Roman"/>
          <w:sz w:val="32"/>
          <w:szCs w:val="32"/>
          <w:lang w:val="en-US" w:eastAsia="zh-CN" w:bidi="ar-SA"/>
        </w:rPr>
        <w:t>，人员经费及公用经费</w:t>
      </w:r>
      <w:r>
        <w:rPr>
          <w:rFonts w:ascii="Times New Roman" w:eastAsia="仿宋" w:cs="Times New Roman" w:hAnsi="Times New Roman" w:hint="eastAsia"/>
          <w:sz w:val="32"/>
          <w:szCs w:val="32"/>
          <w:lang w:val="en-US" w:eastAsia="zh-CN" w:bidi="ar-SA"/>
        </w:rPr>
        <w:t>减少</w:t>
      </w:r>
      <w:r>
        <w:rPr>
          <w:rFonts w:ascii="Times New Roman" w:eastAsia="仿宋" w:cs="Times New Roman" w:hAnsi="Times New Roman"/>
          <w:sz w:val="32"/>
          <w:szCs w:val="32"/>
          <w:lang w:bidi="ar-SA"/>
        </w:rPr>
        <w:t>。</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（图5：一般公共预算财政拨款支出决算变动情况）</w:t>
      </w:r>
    </w:p>
    <w:p>
      <w:pPr>
        <w:spacing w:line="600" w:lineRule="exact"/>
        <w:ind w:firstLineChars="200" w:firstLine="640"/>
        <w:outlineLvl w:val="2"/>
        <w:rPr>
          <w:rFonts w:ascii="Times New Roman" w:eastAsia="楷体_GB2312" w:cs="楷体_GB2312" w:hAnsi="Times New Roman" w:hint="eastAsia"/>
          <w:b/>
          <w:color w:val="auto"/>
          <w:sz w:val="32"/>
          <w:szCs w:val="32"/>
          <w:lang w:eastAsia="zh-CN"/>
          <w:highlight w:val="auto"/>
        </w:rPr>
      </w:pPr>
      <w:bookmarkStart w:id="32" w:name="_Toc15377211"/>
      <w:r>
        <w:rPr>
          <w:rFonts w:ascii="Times New Roman" w:eastAsia="楷体_GB2312" w:cs="楷体_GB2312" w:hAnsi="Times New Roman" w:hint="eastAsia"/>
          <w:b/>
          <w:color w:val="auto"/>
          <w:sz w:val="32"/>
          <w:szCs w:val="32"/>
          <w:lang w:eastAsia="zh-CN"/>
          <w:highlight w:val="auto"/>
        </w:rPr>
        <w:drawing>
          <wp:anchor distT="0" distB="0" distL="114300" distR="114300" simplePos="0" relativeHeight="32" behindDoc="0" locked="0" layoutInCell="1" hidden="0" allowOverlap="1">
            <wp:simplePos x="0" y="0"/>
            <wp:positionH relativeFrom="column">
              <wp:posOffset>629920</wp:posOffset>
            </wp:positionH>
            <wp:positionV relativeFrom="paragraph">
              <wp:posOffset>85088</wp:posOffset>
            </wp:positionV>
            <wp:extent cx="3042920" cy="2364103"/>
            <wp:effectExtent l="0" t="0" r="0" b="0"/>
            <wp:wrapTopAndBottom/>
            <wp:docPr id="11" name="图表 5"/>
            <wp:cNvGraphicFramePr>
              <a:graphicFrameLocks noChangeAspect="0"/>
            </wp:cNvGraphicFramePr>
            <a:graphic>
              <a:graphicData uri="http://schemas.openxmlformats.org/drawingml/2006/chart">
                <c:chart xmlns:c="http://schemas.openxmlformats.org/drawingml/2006/chart" r:id="rId10"/>
              </a:graphicData>
            </a:graphic>
          </wp:anchor>
        </w:drawing>
      </w:r>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r>
        <w:rPr>
          <w:rFonts w:ascii="Times New Roman" w:eastAsia="楷体_GB2312" w:cs="楷体_GB2312" w:hAnsi="Times New Roman" w:hint="eastAsia"/>
          <w:b/>
          <w:color w:val="auto"/>
          <w:sz w:val="32"/>
          <w:szCs w:val="32"/>
          <w:highlight w:val="auto"/>
        </w:rPr>
        <w:t>（二）一般公共预算财政拨款支出决算结构情况</w:t>
      </w:r>
      <w:bookmarkEnd w:id="32"/>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2024年度一般公共预算财政拨款支出</w:t>
      </w:r>
      <w:r>
        <w:rPr>
          <w:rFonts w:ascii="仿宋_GB2312" w:eastAsia="仿宋_GB2312" w:cs="仿宋_GB2312" w:hint="eastAsia"/>
          <w:sz w:val="32"/>
          <w:szCs w:val="32"/>
        </w:rPr>
        <w:t>253.78</w:t>
      </w:r>
      <w:r>
        <w:rPr>
          <w:rFonts w:ascii="仿宋_GB2312" w:eastAsia="仿宋_GB2312" w:cs="仿宋_GB2312" w:hint="eastAsia"/>
          <w:color w:val="auto"/>
          <w:kern w:val="2"/>
          <w:sz w:val="32"/>
          <w:szCs w:val="32"/>
          <w:lang w:val="en-US" w:eastAsia="zh-CN" w:bidi="ar-SA"/>
          <w:highlight w:val="auto"/>
        </w:rPr>
        <w:t>万元</w:t>
      </w:r>
      <w:r>
        <w:rPr>
          <w:rFonts w:ascii="Times New Roman" w:eastAsia="仿宋_GB2312" w:cs="仿宋_GB2312" w:hAnsi="Times New Roman" w:hint="eastAsia"/>
          <w:color w:val="auto"/>
          <w:kern w:val="2"/>
          <w:sz w:val="32"/>
          <w:szCs w:val="32"/>
          <w:lang w:val="en-US" w:eastAsia="zh-CN" w:bidi="ar-SA"/>
          <w:highlight w:val="auto"/>
        </w:rPr>
        <w:t>，主要用于以下方面</w:t>
      </w:r>
      <w:r>
        <w:rPr>
          <w:rFonts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一般公共服务支出0万元，占0%；教育支出0万元，占0%；科学技术支出0万元，占0%；文化旅游体育与传媒支出0万元，占0%；社会保障和就业支出</w:t>
      </w:r>
      <w:r>
        <w:rPr>
          <w:rFonts w:eastAsia="仿宋_GB2312" w:cs="仿宋_GB2312" w:hint="eastAsia"/>
          <w:color w:val="auto"/>
          <w:kern w:val="2"/>
          <w:sz w:val="32"/>
          <w:szCs w:val="32"/>
          <w:lang w:val="en-US" w:eastAsia="zh-CN" w:bidi="ar-SA"/>
          <w:highlight w:val="auto"/>
        </w:rPr>
        <w:t>31.01</w:t>
      </w:r>
      <w:r>
        <w:rPr>
          <w:rFonts w:ascii="Times New Roman" w:eastAsia="仿宋_GB2312" w:cs="仿宋_GB2312" w:hAnsi="Times New Roman" w:hint="eastAsia"/>
          <w:color w:val="auto"/>
          <w:kern w:val="2"/>
          <w:sz w:val="32"/>
          <w:szCs w:val="32"/>
          <w:lang w:val="en-US" w:eastAsia="zh-CN" w:bidi="ar-SA"/>
          <w:highlight w:val="auto"/>
        </w:rPr>
        <w:t>万元，占</w:t>
      </w:r>
      <w:r>
        <w:rPr>
          <w:rFonts w:eastAsia="仿宋_GB2312" w:cs="仿宋_GB2312" w:hint="eastAsia"/>
          <w:color w:val="auto"/>
          <w:kern w:val="2"/>
          <w:sz w:val="32"/>
          <w:szCs w:val="32"/>
          <w:lang w:val="en-US" w:eastAsia="zh-CN" w:bidi="ar-SA"/>
          <w:highlight w:val="auto"/>
        </w:rPr>
        <w:t>12.22</w:t>
      </w:r>
      <w:r>
        <w:rPr>
          <w:rFonts w:ascii="Times New Roman" w:eastAsia="仿宋_GB2312" w:cs="仿宋_GB2312" w:hAnsi="Times New Roman" w:hint="eastAsia"/>
          <w:color w:val="auto"/>
          <w:kern w:val="2"/>
          <w:sz w:val="32"/>
          <w:szCs w:val="32"/>
          <w:lang w:val="en-US" w:eastAsia="zh-CN" w:bidi="ar-SA"/>
          <w:highlight w:val="auto"/>
        </w:rPr>
        <w:t>%；卫生健康支出</w:t>
      </w:r>
      <w:r>
        <w:rPr>
          <w:rFonts w:eastAsia="仿宋_GB2312" w:cs="仿宋_GB2312" w:hint="eastAsia"/>
          <w:color w:val="auto"/>
          <w:kern w:val="2"/>
          <w:sz w:val="32"/>
          <w:szCs w:val="32"/>
          <w:lang w:val="en-US" w:eastAsia="zh-CN" w:bidi="ar-SA"/>
          <w:highlight w:val="auto"/>
        </w:rPr>
        <w:t>207.65</w:t>
      </w:r>
      <w:r>
        <w:rPr>
          <w:rFonts w:ascii="Times New Roman" w:eastAsia="仿宋_GB2312" w:cs="仿宋_GB2312" w:hAnsi="Times New Roman" w:hint="eastAsia"/>
          <w:color w:val="auto"/>
          <w:kern w:val="2"/>
          <w:sz w:val="32"/>
          <w:szCs w:val="32"/>
          <w:lang w:val="en-US" w:eastAsia="zh-CN" w:bidi="ar-SA"/>
          <w:highlight w:val="auto"/>
        </w:rPr>
        <w:t>万元，占</w:t>
      </w:r>
      <w:r>
        <w:rPr>
          <w:rFonts w:eastAsia="仿宋_GB2312" w:cs="仿宋_GB2312" w:hint="eastAsia"/>
          <w:color w:val="auto"/>
          <w:kern w:val="2"/>
          <w:sz w:val="32"/>
          <w:szCs w:val="32"/>
          <w:lang w:val="en-US" w:eastAsia="zh-CN" w:bidi="ar-SA"/>
          <w:highlight w:val="auto"/>
        </w:rPr>
        <w:t>81.82</w:t>
      </w:r>
      <w:r>
        <w:rPr>
          <w:rFonts w:ascii="Times New Roman" w:eastAsia="仿宋_GB2312" w:cs="仿宋_GB2312" w:hAnsi="Times New Roman" w:hint="eastAsia"/>
          <w:color w:val="auto"/>
          <w:kern w:val="2"/>
          <w:sz w:val="32"/>
          <w:szCs w:val="32"/>
          <w:lang w:val="en-US" w:eastAsia="zh-CN" w:bidi="ar-SA"/>
          <w:highlight w:val="auto"/>
        </w:rPr>
        <w:t>%；住房保障支出</w:t>
      </w:r>
      <w:r>
        <w:rPr>
          <w:rFonts w:eastAsia="仿宋_GB2312" w:cs="仿宋_GB2312" w:hint="eastAsia"/>
          <w:color w:val="auto"/>
          <w:kern w:val="2"/>
          <w:sz w:val="32"/>
          <w:szCs w:val="32"/>
          <w:lang w:val="en-US" w:eastAsia="zh-CN" w:bidi="ar-SA"/>
          <w:highlight w:val="auto"/>
        </w:rPr>
        <w:t>15.12</w:t>
      </w:r>
      <w:r>
        <w:rPr>
          <w:rFonts w:ascii="Times New Roman" w:eastAsia="仿宋_GB2312" w:cs="仿宋_GB2312" w:hAnsi="Times New Roman" w:hint="eastAsia"/>
          <w:color w:val="auto"/>
          <w:kern w:val="2"/>
          <w:sz w:val="32"/>
          <w:szCs w:val="32"/>
          <w:lang w:val="en-US" w:eastAsia="zh-CN" w:bidi="ar-SA"/>
          <w:highlight w:val="auto"/>
        </w:rPr>
        <w:t>万元，占</w:t>
      </w:r>
      <w:r>
        <w:rPr>
          <w:rFonts w:eastAsia="仿宋_GB2312" w:cs="仿宋_GB2312" w:hint="eastAsia"/>
          <w:color w:val="auto"/>
          <w:kern w:val="2"/>
          <w:sz w:val="32"/>
          <w:szCs w:val="32"/>
          <w:lang w:val="en-US" w:eastAsia="zh-CN" w:bidi="ar-SA"/>
          <w:highlight w:val="auto"/>
        </w:rPr>
        <w:t>5.96</w:t>
      </w:r>
      <w:r>
        <w:rPr>
          <w:rFonts w:ascii="Times New Roman" w:eastAsia="仿宋_GB2312" w:cs="仿宋_GB2312" w:hAnsi="Times New Roman" w:hint="eastAsia"/>
          <w:color w:val="auto"/>
          <w:kern w:val="2"/>
          <w:sz w:val="32"/>
          <w:szCs w:val="32"/>
          <w:lang w:val="en-US" w:eastAsia="zh-CN" w:bidi="ar-SA"/>
          <w:highlight w:val="auto"/>
        </w:rPr>
        <w:t>%。</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（图6：一般公共预算财政拨款支出决算结构）</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drawing>
          <wp:anchor distT="0" distB="0" distL="114300" distR="114300" simplePos="0" relativeHeight="34" behindDoc="0" locked="0" layoutInCell="1" hidden="0" allowOverlap="1">
            <wp:simplePos x="0" y="0"/>
            <wp:positionH relativeFrom="column">
              <wp:posOffset>887095</wp:posOffset>
            </wp:positionH>
            <wp:positionV relativeFrom="paragraph">
              <wp:posOffset>356870</wp:posOffset>
            </wp:positionV>
            <wp:extent cx="3128645" cy="2343785"/>
            <wp:effectExtent l="0" t="0" r="0" b="0"/>
            <wp:wrapTopAndBottom/>
            <wp:docPr id="12" name="图表 6"/>
            <wp:cNvGraphicFramePr>
              <a:graphicFrameLocks noChangeAspect="0"/>
            </wp:cNvGraphicFramePr>
            <a:graphic>
              <a:graphicData uri="http://schemas.openxmlformats.org/drawingml/2006/chart">
                <c:chart xmlns:c="http://schemas.openxmlformats.org/drawingml/2006/chart" r:id="rId11"/>
              </a:graphicData>
            </a:graphic>
          </wp:anchor>
        </w:drawing>
      </w:r>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33" w:name="_Toc15377212"/>
      <w:r>
        <w:rPr>
          <w:rFonts w:ascii="Times New Roman" w:eastAsia="楷体_GB2312" w:cs="楷体_GB2312" w:hAnsi="Times New Roman" w:hint="eastAsia"/>
          <w:b/>
          <w:color w:val="auto"/>
          <w:sz w:val="32"/>
          <w:szCs w:val="32"/>
          <w:highlight w:val="auto"/>
        </w:rPr>
        <w:t>（三）一般公共预算财政拨款支出决算具体情况</w:t>
      </w:r>
      <w:bookmarkEnd w:id="33"/>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bookmarkStart w:id="34" w:name="_Toc15378460"/>
      <w:bookmarkStart w:id="35" w:name="_Toc15377444"/>
      <w:bookmarkStart w:id="36" w:name="_Toc15377213"/>
      <w:r>
        <w:rPr>
          <w:rFonts w:ascii="Times New Roman" w:eastAsia="仿宋_GB2312" w:cs="仿宋_GB2312" w:hAnsi="Times New Roman" w:hint="eastAsia"/>
          <w:color w:val="auto"/>
          <w:kern w:val="2"/>
          <w:sz w:val="32"/>
          <w:szCs w:val="32"/>
          <w:lang w:val="en-US" w:eastAsia="zh-CN" w:bidi="ar-SA"/>
          <w:highlight w:val="auto"/>
        </w:rPr>
        <w:t>2024年度一般公共预算财政拨款支出决算数为</w:t>
      </w:r>
      <w:r>
        <w:rPr>
          <w:rFonts w:ascii="仿宋_GB2312" w:eastAsia="仿宋_GB2312" w:cs="仿宋_GB2312" w:hint="eastAsia"/>
          <w:sz w:val="32"/>
          <w:szCs w:val="32"/>
        </w:rPr>
        <w:t>253.78</w:t>
      </w:r>
      <w:r>
        <w:rPr>
          <w:rFonts w:ascii="仿宋_GB2312"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完成预算</w:t>
      </w:r>
      <w:r>
        <w:rPr>
          <w:rFonts w:eastAsia="仿宋_GB2312" w:cs="仿宋_GB2312" w:hint="eastAsia"/>
          <w:color w:val="auto"/>
          <w:kern w:val="2"/>
          <w:sz w:val="32"/>
          <w:szCs w:val="32"/>
          <w:lang w:val="en-US" w:eastAsia="zh-CN" w:bidi="ar-SA"/>
          <w:highlight w:val="auto"/>
        </w:rPr>
        <w:t>100</w:t>
      </w:r>
      <w:r>
        <w:rPr>
          <w:rFonts w:ascii="Times New Roman" w:eastAsia="仿宋_GB2312" w:cs="仿宋_GB2312" w:hAnsi="Times New Roman" w:hint="eastAsia"/>
          <w:color w:val="auto"/>
          <w:kern w:val="2"/>
          <w:sz w:val="32"/>
          <w:szCs w:val="32"/>
          <w:lang w:val="en-US" w:eastAsia="zh-CN" w:bidi="ar-SA"/>
          <w:highlight w:val="auto"/>
        </w:rPr>
        <w:t>%。其中：</w:t>
      </w:r>
      <w:bookmarkEnd w:id="34"/>
      <w:bookmarkEnd w:id="35"/>
      <w:bookmarkEnd w:id="36"/>
    </w:p>
    <w:p>
      <w:pPr>
        <w:spacing w:line="600" w:lineRule="exact"/>
        <w:ind w:firstLineChars="200" w:firstLine="640"/>
        <w:rPr>
          <w:rStyle w:val="25"/>
          <w:rFonts w:ascii="Times New Roman" w:eastAsia="仿宋" w:cs="Times New Roman" w:hAnsi="Times New Roman"/>
          <w:b w:val="0"/>
          <w:bCs/>
          <w:sz w:val="32"/>
          <w:szCs w:val="32"/>
          <w:lang w:val="en-US" w:eastAsia="zh-CN"/>
        </w:rPr>
      </w:pPr>
      <w:bookmarkStart w:id="37" w:name="_Toc15396608"/>
      <w:bookmarkStart w:id="38" w:name="_Toc15377214"/>
      <w:r>
        <w:rPr>
          <w:rStyle w:val="25"/>
          <w:rFonts w:ascii="Times New Roman" w:eastAsia="仿宋" w:cs="Times New Roman" w:hAnsi="Times New Roman"/>
          <w:b w:val="0"/>
          <w:bCs/>
          <w:sz w:val="32"/>
          <w:szCs w:val="32"/>
          <w:lang w:val="en-US" w:eastAsia="zh-CN"/>
        </w:rPr>
        <w:t>1.一般公共服务（类）（款）（项）: 支出决算为0万元。</w:t>
      </w:r>
    </w:p>
    <w:p>
      <w:pPr>
        <w:spacing w:line="600" w:lineRule="exact"/>
        <w:ind w:firstLineChars="200" w:firstLine="640"/>
        <w:rPr>
          <w:rFonts w:ascii="Times New Roman" w:eastAsia="仿宋" w:cs="Times New Roman" w:hAnsi="Times New Roman"/>
          <w:bCs/>
          <w:sz w:val="32"/>
          <w:szCs w:val="32"/>
          <w:lang w:bidi="ar-SA"/>
        </w:rPr>
      </w:pPr>
      <w:r>
        <w:rPr>
          <w:rStyle w:val="25"/>
          <w:rFonts w:ascii="Times New Roman" w:eastAsia="仿宋" w:cs="Times New Roman" w:hAnsi="Times New Roman"/>
          <w:b w:val="0"/>
          <w:bCs/>
          <w:sz w:val="32"/>
          <w:szCs w:val="32"/>
          <w:lang w:val="en-US" w:eastAsia="zh-CN"/>
        </w:rPr>
        <w:t>2.教育（类）（款）（</w:t>
      </w:r>
      <w:r>
        <w:rPr>
          <w:rStyle w:val="25"/>
          <w:rFonts w:ascii="Times New Roman" w:eastAsia="仿宋" w:cs="Times New Roman" w:hAnsi="Times New Roman"/>
          <w:b w:val="0"/>
          <w:bCs/>
          <w:sz w:val="32"/>
          <w:szCs w:val="32"/>
          <w:lang w:bidi="ar-SA"/>
        </w:rPr>
        <w:t>项）: 支出决算为</w:t>
      </w:r>
      <w:r>
        <w:rPr>
          <w:rStyle w:val="25"/>
          <w:rFonts w:ascii="Times New Roman" w:eastAsia="仿宋" w:cs="Times New Roman" w:hAnsi="Times New Roman"/>
          <w:b w:val="0"/>
          <w:bCs/>
          <w:sz w:val="32"/>
          <w:szCs w:val="32"/>
          <w:lang w:val="en-US" w:eastAsia="zh-CN" w:bidi="ar-SA"/>
        </w:rPr>
        <w:t>0</w:t>
      </w:r>
      <w:r>
        <w:rPr>
          <w:rStyle w:val="25"/>
          <w:rFonts w:ascii="Times New Roman" w:eastAsia="仿宋" w:cs="Times New Roman" w:hAnsi="Times New Roman"/>
          <w:b w:val="0"/>
          <w:bCs/>
          <w:sz w:val="32"/>
          <w:szCs w:val="32"/>
          <w:lang w:bidi="ar-SA"/>
        </w:rPr>
        <w:t>万元。</w:t>
      </w:r>
    </w:p>
    <w:p>
      <w:pPr>
        <w:spacing w:line="600" w:lineRule="exact"/>
        <w:ind w:firstLineChars="200" w:firstLine="640"/>
        <w:rPr>
          <w:rFonts w:ascii="Times New Roman" w:eastAsia="仿宋" w:cs="Times New Roman" w:hAnsi="Times New Roman"/>
          <w:bCs/>
          <w:sz w:val="32"/>
          <w:szCs w:val="32"/>
          <w:lang w:bidi="ar-SA"/>
        </w:rPr>
      </w:pPr>
      <w:r>
        <w:rPr>
          <w:rStyle w:val="25"/>
          <w:rFonts w:ascii="Times New Roman" w:eastAsia="仿宋" w:cs="Times New Roman" w:hAnsi="Times New Roman"/>
          <w:b w:val="0"/>
          <w:bCs/>
          <w:sz w:val="32"/>
          <w:szCs w:val="32"/>
          <w:lang w:bidi="ar-SA"/>
        </w:rPr>
        <w:t>3.科学技术（类）（款）（项）: 支出决算为</w:t>
      </w:r>
      <w:r>
        <w:rPr>
          <w:rStyle w:val="25"/>
          <w:rFonts w:ascii="Times New Roman" w:eastAsia="仿宋" w:cs="Times New Roman" w:hAnsi="Times New Roman"/>
          <w:b w:val="0"/>
          <w:bCs/>
          <w:sz w:val="32"/>
          <w:szCs w:val="32"/>
          <w:lang w:val="en-US" w:eastAsia="zh-CN" w:bidi="ar-SA"/>
        </w:rPr>
        <w:t>0</w:t>
      </w:r>
      <w:r>
        <w:rPr>
          <w:rStyle w:val="25"/>
          <w:rFonts w:ascii="Times New Roman" w:eastAsia="仿宋" w:cs="Times New Roman" w:hAnsi="Times New Roman"/>
          <w:b w:val="0"/>
          <w:bCs/>
          <w:sz w:val="32"/>
          <w:szCs w:val="32"/>
          <w:lang w:bidi="ar-SA"/>
        </w:rPr>
        <w:t>万元。</w:t>
      </w:r>
    </w:p>
    <w:p>
      <w:pPr>
        <w:spacing w:line="600" w:lineRule="exact"/>
        <w:ind w:firstLineChars="200" w:firstLine="640"/>
        <w:rPr>
          <w:rFonts w:ascii="Times New Roman" w:eastAsia="仿宋" w:cs="Times New Roman" w:hAnsi="Times New Roman"/>
          <w:bCs/>
          <w:sz w:val="32"/>
          <w:szCs w:val="32"/>
          <w:lang w:bidi="ar-SA"/>
        </w:rPr>
      </w:pPr>
      <w:r>
        <w:rPr>
          <w:rStyle w:val="25"/>
          <w:rFonts w:ascii="Times New Roman" w:eastAsia="仿宋" w:cs="Times New Roman" w:hAnsi="Times New Roman"/>
          <w:b w:val="0"/>
          <w:bCs/>
          <w:sz w:val="32"/>
          <w:szCs w:val="32"/>
          <w:lang w:bidi="ar-SA"/>
        </w:rPr>
        <w:t>4.文化旅游体育与传媒（类）（款）（项）: 支出决算为</w:t>
      </w:r>
      <w:r>
        <w:rPr>
          <w:rStyle w:val="25"/>
          <w:rFonts w:ascii="Times New Roman" w:eastAsia="仿宋" w:cs="Times New Roman" w:hAnsi="Times New Roman"/>
          <w:b w:val="0"/>
          <w:bCs/>
          <w:sz w:val="32"/>
          <w:szCs w:val="32"/>
          <w:lang w:val="en-US" w:eastAsia="zh-CN" w:bidi="ar-SA"/>
        </w:rPr>
        <w:t>0</w:t>
      </w:r>
      <w:r>
        <w:rPr>
          <w:rStyle w:val="25"/>
          <w:rFonts w:ascii="Times New Roman" w:eastAsia="仿宋" w:cs="Times New Roman" w:hAnsi="Times New Roman"/>
          <w:b w:val="0"/>
          <w:bCs/>
          <w:sz w:val="32"/>
          <w:szCs w:val="32"/>
          <w:lang w:bidi="ar-SA"/>
        </w:rPr>
        <w:t>万元。</w:t>
      </w:r>
    </w:p>
    <w:p>
      <w:pPr>
        <w:spacing w:line="600" w:lineRule="exact"/>
        <w:ind w:firstLineChars="200" w:firstLine="640"/>
        <w:rPr>
          <w:rStyle w:val="25"/>
          <w:rFonts w:ascii="Times New Roman" w:eastAsia="仿宋" w:cs="Times New Roman" w:hAnsi="Times New Roman" w:hint="eastAsia"/>
          <w:b w:val="0"/>
          <w:bCs/>
          <w:color w:val="000000"/>
          <w:sz w:val="32"/>
          <w:szCs w:val="32"/>
          <w:lang w:val="en-US" w:eastAsia="zh-CN"/>
        </w:rPr>
      </w:pPr>
      <w:r>
        <w:rPr>
          <w:rStyle w:val="25"/>
          <w:rFonts w:ascii="Times New Roman" w:eastAsia="仿宋" w:cs="Times New Roman" w:hAnsi="Times New Roman"/>
          <w:b w:val="0"/>
          <w:bCs/>
          <w:sz w:val="32"/>
          <w:szCs w:val="32"/>
        </w:rPr>
        <w:t>5.社会保障和就业（208）：</w:t>
      </w:r>
      <w:r>
        <w:rPr>
          <w:rStyle w:val="25"/>
          <w:rFonts w:ascii="Times New Roman" w:eastAsia="仿宋" w:cs="Times New Roman" w:hAnsi="Times New Roman" w:hint="eastAsia"/>
          <w:b w:val="0"/>
          <w:bCs/>
          <w:sz w:val="32"/>
          <w:szCs w:val="32"/>
          <w:lang w:val="en-US" w:eastAsia="zh-CN"/>
        </w:rPr>
        <w:t>人力资源和社会保障管理事务（20801）其他人力资源和社会保障管理事务支出（2080199）决算为8万元，</w:t>
      </w:r>
      <w:r>
        <w:rPr>
          <w:rStyle w:val="25"/>
          <w:rFonts w:ascii="Times New Roman" w:eastAsia="仿宋" w:cs="Times New Roman" w:hAnsi="Times New Roman"/>
          <w:b w:val="0"/>
          <w:bCs/>
          <w:color w:val="000000"/>
          <w:sz w:val="32"/>
          <w:szCs w:val="32"/>
        </w:rPr>
        <w:t>完成预算100%，</w:t>
      </w:r>
      <w:r>
        <w:rPr>
          <w:rStyle w:val="25"/>
          <w:rFonts w:ascii="Times New Roman" w:eastAsia="仿宋" w:cs="Times New Roman" w:hAnsi="Times New Roman"/>
          <w:b w:val="0"/>
          <w:bCs/>
          <w:color w:val="000000"/>
          <w:sz w:val="32"/>
          <w:szCs w:val="32"/>
          <w:lang w:val="en-US" w:eastAsia="zh-CN"/>
        </w:rPr>
        <w:t>决算数</w:t>
      </w:r>
      <w:r>
        <w:rPr>
          <w:rStyle w:val="25"/>
          <w:rFonts w:ascii="Times New Roman" w:eastAsia="仿宋" w:cs="Times New Roman" w:hAnsi="Times New Roman"/>
          <w:b w:val="0"/>
          <w:bCs/>
          <w:color w:val="000000"/>
          <w:sz w:val="32"/>
          <w:szCs w:val="32"/>
        </w:rPr>
        <w:t>等于预算数。行政事业单位养老支出（20805）</w:t>
      </w:r>
      <w:r>
        <w:rPr>
          <w:rStyle w:val="25"/>
          <w:rFonts w:ascii="Times New Roman" w:eastAsia="仿宋" w:cs="Times New Roman" w:hAnsi="Times New Roman" w:hint="eastAsia"/>
          <w:b w:val="0"/>
          <w:bCs/>
          <w:color w:val="000000"/>
          <w:sz w:val="32"/>
          <w:szCs w:val="32"/>
          <w:lang w:val="en-US" w:eastAsia="zh-CN"/>
        </w:rPr>
        <w:t>事业单位离退休（2080502）决算为2.86万元，</w:t>
      </w:r>
      <w:r>
        <w:rPr>
          <w:rStyle w:val="25"/>
          <w:rFonts w:ascii="Times New Roman" w:eastAsia="仿宋" w:cs="Times New Roman" w:hAnsi="Times New Roman"/>
          <w:b w:val="0"/>
          <w:bCs/>
          <w:color w:val="000000"/>
          <w:sz w:val="32"/>
          <w:szCs w:val="32"/>
        </w:rPr>
        <w:t>完成预算100%，</w:t>
      </w:r>
      <w:r>
        <w:rPr>
          <w:rStyle w:val="25"/>
          <w:rFonts w:ascii="Times New Roman" w:eastAsia="仿宋" w:cs="Times New Roman" w:hAnsi="Times New Roman"/>
          <w:b w:val="0"/>
          <w:bCs/>
          <w:color w:val="000000"/>
          <w:sz w:val="32"/>
          <w:szCs w:val="32"/>
          <w:lang w:val="en-US" w:eastAsia="zh-CN"/>
        </w:rPr>
        <w:t>决算数</w:t>
      </w:r>
      <w:r>
        <w:rPr>
          <w:rStyle w:val="25"/>
          <w:rFonts w:ascii="Times New Roman" w:eastAsia="仿宋" w:cs="Times New Roman" w:hAnsi="Times New Roman"/>
          <w:b w:val="0"/>
          <w:bCs/>
          <w:color w:val="000000"/>
          <w:sz w:val="32"/>
          <w:szCs w:val="32"/>
        </w:rPr>
        <w:t>等于预算数</w:t>
      </w:r>
      <w:r>
        <w:rPr>
          <w:rStyle w:val="25"/>
          <w:rFonts w:ascii="Times New Roman" w:eastAsia="仿宋" w:cs="Times New Roman" w:hAnsi="Times New Roman" w:hint="eastAsia"/>
          <w:b w:val="0"/>
          <w:bCs/>
          <w:color w:val="000000"/>
          <w:sz w:val="32"/>
          <w:szCs w:val="32"/>
          <w:lang w:eastAsia="zh-CN"/>
        </w:rPr>
        <w:t>；</w:t>
      </w:r>
      <w:r>
        <w:rPr>
          <w:rStyle w:val="25"/>
          <w:rFonts w:ascii="Times New Roman" w:eastAsia="仿宋" w:cs="Times New Roman" w:hAnsi="Times New Roman"/>
          <w:b w:val="0"/>
          <w:bCs/>
          <w:color w:val="000000"/>
          <w:sz w:val="32"/>
          <w:szCs w:val="32"/>
        </w:rPr>
        <w:t>机关事业单位基本养老保险缴费支出（2080505）</w:t>
      </w:r>
      <w:r>
        <w:rPr>
          <w:rStyle w:val="25"/>
          <w:rFonts w:ascii="Times New Roman" w:eastAsia="仿宋" w:cs="Times New Roman" w:hAnsi="Times New Roman"/>
          <w:b w:val="0"/>
          <w:bCs/>
          <w:color w:val="000000"/>
          <w:sz w:val="32"/>
          <w:szCs w:val="32"/>
          <w:lang w:val="en-US" w:eastAsia="zh-CN"/>
        </w:rPr>
        <w:t>决算为</w:t>
      </w:r>
      <w:r>
        <w:rPr>
          <w:rStyle w:val="25"/>
          <w:rFonts w:ascii="Times New Roman" w:eastAsia="仿宋" w:cs="Times New Roman" w:hAnsi="Times New Roman" w:hint="eastAsia"/>
          <w:b w:val="0"/>
          <w:bCs/>
          <w:color w:val="000000"/>
          <w:sz w:val="32"/>
          <w:szCs w:val="32"/>
          <w:lang w:val="en-US" w:eastAsia="zh-CN"/>
        </w:rPr>
        <w:t>20.15</w:t>
      </w:r>
      <w:r>
        <w:rPr>
          <w:rStyle w:val="25"/>
          <w:rFonts w:ascii="Times New Roman" w:eastAsia="仿宋" w:cs="Times New Roman" w:hAnsi="Times New Roman"/>
          <w:b w:val="0"/>
          <w:bCs/>
          <w:color w:val="000000"/>
          <w:sz w:val="32"/>
          <w:szCs w:val="32"/>
        </w:rPr>
        <w:t>万元，完成预算100%，</w:t>
      </w:r>
      <w:r>
        <w:rPr>
          <w:rStyle w:val="25"/>
          <w:rFonts w:ascii="Times New Roman" w:eastAsia="仿宋" w:cs="Times New Roman" w:hAnsi="Times New Roman"/>
          <w:b w:val="0"/>
          <w:bCs/>
          <w:color w:val="000000"/>
          <w:sz w:val="32"/>
          <w:szCs w:val="32"/>
          <w:lang w:val="en-US" w:eastAsia="zh-CN"/>
        </w:rPr>
        <w:t>决算数</w:t>
      </w:r>
      <w:r>
        <w:rPr>
          <w:rStyle w:val="25"/>
          <w:rFonts w:ascii="Times New Roman" w:eastAsia="仿宋" w:cs="Times New Roman" w:hAnsi="Times New Roman"/>
          <w:b w:val="0"/>
          <w:bCs/>
          <w:color w:val="000000"/>
          <w:sz w:val="32"/>
          <w:szCs w:val="32"/>
        </w:rPr>
        <w:t>等于预算数</w:t>
      </w:r>
      <w:r>
        <w:rPr>
          <w:rStyle w:val="25"/>
          <w:rFonts w:ascii="Times New Roman" w:eastAsia="仿宋" w:cs="Times New Roman" w:hAnsi="Times New Roman" w:hint="eastAsia"/>
          <w:b w:val="0"/>
          <w:bCs/>
          <w:color w:val="000000"/>
          <w:sz w:val="32"/>
          <w:szCs w:val="32"/>
          <w:lang w:eastAsia="zh-CN"/>
        </w:rPr>
        <w:t>。</w:t>
      </w:r>
    </w:p>
    <w:p>
      <w:pPr>
        <w:spacing w:line="600" w:lineRule="exact"/>
        <w:ind w:firstLineChars="200" w:firstLine="640"/>
        <w:rPr>
          <w:rStyle w:val="25"/>
          <w:rFonts w:ascii="Times New Roman" w:eastAsia="仿宋" w:cs="Times New Roman" w:hAnsi="Times New Roman" w:hint="eastAsia"/>
          <w:b w:val="0"/>
          <w:bCs/>
          <w:color w:val="000000"/>
          <w:sz w:val="32"/>
          <w:szCs w:val="32"/>
          <w:lang w:val="en-US" w:eastAsia="zh-CN"/>
        </w:rPr>
      </w:pPr>
      <w:r>
        <w:rPr>
          <w:rStyle w:val="25"/>
          <w:rFonts w:ascii="Times New Roman" w:eastAsia="仿宋" w:hAnsi="Times New Roman" w:hint="eastAsia"/>
          <w:bCs/>
          <w:color w:val="auto"/>
          <w:sz w:val="32"/>
          <w:szCs w:val="32"/>
          <w:highlight w:val="auto"/>
        </w:rPr>
        <w:t>6.</w:t>
      </w:r>
      <w:r>
        <w:rPr>
          <w:rStyle w:val="25"/>
          <w:rFonts w:ascii="Times New Roman" w:eastAsia="仿宋" w:cs="Times New Roman" w:hAnsi="Times New Roman"/>
          <w:b w:val="0"/>
          <w:bCs/>
          <w:sz w:val="32"/>
          <w:szCs w:val="32"/>
        </w:rPr>
        <w:t>卫生健康（210）:</w:t>
      </w:r>
      <w:r>
        <w:rPr>
          <w:rStyle w:val="25"/>
          <w:rFonts w:ascii="Times New Roman" w:eastAsia="仿宋" w:cs="Times New Roman" w:hAnsi="Times New Roman"/>
          <w:b w:val="0"/>
          <w:bCs/>
          <w:color w:val="000000"/>
          <w:sz w:val="32"/>
          <w:szCs w:val="32"/>
          <w:lang w:val="en-US" w:eastAsia="zh-CN"/>
        </w:rPr>
        <w:t>公立医院（21002）其他公</w:t>
      </w:r>
      <w:r>
        <w:rPr>
          <w:rStyle w:val="25"/>
          <w:rFonts w:ascii="Times New Roman" w:eastAsia="仿宋" w:cs="Times New Roman" w:hAnsi="Times New Roman" w:hint="eastAsia"/>
          <w:b w:val="0"/>
          <w:bCs/>
          <w:color w:val="000000"/>
          <w:sz w:val="32"/>
          <w:szCs w:val="32"/>
          <w:lang w:val="en-US" w:eastAsia="zh-CN"/>
        </w:rPr>
        <w:t>立医院</w:t>
      </w:r>
      <w:r>
        <w:rPr>
          <w:rStyle w:val="25"/>
          <w:rFonts w:ascii="Times New Roman" w:eastAsia="仿宋" w:cs="Times New Roman" w:hAnsi="Times New Roman"/>
          <w:b w:val="0"/>
          <w:bCs/>
          <w:color w:val="000000"/>
          <w:sz w:val="32"/>
          <w:szCs w:val="32"/>
          <w:lang w:val="en-US" w:eastAsia="zh-CN"/>
        </w:rPr>
        <w:t>支出（2100299）决算为</w:t>
      </w:r>
      <w:r>
        <w:rPr>
          <w:rStyle w:val="25"/>
          <w:rFonts w:ascii="Times New Roman" w:eastAsia="仿宋" w:cs="Times New Roman" w:hAnsi="Times New Roman" w:hint="eastAsia"/>
          <w:b w:val="0"/>
          <w:bCs/>
          <w:color w:val="000000"/>
          <w:sz w:val="32"/>
          <w:szCs w:val="32"/>
          <w:lang w:val="en-US" w:eastAsia="zh-CN"/>
        </w:rPr>
        <w:t>4.1</w:t>
      </w:r>
      <w:r>
        <w:rPr>
          <w:rStyle w:val="25"/>
          <w:rFonts w:ascii="Times New Roman" w:eastAsia="仿宋" w:cs="Times New Roman" w:hAnsi="Times New Roman"/>
          <w:b w:val="0"/>
          <w:bCs/>
          <w:color w:val="000000"/>
          <w:sz w:val="32"/>
          <w:szCs w:val="32"/>
          <w:lang w:val="en-US" w:eastAsia="zh-CN"/>
        </w:rPr>
        <w:t>万元，</w:t>
      </w:r>
      <w:r>
        <w:rPr>
          <w:rStyle w:val="25"/>
          <w:rFonts w:ascii="Times New Roman" w:eastAsia="仿宋" w:cs="Times New Roman" w:hAnsi="Times New Roman"/>
          <w:b w:val="0"/>
          <w:bCs/>
          <w:color w:val="000000"/>
          <w:sz w:val="32"/>
          <w:szCs w:val="32"/>
        </w:rPr>
        <w:t>完成预算100%，</w:t>
      </w:r>
      <w:r>
        <w:rPr>
          <w:rStyle w:val="25"/>
          <w:rFonts w:ascii="Times New Roman" w:eastAsia="仿宋" w:cs="Times New Roman" w:hAnsi="Times New Roman"/>
          <w:b w:val="0"/>
          <w:bCs/>
          <w:color w:val="000000"/>
          <w:sz w:val="32"/>
          <w:szCs w:val="32"/>
          <w:lang w:val="en-US" w:eastAsia="zh-CN"/>
        </w:rPr>
        <w:t>决算数</w:t>
      </w:r>
      <w:r>
        <w:rPr>
          <w:rStyle w:val="25"/>
          <w:rFonts w:ascii="Times New Roman" w:eastAsia="仿宋" w:cs="Times New Roman" w:hAnsi="Times New Roman"/>
          <w:b w:val="0"/>
          <w:bCs/>
          <w:color w:val="000000"/>
          <w:sz w:val="32"/>
          <w:szCs w:val="32"/>
        </w:rPr>
        <w:t>等于预算数</w:t>
      </w:r>
      <w:r>
        <w:rPr>
          <w:rStyle w:val="25"/>
          <w:rFonts w:ascii="Times New Roman" w:eastAsia="仿宋" w:cs="Times New Roman" w:hAnsi="Times New Roman"/>
          <w:b w:val="0"/>
          <w:bCs/>
          <w:color w:val="000000"/>
          <w:sz w:val="32"/>
          <w:szCs w:val="32"/>
          <w:lang w:eastAsia="zh-CN"/>
        </w:rPr>
        <w:t>。</w:t>
      </w:r>
      <w:r>
        <w:rPr>
          <w:rStyle w:val="25"/>
          <w:rFonts w:ascii="Times New Roman" w:eastAsia="仿宋" w:cs="Times New Roman" w:hAnsi="Times New Roman"/>
          <w:b w:val="0"/>
          <w:bCs/>
          <w:color w:val="000000"/>
          <w:sz w:val="32"/>
          <w:szCs w:val="32"/>
          <w:lang w:val="en-US" w:eastAsia="zh-CN"/>
        </w:rPr>
        <w:t>公共卫生</w:t>
      </w:r>
      <w:r>
        <w:rPr>
          <w:rStyle w:val="25"/>
          <w:rFonts w:ascii="Times New Roman" w:eastAsia="仿宋" w:cs="Times New Roman" w:hAnsi="Times New Roman"/>
          <w:b w:val="0"/>
          <w:bCs/>
          <w:color w:val="000000"/>
          <w:sz w:val="32"/>
          <w:szCs w:val="32"/>
        </w:rPr>
        <w:t>（2100</w:t>
      </w:r>
      <w:r>
        <w:rPr>
          <w:rStyle w:val="25"/>
          <w:rFonts w:ascii="Times New Roman" w:eastAsia="仿宋" w:cs="Times New Roman" w:hAnsi="Times New Roman"/>
          <w:b w:val="0"/>
          <w:bCs/>
          <w:color w:val="000000"/>
          <w:sz w:val="32"/>
          <w:szCs w:val="32"/>
          <w:lang w:val="en-US" w:eastAsia="zh-CN"/>
        </w:rPr>
        <w:t>4</w:t>
      </w:r>
      <w:r>
        <w:rPr>
          <w:rStyle w:val="25"/>
          <w:rFonts w:ascii="Times New Roman" w:eastAsia="仿宋" w:cs="Times New Roman" w:hAnsi="Times New Roman"/>
          <w:b w:val="0"/>
          <w:bCs/>
          <w:color w:val="000000"/>
          <w:sz w:val="32"/>
          <w:szCs w:val="32"/>
        </w:rPr>
        <w:t>）</w:t>
      </w:r>
      <w:r>
        <w:rPr>
          <w:rStyle w:val="25"/>
          <w:rFonts w:ascii="Times New Roman" w:eastAsia="仿宋" w:cs="Times New Roman" w:hAnsi="Times New Roman"/>
          <w:b w:val="0"/>
          <w:bCs/>
          <w:color w:val="000000"/>
          <w:sz w:val="32"/>
          <w:szCs w:val="32"/>
          <w:lang w:val="en-US" w:eastAsia="zh-CN"/>
        </w:rPr>
        <w:t>应急救治机构</w:t>
      </w:r>
      <w:r>
        <w:rPr>
          <w:rStyle w:val="25"/>
          <w:rFonts w:ascii="Times New Roman" w:eastAsia="仿宋" w:cs="Times New Roman" w:hAnsi="Times New Roman"/>
          <w:b w:val="0"/>
          <w:bCs/>
          <w:color w:val="000000"/>
          <w:sz w:val="32"/>
          <w:szCs w:val="32"/>
        </w:rPr>
        <w:t>（2100</w:t>
      </w:r>
      <w:r>
        <w:rPr>
          <w:rStyle w:val="25"/>
          <w:rFonts w:ascii="Times New Roman" w:eastAsia="仿宋" w:cs="Times New Roman" w:hAnsi="Times New Roman"/>
          <w:b w:val="0"/>
          <w:bCs/>
          <w:color w:val="000000"/>
          <w:sz w:val="32"/>
          <w:szCs w:val="32"/>
          <w:lang w:val="en-US" w:eastAsia="zh-CN"/>
        </w:rPr>
        <w:t>405</w:t>
      </w:r>
      <w:r>
        <w:rPr>
          <w:rStyle w:val="25"/>
          <w:rFonts w:ascii="Times New Roman" w:eastAsia="仿宋" w:cs="Times New Roman" w:hAnsi="Times New Roman"/>
          <w:b w:val="0"/>
          <w:bCs/>
          <w:color w:val="000000"/>
          <w:sz w:val="32"/>
          <w:szCs w:val="32"/>
        </w:rPr>
        <w:t>）决算</w:t>
      </w:r>
      <w:r>
        <w:rPr>
          <w:rStyle w:val="25"/>
          <w:rFonts w:ascii="Times New Roman" w:eastAsia="仿宋" w:cs="Times New Roman" w:hAnsi="Times New Roman"/>
          <w:b w:val="0"/>
          <w:bCs/>
          <w:color w:val="000000"/>
          <w:sz w:val="32"/>
          <w:szCs w:val="32"/>
          <w:lang w:val="en-US" w:eastAsia="zh-CN"/>
        </w:rPr>
        <w:t>为</w:t>
      </w:r>
      <w:r>
        <w:rPr>
          <w:rStyle w:val="25"/>
          <w:rFonts w:ascii="Times New Roman" w:eastAsia="仿宋" w:cs="Times New Roman" w:hAnsi="Times New Roman" w:hint="eastAsia"/>
          <w:b w:val="0"/>
          <w:bCs/>
          <w:color w:val="000000"/>
          <w:sz w:val="32"/>
          <w:szCs w:val="32"/>
          <w:lang w:val="en-US" w:eastAsia="zh-CN"/>
        </w:rPr>
        <w:t>186.07</w:t>
      </w:r>
      <w:r>
        <w:rPr>
          <w:rStyle w:val="25"/>
          <w:rFonts w:ascii="Times New Roman" w:eastAsia="仿宋" w:cs="Times New Roman" w:hAnsi="Times New Roman"/>
          <w:b w:val="0"/>
          <w:bCs/>
          <w:color w:val="000000"/>
          <w:sz w:val="32"/>
          <w:szCs w:val="32"/>
        </w:rPr>
        <w:t>万元，完成预算100%，</w:t>
      </w:r>
      <w:r>
        <w:rPr>
          <w:rStyle w:val="25"/>
          <w:rFonts w:ascii="Times New Roman" w:eastAsia="仿宋" w:cs="Times New Roman" w:hAnsi="Times New Roman"/>
          <w:b w:val="0"/>
          <w:bCs/>
          <w:color w:val="000000"/>
          <w:sz w:val="32"/>
          <w:szCs w:val="32"/>
          <w:lang w:val="en-US" w:eastAsia="zh-CN"/>
        </w:rPr>
        <w:t>决算数</w:t>
      </w:r>
      <w:r>
        <w:rPr>
          <w:rStyle w:val="25"/>
          <w:rFonts w:ascii="Times New Roman" w:eastAsia="仿宋" w:cs="Times New Roman" w:hAnsi="Times New Roman"/>
          <w:b w:val="0"/>
          <w:bCs/>
          <w:color w:val="000000"/>
          <w:sz w:val="32"/>
          <w:szCs w:val="32"/>
        </w:rPr>
        <w:t>等于预算数；</w:t>
      </w:r>
      <w:r>
        <w:rPr>
          <w:rStyle w:val="25"/>
          <w:rFonts w:ascii="Times New Roman" w:eastAsia="仿宋" w:cs="Times New Roman" w:hAnsi="Times New Roman"/>
          <w:b w:val="0"/>
          <w:bCs/>
          <w:color w:val="000000"/>
          <w:sz w:val="32"/>
          <w:szCs w:val="32"/>
          <w:lang w:val="en-US" w:eastAsia="zh-CN"/>
        </w:rPr>
        <w:t>基本公共卫生服务</w:t>
      </w:r>
      <w:r>
        <w:rPr>
          <w:rStyle w:val="25"/>
          <w:rFonts w:ascii="Times New Roman" w:eastAsia="仿宋" w:cs="Times New Roman" w:hAnsi="Times New Roman"/>
          <w:b w:val="0"/>
          <w:bCs/>
          <w:color w:val="000000"/>
          <w:sz w:val="32"/>
          <w:szCs w:val="32"/>
        </w:rPr>
        <w:t>（2100</w:t>
      </w:r>
      <w:r>
        <w:rPr>
          <w:rStyle w:val="25"/>
          <w:rFonts w:ascii="Times New Roman" w:eastAsia="仿宋" w:cs="Times New Roman" w:hAnsi="Times New Roman"/>
          <w:b w:val="0"/>
          <w:bCs/>
          <w:color w:val="000000"/>
          <w:sz w:val="32"/>
          <w:szCs w:val="32"/>
          <w:lang w:val="en-US" w:eastAsia="zh-CN"/>
        </w:rPr>
        <w:t>408</w:t>
      </w:r>
      <w:r>
        <w:rPr>
          <w:rStyle w:val="25"/>
          <w:rFonts w:ascii="Times New Roman" w:eastAsia="仿宋" w:cs="Times New Roman" w:hAnsi="Times New Roman"/>
          <w:b w:val="0"/>
          <w:bCs/>
          <w:color w:val="000000"/>
          <w:sz w:val="32"/>
          <w:szCs w:val="32"/>
        </w:rPr>
        <w:t>）决算为</w:t>
      </w:r>
      <w:r>
        <w:rPr>
          <w:rStyle w:val="25"/>
          <w:rFonts w:ascii="Times New Roman" w:eastAsia="仿宋" w:cs="Times New Roman" w:hAnsi="Times New Roman" w:hint="eastAsia"/>
          <w:b w:val="0"/>
          <w:bCs/>
          <w:color w:val="000000"/>
          <w:sz w:val="32"/>
          <w:szCs w:val="32"/>
          <w:lang w:val="en-US" w:eastAsia="zh-CN"/>
        </w:rPr>
        <w:t>5</w:t>
      </w:r>
      <w:r>
        <w:rPr>
          <w:rStyle w:val="25"/>
          <w:rFonts w:ascii="Times New Roman" w:eastAsia="仿宋" w:cs="Times New Roman" w:hAnsi="Times New Roman"/>
          <w:b w:val="0"/>
          <w:bCs/>
          <w:color w:val="000000"/>
          <w:sz w:val="32"/>
          <w:szCs w:val="32"/>
        </w:rPr>
        <w:t>万元，完成预算100%，</w:t>
      </w:r>
      <w:r>
        <w:rPr>
          <w:rStyle w:val="25"/>
          <w:rFonts w:ascii="Times New Roman" w:eastAsia="仿宋" w:cs="Times New Roman" w:hAnsi="Times New Roman"/>
          <w:b w:val="0"/>
          <w:bCs/>
          <w:color w:val="000000"/>
          <w:sz w:val="32"/>
          <w:szCs w:val="32"/>
          <w:lang w:val="en-US" w:eastAsia="zh-CN"/>
        </w:rPr>
        <w:t>决算数</w:t>
      </w:r>
      <w:r>
        <w:rPr>
          <w:rStyle w:val="25"/>
          <w:rFonts w:ascii="Times New Roman" w:eastAsia="仿宋" w:cs="Times New Roman" w:hAnsi="Times New Roman"/>
          <w:b w:val="0"/>
          <w:bCs/>
          <w:color w:val="000000"/>
          <w:sz w:val="32"/>
          <w:szCs w:val="32"/>
        </w:rPr>
        <w:t>等于预算数</w:t>
      </w:r>
      <w:r>
        <w:rPr>
          <w:rStyle w:val="25"/>
          <w:rFonts w:ascii="Times New Roman" w:eastAsia="仿宋" w:cs="Times New Roman" w:hAnsi="Times New Roman"/>
          <w:b w:val="0"/>
          <w:bCs/>
          <w:color w:val="000000"/>
          <w:sz w:val="32"/>
          <w:szCs w:val="32"/>
          <w:lang w:eastAsia="zh-CN"/>
        </w:rPr>
        <w:t>。</w:t>
      </w:r>
      <w:r>
        <w:rPr>
          <w:rStyle w:val="25"/>
          <w:rFonts w:ascii="Times New Roman" w:eastAsia="仿宋" w:cs="Times New Roman" w:hAnsi="Times New Roman" w:hint="eastAsia"/>
          <w:b w:val="0"/>
          <w:bCs/>
          <w:color w:val="000000"/>
          <w:sz w:val="32"/>
          <w:szCs w:val="32"/>
          <w:lang w:val="en-US" w:eastAsia="zh-CN"/>
        </w:rPr>
        <w:t>行政事业单位医疗（21011）事业单位医疗（2101102）决算数为9.76万元，</w:t>
      </w:r>
      <w:r>
        <w:rPr>
          <w:rStyle w:val="25"/>
          <w:rFonts w:ascii="Times New Roman" w:eastAsia="仿宋" w:cs="Times New Roman" w:hAnsi="Times New Roman"/>
          <w:b w:val="0"/>
          <w:bCs/>
          <w:color w:val="000000"/>
          <w:sz w:val="32"/>
          <w:szCs w:val="32"/>
        </w:rPr>
        <w:t>完成预算100%，</w:t>
      </w:r>
      <w:r>
        <w:rPr>
          <w:rStyle w:val="25"/>
          <w:rFonts w:ascii="Times New Roman" w:eastAsia="仿宋" w:cs="Times New Roman" w:hAnsi="Times New Roman"/>
          <w:b w:val="0"/>
          <w:bCs/>
          <w:color w:val="000000"/>
          <w:sz w:val="32"/>
          <w:szCs w:val="32"/>
          <w:lang w:val="en-US" w:eastAsia="zh-CN"/>
        </w:rPr>
        <w:t>决算数</w:t>
      </w:r>
      <w:r>
        <w:rPr>
          <w:rStyle w:val="25"/>
          <w:rFonts w:ascii="Times New Roman" w:eastAsia="仿宋" w:cs="Times New Roman" w:hAnsi="Times New Roman"/>
          <w:b w:val="0"/>
          <w:bCs/>
          <w:color w:val="000000"/>
          <w:sz w:val="32"/>
          <w:szCs w:val="32"/>
        </w:rPr>
        <w:t>等于预算数；</w:t>
      </w:r>
      <w:r>
        <w:rPr>
          <w:rStyle w:val="25"/>
          <w:rFonts w:ascii="Times New Roman" w:eastAsia="仿宋" w:cs="Times New Roman" w:hAnsi="Times New Roman" w:hint="eastAsia"/>
          <w:b w:val="0"/>
          <w:bCs/>
          <w:color w:val="000000"/>
          <w:sz w:val="32"/>
          <w:szCs w:val="32"/>
          <w:lang w:val="en-US" w:eastAsia="zh-CN"/>
        </w:rPr>
        <w:t>公务员医疗补助（2101103）决算数为1.49万元，</w:t>
      </w:r>
      <w:r>
        <w:rPr>
          <w:rStyle w:val="25"/>
          <w:rFonts w:ascii="Times New Roman" w:eastAsia="仿宋" w:cs="Times New Roman" w:hAnsi="Times New Roman"/>
          <w:b w:val="0"/>
          <w:bCs/>
          <w:color w:val="000000"/>
          <w:sz w:val="32"/>
          <w:szCs w:val="32"/>
        </w:rPr>
        <w:t>完成预算100%，</w:t>
      </w:r>
      <w:r>
        <w:rPr>
          <w:rStyle w:val="25"/>
          <w:rFonts w:ascii="Times New Roman" w:eastAsia="仿宋" w:cs="Times New Roman" w:hAnsi="Times New Roman"/>
          <w:b w:val="0"/>
          <w:bCs/>
          <w:color w:val="000000"/>
          <w:sz w:val="32"/>
          <w:szCs w:val="32"/>
          <w:lang w:val="en-US" w:eastAsia="zh-CN"/>
        </w:rPr>
        <w:t>决算数</w:t>
      </w:r>
      <w:r>
        <w:rPr>
          <w:rStyle w:val="25"/>
          <w:rFonts w:ascii="Times New Roman" w:eastAsia="仿宋" w:cs="Times New Roman" w:hAnsi="Times New Roman"/>
          <w:b w:val="0"/>
          <w:bCs/>
          <w:color w:val="000000"/>
          <w:sz w:val="32"/>
          <w:szCs w:val="32"/>
        </w:rPr>
        <w:t>等于预算数；</w:t>
      </w:r>
      <w:r>
        <w:rPr>
          <w:rStyle w:val="25"/>
          <w:rFonts w:ascii="Times New Roman" w:eastAsia="仿宋" w:cs="Times New Roman" w:hAnsi="Times New Roman" w:hint="eastAsia"/>
          <w:b w:val="0"/>
          <w:bCs/>
          <w:color w:val="000000"/>
          <w:sz w:val="32"/>
          <w:szCs w:val="32"/>
          <w:lang w:val="en-US" w:eastAsia="zh-CN"/>
        </w:rPr>
        <w:t>其他行政事业单位医疗支出（2101199）1.23万元，</w:t>
      </w:r>
      <w:r>
        <w:rPr>
          <w:rStyle w:val="25"/>
          <w:rFonts w:ascii="Times New Roman" w:eastAsia="仿宋" w:cs="Times New Roman" w:hAnsi="Times New Roman"/>
          <w:b w:val="0"/>
          <w:bCs/>
          <w:color w:val="000000"/>
          <w:sz w:val="32"/>
          <w:szCs w:val="32"/>
        </w:rPr>
        <w:t>完成预算100%，</w:t>
      </w:r>
      <w:r>
        <w:rPr>
          <w:rStyle w:val="25"/>
          <w:rFonts w:ascii="Times New Roman" w:eastAsia="仿宋" w:cs="Times New Roman" w:hAnsi="Times New Roman"/>
          <w:b w:val="0"/>
          <w:bCs/>
          <w:color w:val="000000"/>
          <w:sz w:val="32"/>
          <w:szCs w:val="32"/>
          <w:lang w:val="en-US" w:eastAsia="zh-CN"/>
        </w:rPr>
        <w:t>决算数</w:t>
      </w:r>
      <w:r>
        <w:rPr>
          <w:rStyle w:val="25"/>
          <w:rFonts w:ascii="Times New Roman" w:eastAsia="仿宋" w:cs="Times New Roman" w:hAnsi="Times New Roman"/>
          <w:b w:val="0"/>
          <w:bCs/>
          <w:color w:val="000000"/>
          <w:sz w:val="32"/>
          <w:szCs w:val="32"/>
        </w:rPr>
        <w:t>等于预算数</w:t>
      </w:r>
      <w:r>
        <w:rPr>
          <w:rStyle w:val="25"/>
          <w:rFonts w:ascii="Times New Roman" w:eastAsia="仿宋" w:cs="Times New Roman" w:hAnsi="Times New Roman" w:hint="eastAsia"/>
          <w:b w:val="0"/>
          <w:bCs/>
          <w:color w:val="000000"/>
          <w:sz w:val="32"/>
          <w:szCs w:val="32"/>
          <w:lang w:eastAsia="zh-CN"/>
        </w:rPr>
        <w:t>。</w:t>
      </w:r>
    </w:p>
    <w:p>
      <w:pPr>
        <w:spacing w:line="600" w:lineRule="exact"/>
        <w:rPr>
          <w:rFonts w:ascii="Times New Roman" w:eastAsia="仿宋" w:hAnsi="Times New Roman"/>
          <w:b/>
          <w:color w:val="auto"/>
          <w:sz w:val="32"/>
          <w:szCs w:val="32"/>
          <w:lang w:val="en-US" w:eastAsia="zh-CN"/>
          <w:highlight w:val="auto"/>
        </w:rPr>
      </w:pPr>
      <w:r>
        <w:rPr>
          <w:rFonts w:ascii="Times New Roman" w:eastAsia="仿宋" w:hAnsi="Times New Roman" w:hint="eastAsia"/>
          <w:b/>
          <w:color w:val="auto"/>
          <w:sz w:val="32"/>
          <w:szCs w:val="32"/>
          <w:lang w:val="en-US" w:eastAsia="zh-CN"/>
          <w:highlight w:val="auto"/>
        </w:rPr>
        <w:t xml:space="preserve">    </w:t>
      </w:r>
      <w:r>
        <w:rPr>
          <w:rStyle w:val="25"/>
          <w:rFonts w:ascii="Times New Roman" w:eastAsia="仿宋" w:cs="Times New Roman" w:hAnsi="Times New Roman"/>
          <w:b w:val="0"/>
          <w:bCs/>
          <w:sz w:val="32"/>
          <w:szCs w:val="32"/>
        </w:rPr>
        <w:t>7.住房保障支出（221）：</w:t>
      </w:r>
      <w:r>
        <w:rPr>
          <w:rStyle w:val="25"/>
          <w:rFonts w:ascii="Times New Roman" w:eastAsia="仿宋" w:cs="Times New Roman" w:hAnsi="Times New Roman"/>
          <w:b w:val="0"/>
          <w:bCs/>
          <w:color w:val="000000"/>
          <w:sz w:val="32"/>
          <w:szCs w:val="32"/>
        </w:rPr>
        <w:t>住房改革支出（22102）住房公积金（2210201）决算为</w:t>
      </w:r>
      <w:r>
        <w:rPr>
          <w:rStyle w:val="25"/>
          <w:rFonts w:ascii="Times New Roman" w:eastAsia="仿宋" w:cs="Times New Roman" w:hAnsi="Times New Roman" w:hint="eastAsia"/>
          <w:b w:val="0"/>
          <w:bCs/>
          <w:color w:val="000000"/>
          <w:sz w:val="32"/>
          <w:szCs w:val="32"/>
          <w:lang w:val="en-US" w:eastAsia="zh-CN"/>
        </w:rPr>
        <w:t>15.12</w:t>
      </w:r>
      <w:r>
        <w:rPr>
          <w:rStyle w:val="25"/>
          <w:rFonts w:ascii="Times New Roman" w:eastAsia="仿宋" w:cs="Times New Roman" w:hAnsi="Times New Roman"/>
          <w:b w:val="0"/>
          <w:bCs/>
          <w:color w:val="000000"/>
          <w:sz w:val="32"/>
          <w:szCs w:val="32"/>
        </w:rPr>
        <w:t>万元，完成预算100%，</w:t>
      </w:r>
      <w:r>
        <w:rPr>
          <w:rStyle w:val="25"/>
          <w:rFonts w:ascii="Times New Roman" w:eastAsia="仿宋" w:cs="Times New Roman" w:hAnsi="Times New Roman"/>
          <w:b w:val="0"/>
          <w:bCs/>
          <w:color w:val="000000"/>
          <w:sz w:val="32"/>
          <w:szCs w:val="32"/>
          <w:lang w:val="en-US" w:eastAsia="zh-CN"/>
        </w:rPr>
        <w:t>决算数</w:t>
      </w:r>
      <w:r>
        <w:rPr>
          <w:rStyle w:val="25"/>
          <w:rFonts w:ascii="Times New Roman" w:eastAsia="仿宋" w:cs="Times New Roman" w:hAnsi="Times New Roman"/>
          <w:b w:val="0"/>
          <w:bCs/>
          <w:color w:val="000000"/>
          <w:sz w:val="32"/>
          <w:szCs w:val="32"/>
        </w:rPr>
        <w:t>等于预算数。</w:t>
      </w:r>
    </w:p>
    <w:p>
      <w:pPr>
        <w:tabs>
          <w:tab w:val="right" w:pos="8306"/>
        </w:tabs>
        <w:spacing w:line="600" w:lineRule="exact"/>
        <w:ind w:firstLine="640"/>
        <w:outlineLvl w:val="1"/>
        <w:rPr>
          <w:rStyle w:val="2Char"/>
          <w:rFonts w:ascii="Times New Roman" w:hAnsi="Times New Roman"/>
          <w:color w:val="auto"/>
          <w:highlight w:val="auto"/>
        </w:rPr>
      </w:pPr>
      <w:r>
        <w:rPr>
          <w:rFonts w:ascii="Times New Roman" w:eastAsia="黑体" w:hAnsi="Times New Roman" w:hint="eastAsia"/>
          <w:color w:val="auto"/>
          <w:sz w:val="32"/>
          <w:szCs w:val="32"/>
          <w:highlight w:val="auto"/>
        </w:rPr>
        <w:t>六</w:t>
      </w:r>
      <w:r>
        <w:rPr>
          <w:rFonts w:ascii="Times New Roman" w:eastAsia="黑体" w:hAnsi="Times New Roman" w:hint="eastAsia"/>
          <w:b/>
          <w:color w:val="auto"/>
          <w:sz w:val="32"/>
          <w:szCs w:val="32"/>
          <w:highlight w:val="auto"/>
        </w:rPr>
        <w:t>、一</w:t>
      </w:r>
      <w:r>
        <w:rPr>
          <w:rStyle w:val="2Char"/>
          <w:rFonts w:ascii="Times New Roman" w:eastAsia="黑体" w:hAnsi="Times New Roman" w:hint="eastAsia"/>
          <w:b w:val="0"/>
          <w:color w:val="auto"/>
          <w:highlight w:val="auto"/>
        </w:rPr>
        <w:t>般公共预算财政拨款基本支出决算情况说明</w:t>
      </w:r>
      <w:bookmarkEnd w:id="37"/>
      <w:bookmarkEnd w:id="38"/>
      <w:r>
        <w:rPr>
          <w:rStyle w:val="2Char"/>
          <w:rFonts w:ascii="Times New Roman" w:eastAsia="黑体" w:hAnsi="Times New Roman"/>
          <w:b w:val="0"/>
          <w:color w:val="auto"/>
          <w:highlight w:val="auto"/>
        </w:rPr>
        <w:tab/>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2024年度一般公共预算财政拨款基本支出</w:t>
      </w:r>
      <w:r>
        <w:rPr>
          <w:rFonts w:ascii="仿宋_GB2312" w:eastAsia="仿宋_GB2312" w:cs="仿宋_GB2312" w:hint="eastAsia"/>
          <w:sz w:val="32"/>
          <w:szCs w:val="32"/>
        </w:rPr>
        <w:t>229.68</w:t>
      </w:r>
      <w:r>
        <w:rPr>
          <w:rFonts w:ascii="仿宋_GB2312" w:eastAsia="仿宋_GB2312" w:cs="仿宋_GB2312" w:hint="eastAsia"/>
          <w:color w:val="auto"/>
          <w:kern w:val="2"/>
          <w:sz w:val="32"/>
          <w:szCs w:val="32"/>
          <w:lang w:val="en-US" w:eastAsia="zh-CN" w:bidi="ar-SA"/>
          <w:highlight w:val="auto"/>
        </w:rPr>
        <w:t>万</w:t>
      </w:r>
      <w:r>
        <w:rPr>
          <w:rFonts w:ascii="Times New Roman" w:eastAsia="仿宋_GB2312" w:cs="仿宋_GB2312" w:hAnsi="Times New Roman" w:hint="eastAsia"/>
          <w:color w:val="auto"/>
          <w:kern w:val="2"/>
          <w:sz w:val="32"/>
          <w:szCs w:val="32"/>
          <w:lang w:val="en-US" w:eastAsia="zh-CN" w:bidi="ar-SA"/>
          <w:highlight w:val="auto"/>
        </w:rPr>
        <w:t>元，其中：</w:t>
      </w:r>
    </w:p>
    <w:p>
      <w:pPr>
        <w:spacing w:line="600" w:lineRule="exact"/>
        <w:ind w:firstLine="645"/>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人员经费</w:t>
      </w:r>
      <w:r>
        <w:rPr>
          <w:rFonts w:ascii="仿宋_GB2312" w:eastAsia="仿宋_GB2312" w:cs="仿宋_GB2312" w:hint="eastAsia"/>
          <w:sz w:val="32"/>
          <w:szCs w:val="32"/>
        </w:rPr>
        <w:t>215.54</w:t>
      </w:r>
      <w:r>
        <w:rPr>
          <w:rFonts w:ascii="仿宋_GB2312" w:eastAsia="仿宋_GB2312" w:cs="仿宋_GB2312" w:hint="eastAsia"/>
          <w:color w:val="auto"/>
          <w:kern w:val="2"/>
          <w:sz w:val="32"/>
          <w:szCs w:val="32"/>
          <w:lang w:val="en-US" w:eastAsia="zh-CN" w:bidi="ar-SA"/>
          <w:highlight w:val="auto"/>
        </w:rPr>
        <w:t>万</w:t>
      </w:r>
      <w:r>
        <w:rPr>
          <w:rFonts w:ascii="Times New Roman" w:eastAsia="仿宋_GB2312" w:cs="仿宋_GB2312" w:hAnsi="Times New Roman" w:hint="eastAsia"/>
          <w:color w:val="auto"/>
          <w:kern w:val="2"/>
          <w:sz w:val="32"/>
          <w:szCs w:val="32"/>
          <w:lang w:val="en-US" w:eastAsia="zh-CN" w:bidi="ar-SA"/>
          <w:highlight w:val="auto"/>
        </w:rPr>
        <w:t>元，主要包括：</w:t>
      </w:r>
      <w:r>
        <w:rPr>
          <w:rFonts w:ascii="Times New Roman" w:eastAsia="仿宋" w:hAnsi="Times New Roman" w:hint="eastAsia"/>
          <w:color w:val="auto"/>
          <w:sz w:val="32"/>
          <w:szCs w:val="32"/>
          <w:highlight w:val="auto"/>
        </w:rPr>
        <w:t>基本工资</w:t>
      </w:r>
      <w:r>
        <w:rPr>
          <w:rFonts w:ascii="Times New Roman" w:eastAsia="仿宋" w:hAnsi="Times New Roman" w:hint="eastAsia"/>
          <w:color w:val="auto"/>
          <w:sz w:val="32"/>
          <w:szCs w:val="32"/>
          <w:lang w:val="en-US" w:eastAsia="zh-CN"/>
          <w:highlight w:val="auto"/>
        </w:rPr>
        <w:t>42.6</w:t>
      </w:r>
      <w:r>
        <w:rPr>
          <w:rFonts w:ascii="Times New Roman" w:eastAsia="仿宋" w:cs="Times New Roman" w:hAnsi="Times New Roman"/>
          <w:sz w:val="32"/>
          <w:szCs w:val="32"/>
        </w:rPr>
        <w:t>万元</w:t>
      </w:r>
      <w:r>
        <w:rPr>
          <w:rFonts w:ascii="Times New Roman" w:eastAsia="仿宋" w:hAnsi="Times New Roman" w:hint="eastAsia"/>
          <w:color w:val="auto"/>
          <w:sz w:val="32"/>
          <w:szCs w:val="32"/>
          <w:highlight w:val="auto"/>
        </w:rPr>
        <w:t>、津贴补贴</w:t>
      </w:r>
      <w:r>
        <w:rPr>
          <w:rFonts w:ascii="Times New Roman" w:eastAsia="仿宋" w:hAnsi="Times New Roman" w:hint="eastAsia"/>
          <w:color w:val="auto"/>
          <w:sz w:val="32"/>
          <w:szCs w:val="32"/>
          <w:lang w:val="en-US" w:eastAsia="zh-CN"/>
          <w:highlight w:val="auto"/>
        </w:rPr>
        <w:t>6.28</w:t>
      </w:r>
      <w:r>
        <w:rPr>
          <w:rFonts w:ascii="Times New Roman" w:eastAsia="仿宋" w:cs="Times New Roman" w:hAnsi="Times New Roman"/>
          <w:sz w:val="32"/>
          <w:szCs w:val="32"/>
        </w:rPr>
        <w:t>万元</w:t>
      </w:r>
      <w:r>
        <w:rPr>
          <w:rFonts w:ascii="Times New Roman" w:eastAsia="仿宋" w:hAnsi="Times New Roman" w:hint="eastAsia"/>
          <w:color w:val="auto"/>
          <w:sz w:val="32"/>
          <w:szCs w:val="32"/>
          <w:highlight w:val="auto"/>
        </w:rPr>
        <w:t>、奖金</w:t>
      </w:r>
      <w:r>
        <w:rPr>
          <w:rFonts w:ascii="Times New Roman" w:eastAsia="仿宋" w:hAnsi="Times New Roman" w:hint="eastAsia"/>
          <w:color w:val="auto"/>
          <w:sz w:val="32"/>
          <w:szCs w:val="32"/>
          <w:lang w:val="en-US" w:eastAsia="zh-CN"/>
          <w:highlight w:val="auto"/>
        </w:rPr>
        <w:t>0.3</w:t>
      </w:r>
      <w:r>
        <w:rPr>
          <w:rFonts w:ascii="Times New Roman" w:eastAsia="仿宋" w:cs="Times New Roman" w:hAnsi="Times New Roman"/>
          <w:sz w:val="32"/>
          <w:szCs w:val="32"/>
        </w:rPr>
        <w:t>万元</w:t>
      </w:r>
      <w:r>
        <w:rPr>
          <w:rFonts w:ascii="Times New Roman" w:eastAsia="仿宋" w:hAnsi="Times New Roman" w:hint="eastAsia"/>
          <w:color w:val="auto"/>
          <w:sz w:val="32"/>
          <w:szCs w:val="32"/>
          <w:highlight w:val="auto"/>
        </w:rPr>
        <w:t>、伙食补助费</w:t>
      </w:r>
      <w:r>
        <w:rPr>
          <w:rFonts w:ascii="Times New Roman" w:eastAsia="仿宋" w:hAnsi="Times New Roman" w:hint="eastAsia"/>
          <w:color w:val="auto"/>
          <w:sz w:val="32"/>
          <w:szCs w:val="32"/>
          <w:lang w:val="en-US" w:eastAsia="zh-CN"/>
          <w:highlight w:val="auto"/>
        </w:rPr>
        <w:t>0</w:t>
      </w:r>
      <w:r>
        <w:rPr>
          <w:rFonts w:ascii="Times New Roman" w:eastAsia="仿宋" w:cs="Times New Roman" w:hAnsi="Times New Roman"/>
          <w:sz w:val="32"/>
          <w:szCs w:val="32"/>
        </w:rPr>
        <w:t>万元</w:t>
      </w:r>
      <w:r>
        <w:rPr>
          <w:rFonts w:ascii="Times New Roman" w:eastAsia="仿宋" w:hAnsi="Times New Roman" w:hint="eastAsia"/>
          <w:color w:val="auto"/>
          <w:sz w:val="32"/>
          <w:szCs w:val="32"/>
          <w:highlight w:val="auto"/>
        </w:rPr>
        <w:t>、绩效工资</w:t>
      </w:r>
      <w:r>
        <w:rPr>
          <w:rFonts w:ascii="Times New Roman" w:eastAsia="仿宋" w:hAnsi="Times New Roman" w:hint="eastAsia"/>
          <w:color w:val="auto"/>
          <w:sz w:val="32"/>
          <w:szCs w:val="32"/>
          <w:lang w:val="en-US" w:eastAsia="zh-CN"/>
          <w:highlight w:val="auto"/>
        </w:rPr>
        <w:t>80.57</w:t>
      </w:r>
      <w:r>
        <w:rPr>
          <w:rFonts w:ascii="Times New Roman" w:eastAsia="仿宋" w:cs="Times New Roman" w:hAnsi="Times New Roman"/>
          <w:sz w:val="32"/>
          <w:szCs w:val="32"/>
        </w:rPr>
        <w:t>万元</w:t>
      </w:r>
      <w:r>
        <w:rPr>
          <w:rFonts w:ascii="Times New Roman" w:eastAsia="仿宋" w:hAnsi="Times New Roman" w:hint="eastAsia"/>
          <w:color w:val="auto"/>
          <w:sz w:val="32"/>
          <w:szCs w:val="32"/>
          <w:highlight w:val="auto"/>
        </w:rPr>
        <w:t>、机关事业单位基本养老保险缴费</w:t>
      </w:r>
      <w:r>
        <w:rPr>
          <w:rFonts w:ascii="Times New Roman" w:eastAsia="仿宋" w:hAnsi="Times New Roman" w:hint="eastAsia"/>
          <w:color w:val="auto"/>
          <w:sz w:val="32"/>
          <w:szCs w:val="32"/>
          <w:lang w:val="en-US" w:eastAsia="zh-CN"/>
          <w:highlight w:val="auto"/>
        </w:rPr>
        <w:t>20.15</w:t>
      </w:r>
      <w:r>
        <w:rPr>
          <w:rFonts w:ascii="Times New Roman" w:eastAsia="仿宋" w:cs="Times New Roman" w:hAnsi="Times New Roman"/>
          <w:sz w:val="32"/>
          <w:szCs w:val="32"/>
        </w:rPr>
        <w:t>万元</w:t>
      </w:r>
      <w:r>
        <w:rPr>
          <w:rFonts w:ascii="Times New Roman" w:eastAsia="仿宋" w:hAnsi="Times New Roman" w:hint="eastAsia"/>
          <w:color w:val="auto"/>
          <w:sz w:val="32"/>
          <w:szCs w:val="32"/>
          <w:highlight w:val="auto"/>
        </w:rPr>
        <w:t>、</w:t>
      </w:r>
      <w:r>
        <w:rPr>
          <w:rFonts w:ascii="Times New Roman" w:eastAsia="仿宋" w:cs="Times New Roman" w:hAnsi="Times New Roman"/>
          <w:sz w:val="32"/>
          <w:szCs w:val="32"/>
          <w:lang w:val="en-US" w:eastAsia="zh-CN"/>
        </w:rPr>
        <w:t>职工基本医疗保险缴费</w:t>
      </w:r>
      <w:r>
        <w:rPr>
          <w:rFonts w:ascii="Times New Roman" w:eastAsia="仿宋" w:cs="Times New Roman" w:hAnsi="Times New Roman" w:hint="eastAsia"/>
          <w:sz w:val="32"/>
          <w:szCs w:val="32"/>
          <w:lang w:val="en-US" w:eastAsia="zh-CN"/>
        </w:rPr>
        <w:t>9.76</w:t>
      </w:r>
      <w:r>
        <w:rPr>
          <w:rFonts w:ascii="Times New Roman" w:eastAsia="仿宋" w:cs="Times New Roman" w:hAnsi="Times New Roman"/>
          <w:sz w:val="32"/>
          <w:szCs w:val="32"/>
        </w:rPr>
        <w:t>万元</w:t>
      </w:r>
      <w:r>
        <w:rPr>
          <w:rFonts w:ascii="Times New Roman" w:eastAsia="仿宋" w:cs="Times New Roman" w:hAnsi="Times New Roman"/>
          <w:sz w:val="32"/>
          <w:szCs w:val="32"/>
          <w:lang w:val="en-US" w:eastAsia="zh-CN"/>
        </w:rPr>
        <w:t>、公务员医疗补助缴费</w:t>
      </w:r>
      <w:r>
        <w:rPr>
          <w:rFonts w:ascii="Times New Roman" w:eastAsia="仿宋" w:cs="Times New Roman" w:hAnsi="Times New Roman" w:hint="eastAsia"/>
          <w:sz w:val="32"/>
          <w:szCs w:val="32"/>
          <w:lang w:val="en-US" w:eastAsia="zh-CN"/>
        </w:rPr>
        <w:t>2.72</w:t>
      </w:r>
      <w:r>
        <w:rPr>
          <w:rFonts w:ascii="Times New Roman" w:eastAsia="仿宋" w:cs="Times New Roman" w:hAnsi="Times New Roman"/>
          <w:sz w:val="32"/>
          <w:szCs w:val="32"/>
        </w:rPr>
        <w:t>万元</w:t>
      </w:r>
      <w:r>
        <w:rPr>
          <w:rFonts w:ascii="Times New Roman" w:eastAsia="仿宋" w:cs="Times New Roman" w:hAnsi="Times New Roman"/>
          <w:sz w:val="32"/>
          <w:szCs w:val="32"/>
          <w:lang w:val="en-US" w:eastAsia="zh-CN"/>
        </w:rPr>
        <w:t>、</w:t>
      </w:r>
      <w:r>
        <w:rPr>
          <w:rFonts w:ascii="Times New Roman" w:eastAsia="仿宋" w:cs="Times New Roman" w:hAnsi="Times New Roman"/>
          <w:sz w:val="32"/>
          <w:szCs w:val="32"/>
        </w:rPr>
        <w:t>其他社会保障缴费</w:t>
      </w:r>
      <w:r>
        <w:rPr>
          <w:rFonts w:ascii="Times New Roman" w:eastAsia="仿宋" w:cs="Times New Roman" w:hAnsi="Times New Roman" w:hint="eastAsia"/>
          <w:sz w:val="32"/>
          <w:szCs w:val="32"/>
          <w:lang w:val="en-US" w:eastAsia="zh-CN"/>
        </w:rPr>
        <w:t>0.98</w:t>
      </w:r>
      <w:r>
        <w:rPr>
          <w:rFonts w:ascii="Times New Roman" w:eastAsia="仿宋" w:cs="Times New Roman" w:hAnsi="Times New Roman"/>
          <w:sz w:val="32"/>
          <w:szCs w:val="32"/>
        </w:rPr>
        <w:t>万元、其他工资福利支出</w:t>
      </w:r>
      <w:r>
        <w:rPr>
          <w:rFonts w:ascii="Times New Roman" w:eastAsia="仿宋" w:cs="Times New Roman" w:hAnsi="Times New Roman" w:hint="eastAsia"/>
          <w:sz w:val="32"/>
          <w:szCs w:val="32"/>
          <w:lang w:val="en-US" w:eastAsia="zh-CN"/>
        </w:rPr>
        <w:t>26.24</w:t>
      </w:r>
      <w:r>
        <w:rPr>
          <w:rFonts w:ascii="Times New Roman" w:eastAsia="仿宋" w:cs="Times New Roman" w:hAnsi="Times New Roman"/>
          <w:sz w:val="32"/>
          <w:szCs w:val="32"/>
        </w:rPr>
        <w:t>万元、离休费</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color w:val="000000"/>
          <w:sz w:val="32"/>
          <w:szCs w:val="32"/>
        </w:rPr>
        <w:t>万元</w:t>
      </w:r>
      <w:r>
        <w:rPr>
          <w:rFonts w:ascii="Times New Roman" w:eastAsia="仿宋" w:cs="Times New Roman" w:hAnsi="Times New Roman"/>
          <w:sz w:val="32"/>
          <w:szCs w:val="32"/>
        </w:rPr>
        <w:t>、退休费</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color w:val="000000"/>
          <w:sz w:val="32"/>
          <w:szCs w:val="32"/>
        </w:rPr>
        <w:t>万元</w:t>
      </w:r>
      <w:r>
        <w:rPr>
          <w:rFonts w:ascii="Times New Roman" w:eastAsia="仿宋" w:cs="Times New Roman" w:hAnsi="Times New Roman"/>
          <w:sz w:val="32"/>
          <w:szCs w:val="32"/>
        </w:rPr>
        <w:t>、抚恤金</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color w:val="000000"/>
          <w:sz w:val="32"/>
          <w:szCs w:val="32"/>
        </w:rPr>
        <w:t>万元</w:t>
      </w:r>
      <w:r>
        <w:rPr>
          <w:rFonts w:ascii="Times New Roman" w:eastAsia="仿宋" w:cs="Times New Roman" w:hAnsi="Times New Roman"/>
          <w:sz w:val="32"/>
          <w:szCs w:val="32"/>
        </w:rPr>
        <w:t>、生活补助</w:t>
      </w:r>
      <w:r>
        <w:rPr>
          <w:rFonts w:ascii="Times New Roman" w:eastAsia="仿宋" w:cs="Times New Roman" w:hAnsi="Times New Roman" w:hint="eastAsia"/>
          <w:sz w:val="32"/>
          <w:szCs w:val="32"/>
          <w:lang w:val="en-US" w:eastAsia="zh-CN"/>
        </w:rPr>
        <w:t>2.61</w:t>
      </w:r>
      <w:r>
        <w:rPr>
          <w:rFonts w:ascii="Times New Roman" w:eastAsia="仿宋" w:cs="Times New Roman" w:hAnsi="Times New Roman"/>
          <w:color w:val="000000"/>
          <w:sz w:val="32"/>
          <w:szCs w:val="32"/>
        </w:rPr>
        <w:t>万元</w:t>
      </w:r>
      <w:r>
        <w:rPr>
          <w:rFonts w:ascii="Times New Roman" w:eastAsia="仿宋" w:cs="Times New Roman" w:hAnsi="Times New Roman"/>
          <w:sz w:val="32"/>
          <w:szCs w:val="32"/>
        </w:rPr>
        <w:t>、医疗费补助</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hint="eastAsia"/>
          <w:color w:val="000000"/>
          <w:sz w:val="32"/>
          <w:szCs w:val="32"/>
          <w:lang w:val="en-US" w:eastAsia="zh-CN"/>
        </w:rPr>
        <w:t>.22</w:t>
      </w:r>
      <w:r>
        <w:rPr>
          <w:rFonts w:ascii="Times New Roman" w:eastAsia="仿宋" w:cs="Times New Roman" w:hAnsi="Times New Roman"/>
          <w:color w:val="000000"/>
          <w:sz w:val="32"/>
          <w:szCs w:val="32"/>
        </w:rPr>
        <w:t>万元</w:t>
      </w:r>
      <w:r>
        <w:rPr>
          <w:rFonts w:ascii="Times New Roman" w:eastAsia="仿宋" w:cs="Times New Roman" w:hAnsi="Times New Roman"/>
          <w:sz w:val="32"/>
          <w:szCs w:val="32"/>
        </w:rPr>
        <w:t>、奖励金</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color w:val="000000"/>
          <w:sz w:val="32"/>
          <w:szCs w:val="32"/>
        </w:rPr>
        <w:t>万元</w:t>
      </w:r>
      <w:r>
        <w:rPr>
          <w:rFonts w:ascii="Times New Roman" w:eastAsia="仿宋" w:cs="Times New Roman" w:hAnsi="Times New Roman"/>
          <w:sz w:val="32"/>
          <w:szCs w:val="32"/>
        </w:rPr>
        <w:t>、住房公积金</w:t>
      </w:r>
      <w:r>
        <w:rPr>
          <w:rFonts w:ascii="Times New Roman" w:eastAsia="仿宋" w:cs="Times New Roman" w:hAnsi="Times New Roman" w:hint="eastAsia"/>
          <w:sz w:val="32"/>
          <w:szCs w:val="32"/>
          <w:lang w:val="en-US" w:eastAsia="zh-CN"/>
        </w:rPr>
        <w:t>15.12</w:t>
      </w:r>
      <w:r>
        <w:rPr>
          <w:rFonts w:ascii="Times New Roman" w:eastAsia="仿宋" w:cs="Times New Roman" w:hAnsi="Times New Roman"/>
          <w:sz w:val="32"/>
          <w:szCs w:val="32"/>
        </w:rPr>
        <w:t>万元、其他对个人和家庭的补助支出</w:t>
      </w:r>
      <w:r>
        <w:rPr>
          <w:rFonts w:ascii="Times New Roman" w:eastAsia="仿宋" w:cs="Times New Roman" w:hAnsi="Times New Roman" w:hint="eastAsia"/>
          <w:color w:val="000000"/>
          <w:sz w:val="32"/>
          <w:szCs w:val="32"/>
          <w:lang w:val="en-US" w:eastAsia="zh-CN"/>
        </w:rPr>
        <w:t>8</w:t>
      </w:r>
      <w:r>
        <w:rPr>
          <w:rFonts w:ascii="Times New Roman" w:eastAsia="仿宋" w:cs="Times New Roman" w:hAnsi="Times New Roman"/>
          <w:color w:val="000000"/>
          <w:sz w:val="32"/>
          <w:szCs w:val="32"/>
        </w:rPr>
        <w:t>万元</w:t>
      </w:r>
      <w:r>
        <w:rPr>
          <w:rFonts w:ascii="Times New Roman" w:eastAsia="仿宋" w:cs="Times New Roman" w:hAnsi="Times New Roman"/>
          <w:sz w:val="32"/>
          <w:szCs w:val="32"/>
        </w:rPr>
        <w:t>。</w:t>
      </w:r>
      <w:r>
        <w:rPr>
          <w:rFonts w:ascii="Times New Roman" w:eastAsia="仿宋_GB2312" w:cs="仿宋_GB2312" w:hAnsi="Times New Roman" w:hint="eastAsia"/>
          <w:color w:val="auto"/>
          <w:kern w:val="2"/>
          <w:sz w:val="32"/>
          <w:szCs w:val="32"/>
          <w:lang w:val="en-US" w:eastAsia="zh-CN" w:bidi="ar-SA"/>
          <w:highlight w:val="auto"/>
        </w:rPr>
        <w:br/>
        <w:t>　　公用经费</w:t>
      </w:r>
      <w:r>
        <w:rPr>
          <w:rFonts w:ascii="仿宋_GB2312" w:eastAsia="仿宋_GB2312" w:cs="仿宋_GB2312" w:hint="eastAsia"/>
          <w:sz w:val="32"/>
          <w:szCs w:val="32"/>
        </w:rPr>
        <w:t>14.14</w:t>
      </w:r>
      <w:r>
        <w:rPr>
          <w:rFonts w:ascii="仿宋_GB2312" w:eastAsia="仿宋_GB2312" w:cs="仿宋_GB2312" w:hint="eastAsia"/>
          <w:color w:val="auto"/>
          <w:kern w:val="2"/>
          <w:sz w:val="32"/>
          <w:szCs w:val="32"/>
          <w:lang w:val="en-US" w:eastAsia="zh-CN" w:bidi="ar-SA"/>
          <w:highlight w:val="auto"/>
        </w:rPr>
        <w:t>万</w:t>
      </w:r>
      <w:r>
        <w:rPr>
          <w:rFonts w:ascii="Times New Roman" w:eastAsia="仿宋_GB2312" w:cs="仿宋_GB2312" w:hAnsi="Times New Roman" w:hint="eastAsia"/>
          <w:color w:val="auto"/>
          <w:kern w:val="2"/>
          <w:sz w:val="32"/>
          <w:szCs w:val="32"/>
          <w:lang w:val="en-US" w:eastAsia="zh-CN" w:bidi="ar-SA"/>
          <w:highlight w:val="auto"/>
        </w:rPr>
        <w:t>元，主要包括：</w:t>
      </w:r>
      <w:r>
        <w:rPr>
          <w:rFonts w:ascii="Times New Roman" w:eastAsia="仿宋" w:hAnsi="Times New Roman" w:hint="eastAsia"/>
          <w:color w:val="auto"/>
          <w:sz w:val="32"/>
          <w:szCs w:val="32"/>
          <w:highlight w:val="auto"/>
        </w:rPr>
        <w:t>办公费</w:t>
      </w:r>
      <w:r>
        <w:rPr>
          <w:rFonts w:ascii="Times New Roman" w:eastAsia="仿宋" w:hAnsi="Times New Roman" w:hint="eastAsia"/>
          <w:color w:val="auto"/>
          <w:sz w:val="32"/>
          <w:szCs w:val="32"/>
          <w:lang w:val="en-US" w:eastAsia="zh-CN"/>
          <w:highlight w:val="auto"/>
        </w:rPr>
        <w:t>1.76</w:t>
      </w:r>
      <w:r>
        <w:rPr>
          <w:rFonts w:ascii="Times New Roman" w:eastAsia="仿宋" w:cs="Times New Roman" w:hAnsi="Times New Roman"/>
          <w:color w:val="000000"/>
          <w:sz w:val="32"/>
          <w:szCs w:val="32"/>
        </w:rPr>
        <w:t>万元</w:t>
      </w:r>
      <w:r>
        <w:rPr>
          <w:rFonts w:ascii="Times New Roman" w:eastAsia="仿宋" w:hAnsi="Times New Roman" w:hint="eastAsia"/>
          <w:color w:val="auto"/>
          <w:sz w:val="32"/>
          <w:szCs w:val="32"/>
          <w:highlight w:val="auto"/>
        </w:rPr>
        <w:t>、印刷费</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color w:val="000000"/>
          <w:sz w:val="32"/>
          <w:szCs w:val="32"/>
        </w:rPr>
        <w:t>万元</w:t>
      </w:r>
      <w:r>
        <w:rPr>
          <w:rFonts w:ascii="Times New Roman" w:eastAsia="仿宋" w:hAnsi="Times New Roman" w:hint="eastAsia"/>
          <w:color w:val="auto"/>
          <w:sz w:val="32"/>
          <w:szCs w:val="32"/>
          <w:highlight w:val="auto"/>
        </w:rPr>
        <w:t>、咨询费</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color w:val="000000"/>
          <w:sz w:val="32"/>
          <w:szCs w:val="32"/>
        </w:rPr>
        <w:t>万元</w:t>
      </w:r>
      <w:r>
        <w:rPr>
          <w:rFonts w:ascii="Times New Roman" w:eastAsia="仿宋" w:hAnsi="Times New Roman" w:hint="eastAsia"/>
          <w:color w:val="auto"/>
          <w:sz w:val="32"/>
          <w:szCs w:val="32"/>
          <w:highlight w:val="auto"/>
        </w:rPr>
        <w:t>、手续费</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color w:val="000000"/>
          <w:sz w:val="32"/>
          <w:szCs w:val="32"/>
        </w:rPr>
        <w:t>万元</w:t>
      </w:r>
      <w:r>
        <w:rPr>
          <w:rFonts w:ascii="Times New Roman" w:eastAsia="仿宋" w:hAnsi="Times New Roman" w:hint="eastAsia"/>
          <w:color w:val="auto"/>
          <w:sz w:val="32"/>
          <w:szCs w:val="32"/>
          <w:highlight w:val="auto"/>
        </w:rPr>
        <w:t>、水费</w:t>
      </w:r>
      <w:r>
        <w:rPr>
          <w:rFonts w:ascii="Times New Roman" w:eastAsia="仿宋" w:hAnsi="Times New Roman" w:hint="eastAsia"/>
          <w:color w:val="auto"/>
          <w:sz w:val="32"/>
          <w:szCs w:val="32"/>
          <w:lang w:val="en-US" w:eastAsia="zh-CN"/>
          <w:highlight w:val="auto"/>
        </w:rPr>
        <w:t>0.3</w:t>
      </w:r>
      <w:r>
        <w:rPr>
          <w:rFonts w:ascii="Times New Roman" w:eastAsia="仿宋" w:cs="Times New Roman" w:hAnsi="Times New Roman"/>
          <w:color w:val="000000"/>
          <w:sz w:val="32"/>
          <w:szCs w:val="32"/>
        </w:rPr>
        <w:t>万元</w:t>
      </w:r>
      <w:r>
        <w:rPr>
          <w:rFonts w:ascii="Times New Roman" w:eastAsia="仿宋" w:hAnsi="Times New Roman" w:hint="eastAsia"/>
          <w:color w:val="auto"/>
          <w:sz w:val="32"/>
          <w:szCs w:val="32"/>
          <w:highlight w:val="auto"/>
        </w:rPr>
        <w:t>、电费</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color w:val="000000"/>
          <w:sz w:val="32"/>
          <w:szCs w:val="32"/>
        </w:rPr>
        <w:t>万元</w:t>
      </w:r>
      <w:r>
        <w:rPr>
          <w:rFonts w:ascii="Times New Roman" w:eastAsia="仿宋" w:hAnsi="Times New Roman" w:hint="eastAsia"/>
          <w:color w:val="auto"/>
          <w:sz w:val="32"/>
          <w:szCs w:val="32"/>
          <w:highlight w:val="auto"/>
        </w:rPr>
        <w:t>、邮电费</w:t>
      </w:r>
      <w:r>
        <w:rPr>
          <w:rFonts w:ascii="Times New Roman" w:eastAsia="仿宋" w:hAnsi="Times New Roman" w:hint="eastAsia"/>
          <w:color w:val="auto"/>
          <w:sz w:val="32"/>
          <w:szCs w:val="32"/>
          <w:lang w:val="en-US" w:eastAsia="zh-CN"/>
          <w:highlight w:val="auto"/>
        </w:rPr>
        <w:t>1</w:t>
      </w:r>
      <w:r>
        <w:rPr>
          <w:rFonts w:ascii="Times New Roman" w:eastAsia="仿宋" w:cs="Times New Roman" w:hAnsi="Times New Roman"/>
          <w:color w:val="000000"/>
          <w:sz w:val="32"/>
          <w:szCs w:val="32"/>
        </w:rPr>
        <w:t>万元</w:t>
      </w:r>
      <w:r>
        <w:rPr>
          <w:rFonts w:ascii="Times New Roman" w:eastAsia="仿宋" w:hAnsi="Times New Roman" w:hint="eastAsia"/>
          <w:color w:val="auto"/>
          <w:sz w:val="32"/>
          <w:szCs w:val="32"/>
          <w:highlight w:val="auto"/>
        </w:rPr>
        <w:t>、取暖费</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color w:val="000000"/>
          <w:sz w:val="32"/>
          <w:szCs w:val="32"/>
        </w:rPr>
        <w:t>万元</w:t>
      </w:r>
      <w:r>
        <w:rPr>
          <w:rFonts w:ascii="Times New Roman" w:eastAsia="仿宋" w:hAnsi="Times New Roman" w:hint="eastAsia"/>
          <w:color w:val="auto"/>
          <w:sz w:val="32"/>
          <w:szCs w:val="32"/>
          <w:highlight w:val="auto"/>
        </w:rPr>
        <w:t>、物业管理费</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color w:val="000000"/>
          <w:sz w:val="32"/>
          <w:szCs w:val="32"/>
        </w:rPr>
        <w:t>万元</w:t>
      </w:r>
      <w:r>
        <w:rPr>
          <w:rFonts w:ascii="Times New Roman" w:eastAsia="仿宋" w:hAnsi="Times New Roman" w:hint="eastAsia"/>
          <w:color w:val="auto"/>
          <w:sz w:val="32"/>
          <w:szCs w:val="32"/>
          <w:highlight w:val="auto"/>
        </w:rPr>
        <w:t>、差旅费</w:t>
      </w:r>
      <w:r>
        <w:rPr>
          <w:rFonts w:ascii="Times New Roman" w:eastAsia="仿宋" w:hAnsi="Times New Roman" w:hint="eastAsia"/>
          <w:color w:val="auto"/>
          <w:sz w:val="32"/>
          <w:szCs w:val="32"/>
          <w:lang w:val="en-US" w:eastAsia="zh-CN"/>
          <w:highlight w:val="auto"/>
        </w:rPr>
        <w:t>2.34</w:t>
      </w:r>
      <w:r>
        <w:rPr>
          <w:rFonts w:ascii="Times New Roman" w:eastAsia="仿宋" w:cs="Times New Roman" w:hAnsi="Times New Roman"/>
          <w:color w:val="000000"/>
          <w:sz w:val="32"/>
          <w:szCs w:val="32"/>
        </w:rPr>
        <w:t>万元</w:t>
      </w:r>
      <w:r>
        <w:rPr>
          <w:rFonts w:ascii="Times New Roman" w:eastAsia="仿宋" w:hAnsi="Times New Roman" w:hint="eastAsia"/>
          <w:color w:val="auto"/>
          <w:sz w:val="32"/>
          <w:szCs w:val="32"/>
          <w:highlight w:val="auto"/>
        </w:rPr>
        <w:t>、因公出国（境）费用</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color w:val="000000"/>
          <w:sz w:val="32"/>
          <w:szCs w:val="32"/>
        </w:rPr>
        <w:t>万元</w:t>
      </w:r>
      <w:r>
        <w:rPr>
          <w:rFonts w:ascii="Times New Roman" w:eastAsia="仿宋" w:hAnsi="Times New Roman" w:hint="eastAsia"/>
          <w:color w:val="auto"/>
          <w:sz w:val="32"/>
          <w:szCs w:val="32"/>
          <w:highlight w:val="auto"/>
        </w:rPr>
        <w:t>、维修（护）费</w:t>
      </w:r>
      <w:r>
        <w:rPr>
          <w:rFonts w:ascii="Times New Roman" w:eastAsia="仿宋" w:hAnsi="Times New Roman" w:hint="eastAsia"/>
          <w:color w:val="auto"/>
          <w:sz w:val="32"/>
          <w:szCs w:val="32"/>
          <w:lang w:val="en-US" w:eastAsia="zh-CN"/>
          <w:highlight w:val="auto"/>
        </w:rPr>
        <w:t>0.3</w:t>
      </w:r>
      <w:r>
        <w:rPr>
          <w:rFonts w:ascii="Times New Roman" w:eastAsia="仿宋" w:cs="Times New Roman" w:hAnsi="Times New Roman"/>
          <w:color w:val="000000"/>
          <w:sz w:val="32"/>
          <w:szCs w:val="32"/>
        </w:rPr>
        <w:t>万元</w:t>
      </w:r>
      <w:r>
        <w:rPr>
          <w:rFonts w:ascii="Times New Roman" w:eastAsia="仿宋" w:hAnsi="Times New Roman" w:hint="eastAsia"/>
          <w:color w:val="auto"/>
          <w:sz w:val="32"/>
          <w:szCs w:val="32"/>
          <w:highlight w:val="auto"/>
        </w:rPr>
        <w:t>、租赁费</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color w:val="000000"/>
          <w:sz w:val="32"/>
          <w:szCs w:val="32"/>
        </w:rPr>
        <w:t>万元</w:t>
      </w:r>
      <w:r>
        <w:rPr>
          <w:rFonts w:ascii="Times New Roman" w:eastAsia="仿宋" w:hAnsi="Times New Roman" w:hint="eastAsia"/>
          <w:color w:val="auto"/>
          <w:sz w:val="32"/>
          <w:szCs w:val="32"/>
          <w:highlight w:val="auto"/>
        </w:rPr>
        <w:t>、会议费</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color w:val="000000"/>
          <w:sz w:val="32"/>
          <w:szCs w:val="32"/>
        </w:rPr>
        <w:t>万元</w:t>
      </w:r>
      <w:r>
        <w:rPr>
          <w:rFonts w:ascii="Times New Roman" w:eastAsia="仿宋" w:hAnsi="Times New Roman" w:hint="eastAsia"/>
          <w:color w:val="auto"/>
          <w:sz w:val="32"/>
          <w:szCs w:val="32"/>
          <w:highlight w:val="auto"/>
        </w:rPr>
        <w:t>、培训费</w:t>
      </w:r>
      <w:r>
        <w:rPr>
          <w:rFonts w:ascii="Times New Roman" w:eastAsia="仿宋" w:hAnsi="Times New Roman" w:hint="eastAsia"/>
          <w:color w:val="auto"/>
          <w:sz w:val="32"/>
          <w:szCs w:val="32"/>
          <w:lang w:val="en-US" w:eastAsia="zh-CN"/>
          <w:highlight w:val="auto"/>
        </w:rPr>
        <w:t>0.09</w:t>
      </w:r>
      <w:r>
        <w:rPr>
          <w:rFonts w:ascii="Times New Roman" w:eastAsia="仿宋" w:cs="Times New Roman" w:hAnsi="Times New Roman"/>
          <w:color w:val="000000"/>
          <w:sz w:val="32"/>
          <w:szCs w:val="32"/>
        </w:rPr>
        <w:t>万元</w:t>
      </w:r>
      <w:r>
        <w:rPr>
          <w:rFonts w:ascii="Times New Roman" w:eastAsia="仿宋" w:hAnsi="Times New Roman" w:hint="eastAsia"/>
          <w:color w:val="auto"/>
          <w:sz w:val="32"/>
          <w:szCs w:val="32"/>
          <w:highlight w:val="auto"/>
        </w:rPr>
        <w:t>、公务接待费</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color w:val="000000"/>
          <w:sz w:val="32"/>
          <w:szCs w:val="32"/>
        </w:rPr>
        <w:t>万元</w:t>
      </w:r>
      <w:r>
        <w:rPr>
          <w:rFonts w:ascii="Times New Roman" w:eastAsia="仿宋" w:hAnsi="Times New Roman" w:hint="eastAsia"/>
          <w:color w:val="auto"/>
          <w:sz w:val="32"/>
          <w:szCs w:val="32"/>
          <w:highlight w:val="auto"/>
        </w:rPr>
        <w:t>、劳务费</w:t>
      </w:r>
      <w:r>
        <w:rPr>
          <w:rFonts w:ascii="Times New Roman" w:eastAsia="仿宋" w:hAnsi="Times New Roman" w:hint="eastAsia"/>
          <w:color w:val="auto"/>
          <w:sz w:val="32"/>
          <w:szCs w:val="32"/>
          <w:lang w:val="en-US" w:eastAsia="zh-CN"/>
          <w:highlight w:val="auto"/>
        </w:rPr>
        <w:t>3.7</w:t>
      </w:r>
      <w:r>
        <w:rPr>
          <w:rFonts w:ascii="Times New Roman" w:eastAsia="仿宋" w:cs="Times New Roman" w:hAnsi="Times New Roman"/>
          <w:color w:val="000000"/>
          <w:sz w:val="32"/>
          <w:szCs w:val="32"/>
        </w:rPr>
        <w:t>万元</w:t>
      </w:r>
      <w:r>
        <w:rPr>
          <w:rFonts w:ascii="Times New Roman" w:eastAsia="仿宋" w:hAnsi="Times New Roman" w:hint="eastAsia"/>
          <w:color w:val="auto"/>
          <w:sz w:val="32"/>
          <w:szCs w:val="32"/>
          <w:highlight w:val="auto"/>
        </w:rPr>
        <w:t>、委托业务费</w:t>
      </w:r>
      <w:r>
        <w:rPr>
          <w:rFonts w:ascii="Times New Roman" w:eastAsia="仿宋" w:hAnsi="Times New Roman" w:hint="eastAsia"/>
          <w:color w:val="auto"/>
          <w:sz w:val="32"/>
          <w:szCs w:val="32"/>
          <w:lang w:val="en-US" w:eastAsia="zh-CN"/>
          <w:highlight w:val="auto"/>
        </w:rPr>
        <w:t>0万元、</w:t>
      </w:r>
      <w:r>
        <w:rPr>
          <w:rFonts w:ascii="Times New Roman" w:eastAsia="仿宋" w:hAnsi="Times New Roman" w:hint="eastAsia"/>
          <w:color w:val="auto"/>
          <w:sz w:val="32"/>
          <w:szCs w:val="32"/>
          <w:highlight w:val="auto"/>
        </w:rPr>
        <w:t>工会经费</w:t>
      </w:r>
      <w:r>
        <w:rPr>
          <w:rFonts w:ascii="Times New Roman" w:eastAsia="仿宋" w:hAnsi="Times New Roman" w:hint="eastAsia"/>
          <w:color w:val="auto"/>
          <w:sz w:val="32"/>
          <w:szCs w:val="32"/>
          <w:lang w:val="en-US" w:eastAsia="zh-CN"/>
          <w:highlight w:val="auto"/>
        </w:rPr>
        <w:t>1.48</w:t>
      </w:r>
      <w:r>
        <w:rPr>
          <w:rFonts w:ascii="Times New Roman" w:eastAsia="仿宋" w:cs="Times New Roman" w:hAnsi="Times New Roman"/>
          <w:color w:val="000000"/>
          <w:sz w:val="32"/>
          <w:szCs w:val="32"/>
        </w:rPr>
        <w:t>万元</w:t>
      </w:r>
      <w:r>
        <w:rPr>
          <w:rFonts w:ascii="Times New Roman" w:eastAsia="仿宋" w:hAnsi="Times New Roman" w:hint="eastAsia"/>
          <w:color w:val="auto"/>
          <w:sz w:val="32"/>
          <w:szCs w:val="32"/>
          <w:highlight w:val="auto"/>
        </w:rPr>
        <w:t>、福利费</w:t>
      </w:r>
      <w:r>
        <w:rPr>
          <w:rFonts w:ascii="Times New Roman" w:eastAsia="仿宋" w:hAnsi="Times New Roman" w:hint="eastAsia"/>
          <w:color w:val="auto"/>
          <w:sz w:val="32"/>
          <w:szCs w:val="32"/>
          <w:lang w:val="en-US" w:eastAsia="zh-CN"/>
          <w:highlight w:val="auto"/>
        </w:rPr>
        <w:t>1.16</w:t>
      </w:r>
      <w:r>
        <w:rPr>
          <w:rFonts w:ascii="Times New Roman" w:eastAsia="仿宋" w:cs="Times New Roman" w:hAnsi="Times New Roman"/>
          <w:color w:val="000000"/>
          <w:sz w:val="32"/>
          <w:szCs w:val="32"/>
        </w:rPr>
        <w:t>万元</w:t>
      </w:r>
      <w:r>
        <w:rPr>
          <w:rFonts w:ascii="Times New Roman" w:eastAsia="仿宋" w:hAnsi="Times New Roman" w:hint="eastAsia"/>
          <w:color w:val="auto"/>
          <w:sz w:val="32"/>
          <w:szCs w:val="32"/>
          <w:highlight w:val="auto"/>
        </w:rPr>
        <w:t>、公务用车运行维护费</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color w:val="000000"/>
          <w:sz w:val="32"/>
          <w:szCs w:val="32"/>
        </w:rPr>
        <w:t>万元</w:t>
      </w:r>
      <w:r>
        <w:rPr>
          <w:rFonts w:ascii="Times New Roman" w:eastAsia="仿宋" w:hAnsi="Times New Roman" w:hint="eastAsia"/>
          <w:color w:val="auto"/>
          <w:sz w:val="32"/>
          <w:szCs w:val="32"/>
          <w:highlight w:val="auto"/>
        </w:rPr>
        <w:t>、其他交通费</w:t>
      </w:r>
      <w:r>
        <w:rPr>
          <w:rFonts w:ascii="Times New Roman" w:eastAsia="仿宋" w:hAnsi="Times New Roman" w:hint="eastAsia"/>
          <w:color w:val="auto"/>
          <w:sz w:val="32"/>
          <w:szCs w:val="32"/>
          <w:lang w:val="en-US" w:eastAsia="zh-CN"/>
          <w:highlight w:val="auto"/>
        </w:rPr>
        <w:t>0.14</w:t>
      </w:r>
      <w:r>
        <w:rPr>
          <w:rFonts w:ascii="Times New Roman" w:eastAsia="仿宋" w:cs="Times New Roman" w:hAnsi="Times New Roman"/>
          <w:color w:val="000000"/>
          <w:sz w:val="32"/>
          <w:szCs w:val="32"/>
        </w:rPr>
        <w:t>万元</w:t>
      </w:r>
      <w:r>
        <w:rPr>
          <w:rFonts w:ascii="Times New Roman" w:eastAsia="仿宋" w:hAnsi="Times New Roman" w:hint="eastAsia"/>
          <w:color w:val="auto"/>
          <w:sz w:val="32"/>
          <w:szCs w:val="32"/>
          <w:highlight w:val="auto"/>
        </w:rPr>
        <w:t>、其他商品和服务支出</w:t>
      </w:r>
      <w:r>
        <w:rPr>
          <w:rFonts w:ascii="Times New Roman" w:eastAsia="仿宋" w:hAnsi="Times New Roman" w:hint="eastAsia"/>
          <w:color w:val="auto"/>
          <w:sz w:val="32"/>
          <w:szCs w:val="32"/>
          <w:lang w:val="en-US" w:eastAsia="zh-CN"/>
          <w:highlight w:val="auto"/>
        </w:rPr>
        <w:t>1.88</w:t>
      </w:r>
      <w:r>
        <w:rPr>
          <w:rFonts w:ascii="Times New Roman" w:eastAsia="仿宋" w:cs="Times New Roman" w:hAnsi="Times New Roman"/>
          <w:color w:val="000000"/>
          <w:sz w:val="32"/>
          <w:szCs w:val="32"/>
        </w:rPr>
        <w:t>万元</w:t>
      </w:r>
      <w:r>
        <w:rPr>
          <w:rFonts w:ascii="Times New Roman" w:eastAsia="仿宋" w:hAnsi="Times New Roman" w:hint="eastAsia"/>
          <w:color w:val="auto"/>
          <w:sz w:val="32"/>
          <w:szCs w:val="32"/>
          <w:highlight w:val="auto"/>
        </w:rPr>
        <w:t>、办公设备购置</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color w:val="000000"/>
          <w:sz w:val="32"/>
          <w:szCs w:val="32"/>
        </w:rPr>
        <w:t>万元</w:t>
      </w:r>
      <w:r>
        <w:rPr>
          <w:rFonts w:ascii="Times New Roman" w:eastAsia="仿宋" w:hAnsi="Times New Roman" w:hint="eastAsia"/>
          <w:color w:val="auto"/>
          <w:sz w:val="32"/>
          <w:szCs w:val="32"/>
          <w:highlight w:val="auto"/>
        </w:rPr>
        <w:t>、专用设备购置</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color w:val="000000"/>
          <w:sz w:val="32"/>
          <w:szCs w:val="32"/>
        </w:rPr>
        <w:t>万元</w:t>
      </w:r>
      <w:r>
        <w:rPr>
          <w:rFonts w:ascii="Times New Roman" w:eastAsia="仿宋" w:hAnsi="Times New Roman" w:hint="eastAsia"/>
          <w:color w:val="auto"/>
          <w:sz w:val="32"/>
          <w:szCs w:val="32"/>
          <w:highlight w:val="auto"/>
        </w:rPr>
        <w:t>、信息网络及软件购置更新</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color w:val="000000"/>
          <w:sz w:val="32"/>
          <w:szCs w:val="32"/>
        </w:rPr>
        <w:t>万元</w:t>
      </w:r>
      <w:r>
        <w:rPr>
          <w:rFonts w:ascii="Times New Roman" w:eastAsia="仿宋" w:hAnsi="Times New Roman" w:hint="eastAsia"/>
          <w:color w:val="auto"/>
          <w:sz w:val="32"/>
          <w:szCs w:val="32"/>
          <w:highlight w:val="auto"/>
        </w:rPr>
        <w:t>、其他资本性支出</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color w:val="000000"/>
          <w:sz w:val="32"/>
          <w:szCs w:val="32"/>
        </w:rPr>
        <w:t>万元</w:t>
      </w:r>
      <w:r>
        <w:rPr>
          <w:rFonts w:ascii="Times New Roman" w:eastAsia="仿宋" w:hAnsi="Times New Roman" w:hint="eastAsia"/>
          <w:color w:val="auto"/>
          <w:sz w:val="32"/>
          <w:szCs w:val="32"/>
          <w:highlight w:val="auto"/>
        </w:rPr>
        <w:t>。</w:t>
      </w:r>
    </w:p>
    <w:p>
      <w:pPr>
        <w:spacing w:line="600" w:lineRule="exact"/>
        <w:ind w:firstLine="640"/>
        <w:outlineLvl w:val="1"/>
        <w:rPr>
          <w:rStyle w:val="2Char"/>
          <w:rFonts w:ascii="Times New Roman" w:eastAsia="黑体" w:hAnsi="Times New Roman"/>
          <w:b w:val="0"/>
          <w:color w:val="auto"/>
          <w:highlight w:val="auto"/>
        </w:rPr>
      </w:pPr>
      <w:bookmarkStart w:id="39" w:name="_Toc15396609"/>
      <w:bookmarkStart w:id="40" w:name="_Toc15377215"/>
      <w:r>
        <w:rPr>
          <w:rFonts w:ascii="Times New Roman" w:eastAsia="黑体" w:hAnsi="Times New Roman" w:hint="eastAsia"/>
          <w:color w:val="auto"/>
          <w:sz w:val="32"/>
          <w:szCs w:val="32"/>
          <w:highlight w:val="auto"/>
        </w:rPr>
        <w:t>七、</w:t>
      </w:r>
      <w:r>
        <w:rPr>
          <w:rStyle w:val="2Char"/>
          <w:rFonts w:ascii="Times New Roman" w:eastAsia="黑体" w:hAnsi="Times New Roman" w:hint="eastAsia"/>
          <w:b w:val="0"/>
          <w:color w:val="auto"/>
          <w:highlight w:val="auto"/>
        </w:rPr>
        <w:t>财政拨款</w:t>
      </w:r>
      <w:r>
        <w:rPr>
          <w:rStyle w:val="2Char"/>
          <w:rFonts w:ascii="Times New Roman" w:eastAsia="黑体" w:hAnsi="Times New Roman" w:hint="eastAsia"/>
          <w:color w:val="auto"/>
          <w:highlight w:val="auto"/>
        </w:rPr>
        <w:t>“</w:t>
      </w:r>
      <w:r>
        <w:rPr>
          <w:rStyle w:val="2Char"/>
          <w:rFonts w:ascii="Times New Roman" w:eastAsia="黑体" w:hAnsi="Times New Roman" w:hint="eastAsia"/>
          <w:b w:val="0"/>
          <w:color w:val="auto"/>
          <w:highlight w:val="auto"/>
        </w:rPr>
        <w:t>三公”经费支出决算情况说明</w:t>
      </w:r>
      <w:bookmarkEnd w:id="39"/>
      <w:bookmarkEnd w:id="40"/>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41" w:name="_Toc15377216"/>
      <w:r>
        <w:rPr>
          <w:rFonts w:ascii="Times New Roman" w:eastAsia="楷体_GB2312" w:cs="楷体_GB2312" w:hAnsi="Times New Roman" w:hint="eastAsia"/>
          <w:b/>
          <w:color w:val="auto"/>
          <w:sz w:val="32"/>
          <w:szCs w:val="32"/>
          <w:highlight w:val="auto"/>
        </w:rPr>
        <w:t>（一）“三公”经费财政拨款支出决算总体情况说明</w:t>
      </w:r>
      <w:bookmarkEnd w:id="41"/>
    </w:p>
    <w:p>
      <w:pPr>
        <w:spacing w:line="600" w:lineRule="exact"/>
        <w:ind w:firstLine="640"/>
        <w:rPr>
          <w:rFonts w:ascii="Times New Roman" w:eastAsia="仿宋_GB2312" w:cs="仿宋_GB2312" w:hAnsi="Times New Roman" w:hint="eastAsia"/>
          <w:b/>
          <w:bCs/>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2024年度“三公”经费财政拨款支出决算为</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w:t>
      </w:r>
      <w:r>
        <w:rPr>
          <w:rFonts w:ascii="Times New Roman" w:eastAsia="仿宋_GB2312" w:cs="仿宋_GB2312" w:hAnsi="Times New Roman" w:hint="eastAsia"/>
          <w:color w:val="auto"/>
          <w:kern w:val="2"/>
          <w:sz w:val="32"/>
          <w:szCs w:val="32"/>
          <w:lang w:val="en-US" w:eastAsia="zh-CN" w:bidi="ar-SA"/>
          <w:highlight w:val="auto"/>
        </w:rPr>
        <w:t>。决算数与预算数持平</w:t>
      </w:r>
      <w:r>
        <w:rPr>
          <w:rFonts w:eastAsia="仿宋_GB2312" w:cs="仿宋_GB2312" w:hint="eastAsia"/>
          <w:color w:val="auto"/>
          <w:kern w:val="2"/>
          <w:sz w:val="32"/>
          <w:szCs w:val="32"/>
          <w:lang w:val="en-US" w:eastAsia="zh-CN" w:bidi="ar-SA"/>
          <w:highlight w:val="auto"/>
        </w:rPr>
        <w:t>。</w:t>
      </w:r>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42" w:name="_Toc15377217"/>
      <w:r>
        <w:rPr>
          <w:rFonts w:ascii="Times New Roman" w:eastAsia="楷体_GB2312" w:cs="楷体_GB2312" w:hAnsi="Times New Roman" w:hint="eastAsia"/>
          <w:b/>
          <w:color w:val="auto"/>
          <w:sz w:val="32"/>
          <w:szCs w:val="32"/>
          <w:highlight w:val="auto"/>
        </w:rPr>
        <w:t>（二）“三公”经费财政拨款支出决算具体情况说明</w:t>
      </w:r>
      <w:bookmarkEnd w:id="42"/>
    </w:p>
    <w:p>
      <w:pPr>
        <w:spacing w:line="600" w:lineRule="exact"/>
        <w:ind w:firstLine="640"/>
        <w:rPr>
          <w:rFonts w:ascii="仿宋_GB2312" w:eastAsia="仿宋_GB2312" w:cs="仿宋_GB2312" w:hint="eastAsia"/>
          <w:color w:val="auto"/>
          <w:kern w:val="2"/>
          <w:sz w:val="32"/>
          <w:szCs w:val="32"/>
          <w:lang w:val="en-US" w:eastAsia="zh-CN" w:bidi="ar-SA"/>
          <w:highlight w:val="auto"/>
        </w:rPr>
      </w:pPr>
      <w:r>
        <w:rPr>
          <w:rFonts w:ascii="仿宋_GB2312" w:eastAsia="仿宋_GB2312" w:cs="仿宋_GB2312" w:hint="eastAsia"/>
          <w:color w:val="auto"/>
          <w:kern w:val="2"/>
          <w:sz w:val="32"/>
          <w:szCs w:val="32"/>
          <w:lang w:val="en-US" w:eastAsia="zh-CN" w:bidi="ar-SA"/>
          <w:highlight w:val="auto"/>
        </w:rPr>
        <w:t>2024年度“三公”经费财政拨款支出决算中，因公出国（境）费支出决算</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万元，占0%；公务用车购置及运行维护费支出决算</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万元，占0%；公务接待费支出决算</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万元，占0%。具体情况如下：</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（图7：“三公”经费财政拨款支出结构）</w:t>
      </w:r>
    </w:p>
    <w:p>
      <w:pPr>
        <w:spacing w:line="600" w:lineRule="exact"/>
        <w:ind w:firstLine="640"/>
        <w:rPr>
          <w:rFonts w:ascii="Times New Roman" w:eastAsia="仿宋_GB2312" w:cs="仿宋_GB2312" w:hAnsi="Times New Roman" w:hint="eastAsia"/>
          <w:b/>
          <w:bCs/>
          <w:color w:val="auto"/>
          <w:kern w:val="2"/>
          <w:sz w:val="32"/>
          <w:szCs w:val="32"/>
          <w:lang w:val="en-US" w:eastAsia="zh-CN" w:bidi="ar-SA"/>
          <w:highlight w:val="auto"/>
        </w:rPr>
      </w:pPr>
      <w:r>
        <w:rPr>
          <w:rFonts w:ascii="Times New Roman" w:eastAsia="仿宋_GB2312" w:cs="仿宋_GB2312" w:hAnsi="Times New Roman" w:hint="eastAsia"/>
          <w:b/>
          <w:bCs/>
          <w:color w:val="auto"/>
          <w:kern w:val="2"/>
          <w:sz w:val="32"/>
          <w:szCs w:val="32"/>
          <w:lang w:val="en-US" w:eastAsia="zh-CN" w:bidi="ar-SA"/>
          <w:highlight w:val="auto"/>
        </w:rPr>
        <w:drawing>
          <wp:anchor distT="0" distB="0" distL="114300" distR="114300" simplePos="0" relativeHeight="36" behindDoc="0" locked="0" layoutInCell="1" hidden="0" allowOverlap="1">
            <wp:simplePos x="0" y="0"/>
            <wp:positionH relativeFrom="column">
              <wp:posOffset>944245</wp:posOffset>
            </wp:positionH>
            <wp:positionV relativeFrom="paragraph">
              <wp:posOffset>252095</wp:posOffset>
            </wp:positionV>
            <wp:extent cx="3165475" cy="2115185"/>
            <wp:effectExtent l="0" t="0" r="0" b="0"/>
            <wp:wrapTopAndBottom/>
            <wp:docPr id="13" name="图表 7"/>
            <wp:cNvGraphicFramePr>
              <a:graphicFrameLocks noChangeAspect="0"/>
            </wp:cNvGraphicFramePr>
            <a:graphic>
              <a:graphicData uri="http://schemas.openxmlformats.org/drawingml/2006/chart">
                <c:chart xmlns:c="http://schemas.openxmlformats.org/drawingml/2006/chart" r:id="rId12"/>
              </a:graphicData>
            </a:graphic>
          </wp:anchor>
        </w:drawing>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b/>
          <w:bCs/>
          <w:color w:val="auto"/>
          <w:kern w:val="2"/>
          <w:sz w:val="32"/>
          <w:szCs w:val="32"/>
          <w:lang w:val="en-US" w:eastAsia="zh-CN" w:bidi="ar-SA"/>
          <w:highlight w:val="auto"/>
        </w:rPr>
        <w:t>1.因公出国（境）经费支出</w:t>
      </w:r>
      <w:r>
        <w:rPr>
          <w:rFonts w:eastAsia="仿宋_GB2312" w:cs="仿宋_GB2312" w:hint="eastAsia"/>
          <w:b/>
          <w:bCs/>
          <w:color w:val="auto"/>
          <w:kern w:val="2"/>
          <w:sz w:val="32"/>
          <w:szCs w:val="32"/>
          <w:lang w:val="en-US" w:eastAsia="zh-CN" w:bidi="ar-SA"/>
          <w:highlight w:val="auto"/>
        </w:rPr>
        <w:t>0</w:t>
      </w:r>
      <w:r>
        <w:rPr>
          <w:rFonts w:ascii="Times New Roman" w:eastAsia="仿宋_GB2312" w:cs="仿宋_GB2312" w:hAnsi="Times New Roman" w:hint="eastAsia"/>
          <w:b/>
          <w:bCs/>
          <w:color w:val="auto"/>
          <w:kern w:val="2"/>
          <w:sz w:val="32"/>
          <w:szCs w:val="32"/>
          <w:lang w:val="en-US" w:eastAsia="zh-CN" w:bidi="ar-SA"/>
          <w:highlight w:val="auto"/>
        </w:rPr>
        <w:t>万元，完成预算</w:t>
      </w:r>
      <w:r>
        <w:rPr>
          <w:rFonts w:eastAsia="仿宋_GB2312" w:cs="仿宋_GB2312" w:hint="eastAsia"/>
          <w:b/>
          <w:bCs/>
          <w:color w:val="auto"/>
          <w:kern w:val="2"/>
          <w:sz w:val="32"/>
          <w:szCs w:val="32"/>
          <w:lang w:val="en-US" w:eastAsia="zh-CN" w:bidi="ar-SA"/>
          <w:highlight w:val="auto"/>
        </w:rPr>
        <w:t>0</w:t>
      </w:r>
      <w:r>
        <w:rPr>
          <w:rFonts w:ascii="Times New Roman" w:eastAsia="仿宋_GB2312" w:cs="仿宋_GB2312" w:hAnsi="Times New Roman" w:hint="eastAsia"/>
          <w:b/>
          <w:bCs/>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全年安排因公出国（境）团</w:t>
      </w:r>
      <w:r>
        <w:rPr>
          <w:rFonts w:ascii="仿宋_GB2312" w:eastAsia="仿宋_GB2312" w:cs="仿宋_GB2312" w:hint="eastAsia"/>
          <w:color w:val="auto"/>
          <w:kern w:val="2"/>
          <w:sz w:val="32"/>
          <w:szCs w:val="32"/>
          <w:lang w:val="en-US" w:eastAsia="zh-CN" w:bidi="ar-SA"/>
          <w:highlight w:val="auto"/>
        </w:rPr>
        <w:t>组</w:t>
      </w:r>
      <w:r>
        <w:rPr>
          <w:rFonts w:ascii="仿宋_GB2312" w:eastAsia="仿宋_GB2312" w:cs="仿宋_GB2312" w:hint="eastAsia"/>
          <w:sz w:val="32"/>
          <w:szCs w:val="32"/>
        </w:rPr>
        <w:t>0</w:t>
      </w:r>
      <w:r>
        <w:rPr>
          <w:rFonts w:ascii="Times New Roman" w:eastAsia="仿宋_GB2312" w:cs="仿宋_GB2312" w:hAnsi="Times New Roman" w:hint="eastAsia"/>
          <w:color w:val="auto"/>
          <w:kern w:val="2"/>
          <w:sz w:val="32"/>
          <w:szCs w:val="32"/>
          <w:lang w:val="en-US" w:eastAsia="zh-CN" w:bidi="ar-SA"/>
          <w:highlight w:val="auto"/>
        </w:rPr>
        <w:t>次，出国（境）</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人</w:t>
      </w:r>
      <w:r>
        <w:rPr>
          <w:rFonts w:ascii="Times New Roman" w:eastAsia="仿宋_GB2312" w:cs="仿宋_GB2312" w:hAnsi="Times New Roman" w:hint="eastAsia"/>
          <w:color w:val="auto"/>
          <w:kern w:val="2"/>
          <w:sz w:val="32"/>
          <w:szCs w:val="32"/>
          <w:lang w:val="en-US" w:eastAsia="zh-CN" w:bidi="ar-SA"/>
          <w:highlight w:val="auto"/>
        </w:rPr>
        <w:t>。</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b/>
          <w:bCs/>
          <w:color w:val="auto"/>
          <w:kern w:val="2"/>
          <w:sz w:val="32"/>
          <w:szCs w:val="32"/>
          <w:lang w:val="en-US" w:eastAsia="zh-CN" w:bidi="ar-SA"/>
          <w:highlight w:val="auto"/>
        </w:rPr>
        <w:t>2.公务用车购置及运行维护费支出</w:t>
      </w:r>
      <w:r>
        <w:rPr>
          <w:rFonts w:ascii="仿宋_GB2312" w:eastAsia="仿宋_GB2312" w:cs="仿宋_GB2312" w:hint="eastAsia"/>
          <w:b/>
          <w:bCs/>
          <w:color w:val="auto"/>
          <w:kern w:val="2"/>
          <w:sz w:val="32"/>
          <w:szCs w:val="32"/>
          <w:lang w:val="en-US" w:eastAsia="zh-CN" w:bidi="ar-SA"/>
          <w:highlight w:val="auto"/>
        </w:rPr>
        <w:t>0万</w:t>
      </w:r>
      <w:r>
        <w:rPr>
          <w:rFonts w:ascii="Times New Roman" w:eastAsia="仿宋_GB2312" w:cs="仿宋_GB2312" w:hAnsi="Times New Roman" w:hint="eastAsia"/>
          <w:b/>
          <w:bCs/>
          <w:color w:val="auto"/>
          <w:kern w:val="2"/>
          <w:sz w:val="32"/>
          <w:szCs w:val="32"/>
          <w:lang w:val="en-US" w:eastAsia="zh-CN" w:bidi="ar-SA"/>
          <w:highlight w:val="auto"/>
        </w:rPr>
        <w:t>元</w:t>
      </w:r>
      <w:r>
        <w:rPr>
          <w:rFonts w:eastAsia="仿宋_GB2312" w:cs="仿宋_GB2312" w:hint="eastAsia"/>
          <w:b/>
          <w:bCs/>
          <w:color w:val="auto"/>
          <w:kern w:val="2"/>
          <w:sz w:val="32"/>
          <w:szCs w:val="32"/>
          <w:lang w:val="en-US" w:eastAsia="zh-CN" w:bidi="ar-SA"/>
          <w:highlight w:val="auto"/>
        </w:rPr>
        <w:t>，</w:t>
      </w:r>
      <w:r>
        <w:rPr>
          <w:rFonts w:ascii="Times New Roman" w:eastAsia="仿宋_GB2312" w:cs="仿宋_GB2312" w:hAnsi="Times New Roman" w:hint="eastAsia"/>
          <w:b/>
          <w:bCs/>
          <w:color w:val="auto"/>
          <w:kern w:val="2"/>
          <w:sz w:val="32"/>
          <w:szCs w:val="32"/>
          <w:lang w:val="en-US" w:eastAsia="zh-CN" w:bidi="ar-SA"/>
          <w:highlight w:val="auto"/>
        </w:rPr>
        <w:t>完成预算</w:t>
      </w:r>
      <w:r>
        <w:rPr>
          <w:rFonts w:eastAsia="仿宋_GB2312" w:cs="仿宋_GB2312" w:hint="eastAsia"/>
          <w:b/>
          <w:bCs/>
          <w:color w:val="auto"/>
          <w:kern w:val="2"/>
          <w:sz w:val="32"/>
          <w:szCs w:val="32"/>
          <w:lang w:val="en-US" w:eastAsia="zh-CN" w:bidi="ar-SA"/>
          <w:highlight w:val="auto"/>
        </w:rPr>
        <w:t>0</w:t>
      </w:r>
      <w:r>
        <w:rPr>
          <w:rFonts w:ascii="Times New Roman" w:eastAsia="仿宋_GB2312" w:cs="仿宋_GB2312" w:hAnsi="Times New Roman" w:hint="eastAsia"/>
          <w:b/>
          <w:bCs/>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其中：公务用车购置支</w:t>
      </w:r>
      <w:r>
        <w:rPr>
          <w:rFonts w:ascii="仿宋_GB2312" w:eastAsia="仿宋_GB2312" w:cs="仿宋_GB2312" w:hint="eastAsia"/>
          <w:color w:val="auto"/>
          <w:kern w:val="2"/>
          <w:sz w:val="32"/>
          <w:szCs w:val="32"/>
          <w:lang w:val="en-US" w:eastAsia="zh-CN" w:bidi="ar-SA"/>
          <w:highlight w:val="auto"/>
        </w:rPr>
        <w:t>出</w:t>
      </w:r>
      <w:r>
        <w:rPr>
          <w:rFonts w:ascii="仿宋_GB2312" w:eastAsia="仿宋_GB2312" w:cs="仿宋_GB2312" w:hint="eastAsia"/>
          <w:sz w:val="32"/>
          <w:szCs w:val="32"/>
        </w:rPr>
        <w:t>0</w:t>
      </w:r>
      <w:r>
        <w:rPr>
          <w:rFonts w:ascii="Times New Roman" w:eastAsia="仿宋_GB2312" w:cs="仿宋_GB2312" w:hAnsi="Times New Roman" w:hint="eastAsia"/>
          <w:color w:val="auto"/>
          <w:kern w:val="2"/>
          <w:sz w:val="32"/>
          <w:szCs w:val="32"/>
          <w:lang w:val="en-US" w:eastAsia="zh-CN" w:bidi="ar-SA"/>
          <w:highlight w:val="auto"/>
        </w:rPr>
        <w:t>万元。全年按规定更新购置公务用车</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辆，其中：轿车</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辆、金额</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万元，越野车</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辆、金额</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万元，载客汽车</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辆、金额</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万元。截至2024年12月31日，单位共有公务用车</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辆，其中：轿车</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辆、越野车</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辆、载客汽车</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辆。</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公务用车运行维护费支</w:t>
      </w:r>
      <w:r>
        <w:rPr>
          <w:rFonts w:ascii="仿宋_GB2312" w:eastAsia="仿宋_GB2312" w:cs="仿宋_GB2312" w:hint="eastAsia"/>
          <w:color w:val="auto"/>
          <w:kern w:val="2"/>
          <w:sz w:val="32"/>
          <w:szCs w:val="32"/>
          <w:lang w:val="en-US" w:eastAsia="zh-CN" w:bidi="ar-SA"/>
          <w:highlight w:val="auto"/>
        </w:rPr>
        <w:t>出</w:t>
      </w:r>
      <w:r>
        <w:rPr>
          <w:rFonts w:ascii="仿宋_GB2312" w:eastAsia="仿宋_GB2312" w:cs="仿宋_GB2312" w:hint="eastAsia"/>
          <w:sz w:val="32"/>
          <w:szCs w:val="32"/>
        </w:rPr>
        <w:t>0</w:t>
      </w:r>
      <w:r>
        <w:rPr>
          <w:rFonts w:ascii="Times New Roman" w:eastAsia="仿宋_GB2312" w:cs="仿宋_GB2312" w:hAnsi="Times New Roman" w:hint="eastAsia"/>
          <w:color w:val="auto"/>
          <w:kern w:val="2"/>
          <w:sz w:val="32"/>
          <w:szCs w:val="32"/>
          <w:lang w:val="en-US" w:eastAsia="zh-CN" w:bidi="ar-SA"/>
          <w:highlight w:val="auto"/>
        </w:rPr>
        <w:t>万元。</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b/>
          <w:bCs/>
          <w:color w:val="auto"/>
          <w:kern w:val="2"/>
          <w:sz w:val="32"/>
          <w:szCs w:val="32"/>
          <w:lang w:val="en-US" w:eastAsia="zh-CN" w:bidi="ar-SA"/>
          <w:highlight w:val="auto"/>
        </w:rPr>
        <w:t>3.公务接待费支出</w:t>
      </w:r>
      <w:r>
        <w:rPr>
          <w:rFonts w:ascii="仿宋_GB2312" w:eastAsia="仿宋_GB2312" w:cs="仿宋_GB2312" w:hint="eastAsia"/>
          <w:b/>
          <w:bCs/>
          <w:color w:val="auto"/>
          <w:kern w:val="2"/>
          <w:sz w:val="32"/>
          <w:szCs w:val="32"/>
          <w:lang w:val="en-US" w:eastAsia="zh-CN" w:bidi="ar-SA"/>
          <w:highlight w:val="auto"/>
        </w:rPr>
        <w:t>0万</w:t>
      </w:r>
      <w:r>
        <w:rPr>
          <w:rFonts w:ascii="Times New Roman" w:eastAsia="仿宋_GB2312" w:cs="仿宋_GB2312" w:hAnsi="Times New Roman" w:hint="eastAsia"/>
          <w:b/>
          <w:bCs/>
          <w:color w:val="auto"/>
          <w:kern w:val="2"/>
          <w:sz w:val="32"/>
          <w:szCs w:val="32"/>
          <w:lang w:val="en-US" w:eastAsia="zh-CN" w:bidi="ar-SA"/>
          <w:highlight w:val="auto"/>
        </w:rPr>
        <w:t>元，完成预算</w:t>
      </w:r>
      <w:r>
        <w:rPr>
          <w:rFonts w:eastAsia="仿宋_GB2312" w:cs="仿宋_GB2312" w:hint="eastAsia"/>
          <w:b/>
          <w:bCs/>
          <w:color w:val="auto"/>
          <w:kern w:val="2"/>
          <w:sz w:val="32"/>
          <w:szCs w:val="32"/>
          <w:lang w:val="en-US" w:eastAsia="zh-CN" w:bidi="ar-SA"/>
          <w:highlight w:val="auto"/>
        </w:rPr>
        <w:t>0</w:t>
      </w:r>
      <w:r>
        <w:rPr>
          <w:rFonts w:ascii="Times New Roman" w:eastAsia="仿宋_GB2312" w:cs="仿宋_GB2312" w:hAnsi="Times New Roman" w:hint="eastAsia"/>
          <w:b/>
          <w:bCs/>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其中：</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国内公务接待支</w:t>
      </w:r>
      <w:r>
        <w:rPr>
          <w:rFonts w:ascii="仿宋_GB2312" w:eastAsia="仿宋_GB2312" w:cs="仿宋_GB2312" w:hint="eastAsia"/>
          <w:color w:val="auto"/>
          <w:kern w:val="2"/>
          <w:sz w:val="32"/>
          <w:szCs w:val="32"/>
          <w:lang w:val="en-US" w:eastAsia="zh-CN" w:bidi="ar-SA"/>
          <w:highlight w:val="auto"/>
        </w:rPr>
        <w:t>出</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w:t>
      </w:r>
      <w:r>
        <w:rPr>
          <w:rFonts w:ascii="Times New Roman" w:eastAsia="仿宋_GB2312" w:cs="仿宋_GB2312" w:hAnsi="Times New Roman" w:hint="eastAsia"/>
          <w:color w:val="auto"/>
          <w:kern w:val="2"/>
          <w:sz w:val="32"/>
          <w:szCs w:val="32"/>
          <w:lang w:val="en-US" w:eastAsia="zh-CN" w:bidi="ar-SA"/>
          <w:highlight w:val="auto"/>
        </w:rPr>
        <w:t>元。国内公务接</w:t>
      </w:r>
      <w:r>
        <w:rPr>
          <w:rFonts w:ascii="仿宋_GB2312" w:eastAsia="仿宋_GB2312" w:cs="仿宋_GB2312" w:hint="eastAsia"/>
          <w:color w:val="auto"/>
          <w:kern w:val="2"/>
          <w:sz w:val="32"/>
          <w:szCs w:val="32"/>
          <w:lang w:val="en-US" w:eastAsia="zh-CN" w:bidi="ar-SA"/>
          <w:highlight w:val="auto"/>
        </w:rPr>
        <w:t>待</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批次，</w:t>
      </w:r>
      <w:r>
        <w:rPr>
          <w:rFonts w:ascii="仿宋_GB2312" w:eastAsia="仿宋_GB2312" w:cs="仿宋_GB2312" w:hint="eastAsia"/>
          <w:sz w:val="32"/>
          <w:szCs w:val="32"/>
        </w:rPr>
        <w:t>0</w:t>
      </w:r>
      <w:r>
        <w:rPr>
          <w:rFonts w:ascii="Times New Roman" w:eastAsia="仿宋_GB2312" w:cs="仿宋_GB2312" w:hAnsi="Times New Roman" w:hint="eastAsia"/>
          <w:color w:val="auto"/>
          <w:kern w:val="2"/>
          <w:sz w:val="32"/>
          <w:szCs w:val="32"/>
          <w:lang w:val="en-US" w:eastAsia="zh-CN" w:bidi="ar-SA"/>
          <w:highlight w:val="auto"/>
        </w:rPr>
        <w:t>人次（不包括陪同人员），共计支出</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万元。</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外事接待支</w:t>
      </w:r>
      <w:r>
        <w:rPr>
          <w:rFonts w:ascii="仿宋_GB2312" w:eastAsia="仿宋_GB2312" w:cs="仿宋_GB2312" w:hint="eastAsia"/>
          <w:color w:val="auto"/>
          <w:kern w:val="2"/>
          <w:sz w:val="32"/>
          <w:szCs w:val="32"/>
          <w:lang w:val="en-US" w:eastAsia="zh-CN" w:bidi="ar-SA"/>
          <w:highlight w:val="auto"/>
        </w:rPr>
        <w:t>出</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万元。外事接待</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批次，</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人次（不包括陪同人员），共计支出0万</w:t>
      </w:r>
      <w:r>
        <w:rPr>
          <w:rFonts w:ascii="Times New Roman" w:eastAsia="仿宋_GB2312" w:cs="仿宋_GB2312" w:hAnsi="Times New Roman" w:hint="eastAsia"/>
          <w:color w:val="auto"/>
          <w:kern w:val="2"/>
          <w:sz w:val="32"/>
          <w:szCs w:val="32"/>
          <w:lang w:val="en-US" w:eastAsia="zh-CN" w:bidi="ar-SA"/>
          <w:highlight w:val="auto"/>
        </w:rPr>
        <w:t>元。</w:t>
      </w:r>
    </w:p>
    <w:p>
      <w:pPr>
        <w:spacing w:line="600" w:lineRule="exact"/>
        <w:ind w:firstLine="640"/>
        <w:outlineLvl w:val="1"/>
        <w:rPr>
          <w:rStyle w:val="2Char"/>
          <w:rFonts w:ascii="Times New Roman" w:eastAsia="黑体" w:hAnsi="Times New Roman"/>
          <w:color w:val="auto"/>
          <w:highlight w:val="auto"/>
        </w:rPr>
      </w:pPr>
      <w:bookmarkStart w:id="43" w:name="_Toc15377218"/>
      <w:bookmarkStart w:id="44" w:name="_Toc15396610"/>
      <w:r>
        <w:rPr>
          <w:rFonts w:ascii="Times New Roman" w:eastAsia="黑体" w:hAnsi="Times New Roman" w:hint="eastAsia"/>
          <w:color w:val="auto"/>
          <w:sz w:val="32"/>
          <w:szCs w:val="32"/>
          <w:highlight w:val="auto"/>
        </w:rPr>
        <w:t>八、</w:t>
      </w:r>
      <w:r>
        <w:rPr>
          <w:rStyle w:val="2Char"/>
          <w:rFonts w:ascii="Times New Roman" w:eastAsia="黑体" w:hAnsi="Times New Roman" w:hint="eastAsia"/>
          <w:b w:val="0"/>
          <w:color w:val="auto"/>
          <w:highlight w:val="auto"/>
        </w:rPr>
        <w:t>政府性基金预算支出决算情况说明</w:t>
      </w:r>
      <w:bookmarkEnd w:id="43"/>
      <w:bookmarkEnd w:id="44"/>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仿宋_GB2312" w:eastAsia="仿宋_GB2312" w:cs="仿宋_GB2312" w:hint="eastAsia"/>
          <w:color w:val="auto"/>
          <w:kern w:val="2"/>
          <w:sz w:val="32"/>
          <w:szCs w:val="32"/>
          <w:lang w:val="en-US" w:eastAsia="zh-CN" w:bidi="ar-SA"/>
          <w:highlight w:val="auto"/>
        </w:rPr>
        <w:t>2024年度政府性基金预算财政拨款支出</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万元，占本年支出合计的</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w:t>
      </w:r>
      <w:r>
        <w:rPr>
          <w:rFonts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与2023年</w:t>
      </w:r>
      <w:r>
        <w:rPr>
          <w:rFonts w:ascii="仿宋_GB2312" w:eastAsia="仿宋_GB2312" w:cs="仿宋_GB2312" w:hint="eastAsia"/>
          <w:color w:val="auto"/>
          <w:kern w:val="2"/>
          <w:sz w:val="32"/>
          <w:szCs w:val="32"/>
          <w:lang w:val="en-US" w:eastAsia="zh-CN" w:bidi="ar-SA"/>
          <w:highlight w:val="auto"/>
        </w:rPr>
        <w:t>度持平。</w:t>
      </w:r>
    </w:p>
    <w:p>
      <w:pPr>
        <w:spacing w:line="600" w:lineRule="exact"/>
        <w:ind w:left="630"/>
        <w:outlineLvl w:val="1"/>
        <w:rPr>
          <w:rStyle w:val="2Char"/>
          <w:rFonts w:ascii="Times New Roman" w:eastAsia="黑体" w:hAnsi="Times New Roman"/>
          <w:b w:val="0"/>
          <w:color w:val="auto"/>
          <w:highlight w:val="auto"/>
        </w:rPr>
      </w:pPr>
      <w:bookmarkStart w:id="45" w:name="_Toc15377219"/>
      <w:bookmarkStart w:id="46" w:name="_Toc15396611"/>
      <w:r>
        <w:rPr>
          <w:rStyle w:val="2Char"/>
          <w:rFonts w:ascii="Times New Roman" w:eastAsia="黑体" w:hAnsi="Times New Roman" w:hint="eastAsia"/>
          <w:b w:val="0"/>
          <w:color w:val="auto"/>
          <w:lang w:eastAsia="zh-CN"/>
          <w:highlight w:val="auto"/>
        </w:rPr>
        <w:t>九、</w:t>
      </w:r>
      <w:r>
        <w:rPr>
          <w:rStyle w:val="2Char"/>
          <w:rFonts w:ascii="Times New Roman" w:eastAsia="黑体" w:hAnsi="Times New Roman" w:hint="eastAsia"/>
          <w:b w:val="0"/>
          <w:color w:val="auto"/>
          <w:highlight w:val="auto"/>
        </w:rPr>
        <w:t>国有资本经营预算支出决算情况说明</w:t>
      </w:r>
      <w:bookmarkEnd w:id="45"/>
      <w:bookmarkEnd w:id="46"/>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2024年度国有资本经营预算财政拨款支出</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万元，占本年支出合计的</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。与2023年</w:t>
      </w:r>
      <w:r>
        <w:rPr>
          <w:rFonts w:ascii="仿宋_GB2312" w:eastAsia="仿宋_GB2312" w:cs="仿宋_GB2312" w:hint="eastAsia"/>
          <w:color w:val="auto"/>
          <w:kern w:val="2"/>
          <w:sz w:val="32"/>
          <w:szCs w:val="32"/>
          <w:lang w:val="en-US" w:eastAsia="zh-CN" w:bidi="ar-SA"/>
          <w:highlight w:val="auto"/>
        </w:rPr>
        <w:t>度持平。</w:t>
      </w:r>
    </w:p>
    <w:p>
      <w:pPr>
        <w:spacing w:line="600" w:lineRule="exact"/>
        <w:ind w:left="630"/>
        <w:outlineLvl w:val="1"/>
        <w:rPr>
          <w:rStyle w:val="2Char"/>
          <w:rFonts w:ascii="Times New Roman" w:eastAsia="黑体" w:hAnsi="Times New Roman" w:hint="eastAsia"/>
          <w:b w:val="0"/>
          <w:color w:val="auto"/>
          <w:highlight w:val="auto"/>
        </w:rPr>
      </w:pPr>
      <w:bookmarkStart w:id="47" w:name="_Toc15377221"/>
      <w:bookmarkStart w:id="48" w:name="_Toc15396612"/>
      <w:r>
        <w:rPr>
          <w:rStyle w:val="2Char"/>
          <w:rFonts w:ascii="Times New Roman" w:eastAsia="黑体" w:hAnsi="Times New Roman" w:hint="eastAsia"/>
          <w:b w:val="0"/>
          <w:color w:val="auto"/>
          <w:lang w:eastAsia="zh-CN"/>
          <w:highlight w:val="auto"/>
        </w:rPr>
        <w:t>十、</w:t>
      </w:r>
      <w:r>
        <w:rPr>
          <w:rStyle w:val="2Char"/>
          <w:rFonts w:ascii="Times New Roman" w:eastAsia="黑体" w:hAnsi="Times New Roman" w:hint="eastAsia"/>
          <w:b w:val="0"/>
          <w:color w:val="auto"/>
          <w:highlight w:val="auto"/>
        </w:rPr>
        <w:t>其他重要事项的情况说明</w:t>
      </w:r>
      <w:bookmarkEnd w:id="47"/>
      <w:bookmarkEnd w:id="48"/>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49" w:name="_Toc15377222"/>
      <w:r>
        <w:rPr>
          <w:rFonts w:ascii="Times New Roman" w:eastAsia="楷体_GB2312" w:cs="楷体_GB2312" w:hAnsi="Times New Roman" w:hint="eastAsia"/>
          <w:b/>
          <w:color w:val="auto"/>
          <w:sz w:val="32"/>
          <w:szCs w:val="32"/>
          <w:highlight w:val="auto"/>
        </w:rPr>
        <w:t>（一）机关运行经费支出情况</w:t>
      </w:r>
      <w:bookmarkEnd w:id="49"/>
    </w:p>
    <w:p>
      <w:pPr>
        <w:spacing w:line="600" w:lineRule="exact"/>
        <w:ind w:firstLineChars="200" w:firstLine="640"/>
        <w:rPr>
          <w:rFonts w:ascii="Times New Roman" w:eastAsia="仿宋" w:hAnsi="Times New Roman" w:hint="eastAsia"/>
          <w:b/>
          <w:color w:val="auto"/>
          <w:sz w:val="32"/>
          <w:szCs w:val="32"/>
          <w:highlight w:val="auto"/>
        </w:rPr>
      </w:pPr>
      <w:r>
        <w:rPr>
          <w:rFonts w:ascii="Times New Roman" w:eastAsia="仿宋_GB2312" w:cs="仿宋_GB2312" w:hAnsi="Times New Roman" w:hint="eastAsia"/>
          <w:color w:val="auto"/>
          <w:kern w:val="2"/>
          <w:sz w:val="32"/>
          <w:szCs w:val="32"/>
          <w:lang w:val="en-US" w:eastAsia="zh-CN" w:bidi="ar-SA"/>
          <w:highlight w:val="auto"/>
        </w:rPr>
        <w:t>2024年度</w:t>
      </w:r>
      <w:r>
        <w:rPr>
          <w:rFonts w:ascii="仿宋_GB2312" w:eastAsia="仿宋_GB2312" w:cs="仿宋_GB2312" w:hint="eastAsia"/>
          <w:color w:val="auto"/>
          <w:kern w:val="2"/>
          <w:sz w:val="32"/>
          <w:szCs w:val="32"/>
          <w:lang w:val="en-US" w:eastAsia="zh-CN" w:bidi="ar-SA"/>
          <w:highlight w:val="auto"/>
        </w:rPr>
        <w:t>，</w:t>
      </w:r>
      <w:r>
        <w:rPr>
          <w:rFonts w:ascii="仿宋_GB2312" w:eastAsia="仿宋_GB2312" w:cs="仿宋_GB2312" w:hint="eastAsia"/>
          <w:sz w:val="32"/>
          <w:szCs w:val="32"/>
        </w:rPr>
        <w:t>四川省攀枝花市紧急医学救援中心</w:t>
      </w:r>
      <w:r>
        <w:rPr>
          <w:rFonts w:ascii="仿宋_GB2312" w:eastAsia="仿宋_GB2312" w:cs="仿宋_GB2312" w:hint="eastAsia"/>
          <w:color w:val="auto"/>
          <w:kern w:val="2"/>
          <w:sz w:val="32"/>
          <w:szCs w:val="32"/>
          <w:lang w:val="en-US" w:eastAsia="zh-CN" w:bidi="ar-SA"/>
          <w:highlight w:val="auto"/>
        </w:rPr>
        <w:t>机关运行经费支出</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w:t>
      </w:r>
      <w:r>
        <w:rPr>
          <w:rFonts w:ascii="Times New Roman" w:eastAsia="仿宋_GB2312" w:cs="仿宋_GB2312" w:hAnsi="Times New Roman" w:hint="eastAsia"/>
          <w:color w:val="auto"/>
          <w:kern w:val="2"/>
          <w:sz w:val="32"/>
          <w:szCs w:val="32"/>
          <w:lang w:val="en-US" w:eastAsia="zh-CN" w:bidi="ar-SA"/>
          <w:highlight w:val="auto"/>
        </w:rPr>
        <w:t>元</w:t>
      </w:r>
      <w:bookmarkStart w:id="50" w:name="_Toc15377223"/>
      <w:r>
        <w:rPr>
          <w:rFonts w:ascii="Times New Roman" w:eastAsia="仿宋" w:cs="Times New Roman" w:hAnsi="Times New Roman"/>
          <w:sz w:val="32"/>
          <w:szCs w:val="32"/>
          <w:lang w:eastAsia="zh-CN"/>
        </w:rPr>
        <w:t>，</w:t>
      </w:r>
      <w:r>
        <w:rPr>
          <w:rFonts w:ascii="Times New Roman" w:eastAsia="仿宋" w:cs="Times New Roman" w:hAnsi="Times New Roman"/>
          <w:sz w:val="32"/>
          <w:szCs w:val="32"/>
        </w:rPr>
        <w:t>与202</w:t>
      </w:r>
      <w:r>
        <w:rPr>
          <w:rFonts w:ascii="Times New Roman" w:eastAsia="仿宋" w:cs="Times New Roman" w:hAnsi="Times New Roman" w:hint="eastAsia"/>
          <w:sz w:val="32"/>
          <w:szCs w:val="32"/>
          <w:lang w:val="en-US" w:eastAsia="zh-CN"/>
        </w:rPr>
        <w:t>3</w:t>
      </w:r>
      <w:r>
        <w:rPr>
          <w:rFonts w:ascii="Times New Roman" w:eastAsia="仿宋" w:cs="Times New Roman" w:hAnsi="Times New Roman"/>
          <w:sz w:val="32"/>
          <w:szCs w:val="32"/>
        </w:rPr>
        <w:t>年</w:t>
      </w:r>
      <w:r>
        <w:rPr>
          <w:rFonts w:ascii="Times New Roman" w:eastAsia="仿宋" w:cs="Times New Roman" w:hAnsi="Times New Roman" w:hint="eastAsia"/>
          <w:sz w:val="32"/>
          <w:szCs w:val="32"/>
          <w:lang w:eastAsia="zh-CN"/>
        </w:rPr>
        <w:t>度</w:t>
      </w:r>
      <w:r>
        <w:rPr>
          <w:rFonts w:ascii="Times New Roman" w:eastAsia="仿宋" w:cs="Times New Roman" w:hAnsi="Times New Roman"/>
          <w:sz w:val="32"/>
          <w:szCs w:val="32"/>
        </w:rPr>
        <w:t>决算数持平。主要原因是市紧急医学救援中心</w:t>
      </w:r>
      <w:r>
        <w:rPr>
          <w:rFonts w:ascii="Times New Roman" w:eastAsia="仿宋" w:cs="Times New Roman" w:hAnsi="Times New Roman"/>
          <w:sz w:val="32"/>
          <w:szCs w:val="32"/>
          <w:lang w:val="en-US" w:eastAsia="zh-CN"/>
        </w:rPr>
        <w:t>为事业单位，按规定未使用机关运行的相关科目。</w:t>
      </w:r>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r>
        <w:rPr>
          <w:rFonts w:ascii="Times New Roman" w:eastAsia="楷体_GB2312" w:cs="楷体_GB2312" w:hAnsi="Times New Roman" w:hint="eastAsia"/>
          <w:b/>
          <w:color w:val="auto"/>
          <w:sz w:val="32"/>
          <w:szCs w:val="32"/>
          <w:highlight w:val="auto"/>
        </w:rPr>
        <w:t>（二）政府采购支出情况</w:t>
      </w:r>
      <w:bookmarkEnd w:id="50"/>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仿宋_GB2312" w:eastAsia="仿宋_GB2312" w:cs="仿宋_GB2312" w:hint="eastAsia"/>
          <w:color w:val="auto"/>
          <w:kern w:val="2"/>
          <w:sz w:val="32"/>
          <w:szCs w:val="32"/>
          <w:lang w:val="en-US" w:eastAsia="zh-CN" w:bidi="ar-SA"/>
          <w:highlight w:val="auto"/>
        </w:rPr>
        <w:t>2024年度，</w:t>
      </w:r>
      <w:r>
        <w:rPr>
          <w:rFonts w:ascii="仿宋_GB2312" w:eastAsia="仿宋_GB2312" w:cs="仿宋_GB2312" w:hint="eastAsia"/>
          <w:sz w:val="32"/>
          <w:szCs w:val="32"/>
        </w:rPr>
        <w:t>四川省攀枝花市紧急医学救援中心</w:t>
      </w:r>
      <w:r>
        <w:rPr>
          <w:rFonts w:ascii="仿宋_GB2312" w:eastAsia="仿宋_GB2312" w:cs="仿宋_GB2312" w:hint="eastAsia"/>
          <w:color w:val="auto"/>
          <w:kern w:val="2"/>
          <w:sz w:val="32"/>
          <w:szCs w:val="32"/>
          <w:lang w:val="en-US" w:eastAsia="zh-CN" w:bidi="ar-SA"/>
          <w:highlight w:val="auto"/>
        </w:rPr>
        <w:t>政府采购支出总额</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万元，其中：政府采购货物支出</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万元、政府采购工程支出</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万元、政府采购服务支出</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万元。授予中小企业合同金额</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万元，占政府采购支出总额的</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%，其中：授予小微企业合同金额</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万元，占政府采购支出总额的</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w:t>
      </w:r>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51" w:name="_Toc15377224"/>
      <w:r>
        <w:rPr>
          <w:rFonts w:ascii="Times New Roman" w:eastAsia="楷体_GB2312" w:cs="楷体_GB2312" w:hAnsi="Times New Roman" w:hint="eastAsia"/>
          <w:b/>
          <w:color w:val="auto"/>
          <w:sz w:val="32"/>
          <w:szCs w:val="32"/>
          <w:highlight w:val="auto"/>
        </w:rPr>
        <w:t>（三）国有资产占有使用情况</w:t>
      </w:r>
      <w:bookmarkEnd w:id="51"/>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仿宋_GB2312" w:eastAsia="仿宋_GB2312" w:cs="仿宋_GB2312" w:hint="eastAsia"/>
          <w:color w:val="auto"/>
          <w:kern w:val="2"/>
          <w:sz w:val="32"/>
          <w:szCs w:val="32"/>
          <w:lang w:val="en-US" w:eastAsia="zh-CN" w:bidi="ar-SA"/>
          <w:highlight w:val="auto"/>
        </w:rPr>
        <w:t>截至2024年12月31日，</w:t>
      </w:r>
      <w:r>
        <w:rPr>
          <w:rFonts w:ascii="仿宋_GB2312" w:eastAsia="仿宋_GB2312" w:cs="仿宋_GB2312" w:hint="eastAsia"/>
          <w:sz w:val="32"/>
          <w:szCs w:val="32"/>
        </w:rPr>
        <w:t>四川省攀枝花市紧急医学救援中心</w:t>
      </w:r>
      <w:r>
        <w:rPr>
          <w:rFonts w:ascii="仿宋_GB2312" w:eastAsia="仿宋_GB2312" w:cs="仿宋_GB2312" w:hint="eastAsia"/>
          <w:color w:val="auto"/>
          <w:kern w:val="2"/>
          <w:sz w:val="32"/>
          <w:szCs w:val="32"/>
          <w:lang w:val="en-US" w:eastAsia="zh-CN" w:bidi="ar-SA"/>
          <w:highlight w:val="auto"/>
        </w:rPr>
        <w:t>共有车辆</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辆，其中：主要负责人用车</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辆、机要通信用车</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辆、应急保障用车</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辆、其他用车</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辆。单价100万元（含）以上设备0台</w:t>
      </w:r>
      <w:r>
        <w:rPr>
          <w:rFonts w:ascii="Times New Roman" w:eastAsia="仿宋_GB2312" w:cs="仿宋_GB2312" w:hAnsi="Times New Roman" w:hint="eastAsia"/>
          <w:color w:val="auto"/>
          <w:kern w:val="2"/>
          <w:sz w:val="32"/>
          <w:szCs w:val="32"/>
          <w:lang w:val="en-US" w:eastAsia="zh-CN" w:bidi="ar-SA"/>
          <w:highlight w:val="auto"/>
        </w:rPr>
        <w:t>。</w:t>
      </w:r>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r>
        <w:rPr>
          <w:rFonts w:ascii="Times New Roman" w:eastAsia="楷体_GB2312" w:cs="楷体_GB2312" w:hAnsi="Times New Roman" w:hint="eastAsia"/>
          <w:b/>
          <w:color w:val="auto"/>
          <w:sz w:val="32"/>
          <w:szCs w:val="32"/>
          <w:highlight w:val="auto"/>
        </w:rPr>
        <w:t>（四）预算绩效管理情况</w:t>
      </w:r>
    </w:p>
    <w:p>
      <w:pPr>
        <w:spacing w:line="600" w:lineRule="exact"/>
        <w:ind w:firstLine="645"/>
        <w:rPr>
          <w:rFonts w:ascii="Times New Roman" w:eastAsia="仿宋" w:cs="Times New Roman" w:hAnsi="Times New Roman" w:hint="eastAsia"/>
          <w:sz w:val="32"/>
          <w:szCs w:val="32"/>
          <w:lang w:val="en-US" w:eastAsia="zh-CN"/>
        </w:rPr>
      </w:pPr>
      <w:r>
        <w:rPr>
          <w:rFonts w:ascii="Times New Roman" w:eastAsia="仿宋_GB2312" w:cs="仿宋_GB2312" w:hAnsi="Times New Roman" w:hint="eastAsia"/>
          <w:color w:val="auto"/>
          <w:kern w:val="2"/>
          <w:sz w:val="32"/>
          <w:szCs w:val="32"/>
          <w:lang w:val="en-US" w:eastAsia="zh-CN" w:bidi="ar-SA"/>
          <w:highlight w:val="auto"/>
        </w:rPr>
        <w:t>根据预算绩效管理要求，</w:t>
      </w:r>
      <w:r>
        <w:rPr>
          <w:rFonts w:eastAsia="仿宋_GB2312" w:cs="仿宋_GB2312" w:hint="eastAsia"/>
          <w:color w:val="auto"/>
          <w:kern w:val="2"/>
          <w:sz w:val="32"/>
          <w:szCs w:val="32"/>
          <w:lang w:val="en-US" w:eastAsia="zh-CN" w:bidi="ar-SA"/>
          <w:highlight w:val="auto"/>
        </w:rPr>
        <w:t>市紧急医学救援中心</w:t>
      </w:r>
      <w:r>
        <w:rPr>
          <w:rFonts w:ascii="Times New Roman" w:eastAsia="仿宋_GB2312" w:cs="仿宋_GB2312" w:hAnsi="Times New Roman" w:hint="eastAsia"/>
          <w:color w:val="auto"/>
          <w:kern w:val="2"/>
          <w:sz w:val="32"/>
          <w:szCs w:val="32"/>
          <w:lang w:val="en-US" w:eastAsia="zh-CN" w:bidi="ar-SA"/>
          <w:highlight w:val="auto"/>
        </w:rPr>
        <w:t>在2024年度预算编制阶段，组织对</w:t>
      </w:r>
      <w:r>
        <w:rPr>
          <w:rFonts w:ascii="Times New Roman" w:eastAsia="仿宋" w:cs="Times New Roman" w:hAnsi="Times New Roman" w:hint="eastAsia"/>
          <w:sz w:val="32"/>
          <w:szCs w:val="32"/>
          <w:lang w:val="en-US" w:eastAsia="zh-CN"/>
        </w:rPr>
        <w:t>120急救指挥调度平台运行保障</w:t>
      </w:r>
      <w:r>
        <w:rPr>
          <w:rFonts w:ascii="Times New Roman" w:eastAsia="仿宋" w:cs="Times New Roman" w:hAnsi="Times New Roman" w:hint="eastAsia"/>
          <w:sz w:val="32"/>
          <w:szCs w:val="32"/>
          <w:lang w:eastAsia="zh-CN"/>
        </w:rPr>
        <w:t>项目</w:t>
      </w:r>
      <w:r>
        <w:rPr>
          <w:rFonts w:ascii="Times New Roman" w:eastAsia="仿宋_GB2312" w:cs="仿宋_GB2312" w:hAnsi="Times New Roman" w:hint="eastAsia"/>
          <w:color w:val="auto"/>
          <w:kern w:val="2"/>
          <w:sz w:val="32"/>
          <w:szCs w:val="32"/>
          <w:lang w:val="en-US" w:eastAsia="zh-CN" w:bidi="ar-SA"/>
          <w:highlight w:val="auto"/>
        </w:rPr>
        <w:t>等</w:t>
      </w:r>
      <w:r>
        <w:rPr>
          <w:rFonts w:eastAsia="仿宋_GB2312" w:cs="仿宋_GB2312" w:hint="eastAsia"/>
          <w:color w:val="000000"/>
          <w:kern w:val="2"/>
          <w:sz w:val="32"/>
          <w:szCs w:val="32"/>
          <w14:textFill>
            <w14:solidFill>
              <w14:srgbClr w14:val="000000"/>
            </w14:solidFill>
          </w14:textFill>
          <w:lang w:val="en-US" w:eastAsia="zh-CN" w:bidi="ar-SA"/>
          <w:highlight w:val="auto"/>
        </w:rPr>
        <w:t>4</w:t>
      </w:r>
      <w:r>
        <w:rPr>
          <w:rFonts w:ascii="Times New Roman" w:eastAsia="仿宋_GB2312" w:cs="仿宋_GB2312" w:hAnsi="Times New Roman" w:hint="eastAsia"/>
          <w:color w:val="auto"/>
          <w:kern w:val="2"/>
          <w:sz w:val="32"/>
          <w:szCs w:val="32"/>
          <w:lang w:val="en-US" w:eastAsia="zh-CN" w:bidi="ar-SA"/>
          <w:highlight w:val="auto"/>
        </w:rPr>
        <w:t>个项目开展了预算事前绩效评估，对</w:t>
      </w:r>
      <w:r>
        <w:rPr>
          <w:rFonts w:eastAsia="仿宋_GB2312" w:cs="仿宋_GB2312" w:hint="eastAsia"/>
          <w:color w:val="auto"/>
          <w:kern w:val="2"/>
          <w:sz w:val="32"/>
          <w:szCs w:val="32"/>
          <w:lang w:val="en-US" w:eastAsia="zh-CN" w:bidi="ar-SA"/>
          <w:highlight w:val="auto"/>
        </w:rPr>
        <w:t>4</w:t>
      </w:r>
      <w:r>
        <w:rPr>
          <w:rFonts w:ascii="Times New Roman" w:eastAsia="仿宋_GB2312" w:cs="仿宋_GB2312" w:hAnsi="Times New Roman" w:hint="eastAsia"/>
          <w:color w:val="auto"/>
          <w:kern w:val="2"/>
          <w:sz w:val="32"/>
          <w:szCs w:val="32"/>
          <w:lang w:val="en-US" w:eastAsia="zh-CN" w:bidi="ar-SA"/>
          <w:highlight w:val="auto"/>
        </w:rPr>
        <w:t>个项目编制了绩效目标，预算执行过程中，选取</w:t>
      </w:r>
      <w:r>
        <w:rPr>
          <w:rFonts w:eastAsia="仿宋_GB2312" w:cs="仿宋_GB2312" w:hint="eastAsia"/>
          <w:color w:val="auto"/>
          <w:kern w:val="2"/>
          <w:sz w:val="32"/>
          <w:szCs w:val="32"/>
          <w:lang w:val="en-US" w:eastAsia="zh-CN" w:bidi="ar-SA"/>
          <w:highlight w:val="auto"/>
        </w:rPr>
        <w:t>4</w:t>
      </w:r>
      <w:r>
        <w:rPr>
          <w:rFonts w:ascii="Times New Roman" w:eastAsia="仿宋_GB2312" w:cs="仿宋_GB2312" w:hAnsi="Times New Roman" w:hint="eastAsia"/>
          <w:color w:val="auto"/>
          <w:kern w:val="2"/>
          <w:sz w:val="32"/>
          <w:szCs w:val="32"/>
          <w:lang w:val="en-US" w:eastAsia="zh-CN" w:bidi="ar-SA"/>
          <w:highlight w:val="auto"/>
        </w:rPr>
        <w:t>个项目开展绩效监控</w:t>
      </w:r>
      <w:r>
        <w:rPr>
          <w:rFonts w:ascii="Times New Roman" w:eastAsia="仿宋" w:cs="Times New Roman" w:hAnsi="Times New Roman" w:hint="eastAsia"/>
          <w:sz w:val="32"/>
          <w:szCs w:val="32"/>
          <w:lang w:eastAsia="zh-CN"/>
        </w:rPr>
        <w:t>，组织对</w:t>
      </w:r>
      <w:r>
        <w:rPr>
          <w:rFonts w:ascii="Times New Roman" w:eastAsia="仿宋" w:cs="Times New Roman" w:hAnsi="Times New Roman" w:hint="eastAsia"/>
          <w:sz w:val="32"/>
          <w:szCs w:val="32"/>
          <w:lang w:val="en-US" w:eastAsia="zh-CN"/>
        </w:rPr>
        <w:t>4个项目开展绩效自评，绩效自评表详见第四部分附件。</w:t>
      </w:r>
    </w:p>
    <w:p>
      <w:pPr>
        <w:spacing w:line="600" w:lineRule="exact"/>
        <w:jc w:val="center"/>
        <w:outlineLvl w:val="0"/>
        <w:rPr>
          <w:rFonts w:ascii="Times New Roman" w:eastAsia="黑体" w:hAnsi="Times New Roman" w:hint="eastAsia"/>
          <w:color w:val="auto"/>
          <w:sz w:val="44"/>
          <w:szCs w:val="44"/>
          <w:highlight w:val="auto"/>
        </w:rPr>
      </w:pPr>
      <w:bookmarkStart w:id="52" w:name="_Toc15377225"/>
      <w:bookmarkStart w:id="53" w:name="_Toc15396613"/>
      <w:r>
        <w:rPr>
          <w:rFonts w:ascii="Times New Roman" w:eastAsia="黑体" w:hAnsi="Times New Roman" w:hint="eastAsia"/>
          <w:color w:val="auto"/>
          <w:sz w:val="44"/>
          <w:szCs w:val="44"/>
          <w:highlight w:val="auto"/>
        </w:rPr>
        <w:t>第</w:t>
      </w:r>
      <w:r>
        <w:rPr>
          <w:rFonts w:eastAsia="黑体" w:hint="eastAsia"/>
          <w:color w:val="auto"/>
          <w:sz w:val="44"/>
          <w:szCs w:val="44"/>
          <w:lang w:eastAsia="zh-CN"/>
          <w:highlight w:val="auto"/>
        </w:rPr>
        <w:t>三</w:t>
      </w:r>
      <w:r>
        <w:rPr>
          <w:rFonts w:ascii="Times New Roman" w:eastAsia="黑体" w:hAnsi="Times New Roman" w:hint="eastAsia"/>
          <w:color w:val="auto"/>
          <w:sz w:val="44"/>
          <w:szCs w:val="44"/>
          <w:highlight w:val="auto"/>
        </w:rPr>
        <w:t>部分</w:t>
      </w:r>
      <w:r>
        <w:rPr>
          <w:rFonts w:ascii="Times New Roman" w:eastAsia="黑体" w:hAnsi="Times New Roman" w:hint="eastAsia"/>
          <w:color w:val="auto"/>
          <w:sz w:val="44"/>
          <w:szCs w:val="44"/>
          <w:lang w:val="en-US" w:eastAsia="zh-CN"/>
          <w:highlight w:val="auto"/>
        </w:rPr>
        <w:t xml:space="preserve"> </w:t>
      </w:r>
      <w:r>
        <w:rPr>
          <w:rFonts w:eastAsia="黑体" w:hint="eastAsia"/>
          <w:color w:val="auto"/>
          <w:sz w:val="44"/>
          <w:szCs w:val="44"/>
          <w:lang w:val="en-US" w:eastAsia="zh-CN"/>
          <w:highlight w:val="auto"/>
        </w:rPr>
        <w:t xml:space="preserve"> </w:t>
      </w:r>
      <w:r>
        <w:rPr>
          <w:rFonts w:ascii="Times New Roman" w:eastAsia="黑体" w:hAnsi="Times New Roman" w:hint="eastAsia"/>
          <w:color w:val="auto"/>
          <w:sz w:val="44"/>
          <w:szCs w:val="44"/>
          <w:highlight w:val="auto"/>
        </w:rPr>
        <w:t>名词解释</w:t>
      </w:r>
      <w:bookmarkEnd w:id="52"/>
      <w:bookmarkEnd w:id="53"/>
    </w:p>
    <w:p>
      <w:pPr>
        <w:spacing w:line="600" w:lineRule="exact"/>
        <w:jc w:val="left"/>
        <w:rPr>
          <w:rFonts w:ascii="Times New Roman" w:hAnsi="Times New Roman"/>
          <w:b/>
          <w:color w:val="auto"/>
          <w:sz w:val="44"/>
          <w:szCs w:val="44"/>
          <w:highlight w:val="auto"/>
        </w:rPr>
      </w:pPr>
    </w:p>
    <w:p>
      <w:pPr>
        <w:pStyle w:val="31"/>
        <w:spacing w:line="560" w:lineRule="exact"/>
        <w:ind w:firstLineChars="200" w:firstLine="640"/>
        <w:rPr>
          <w:rFonts w:ascii="Times New Roman" w:eastAsia="仿宋" w:cs="Times New Roman" w:hAnsi="Times New Roman"/>
          <w:color w:val="auto"/>
          <w:kern w:val="2"/>
          <w:sz w:val="32"/>
          <w:szCs w:val="32"/>
          <w:lang w:val="en-US" w:eastAsia="zh-CN" w:bidi="ar-SA"/>
        </w:rPr>
      </w:pPr>
      <w:bookmarkStart w:id="54" w:name="_Toc15396614"/>
      <w:bookmarkStart w:id="55" w:name="_Toc15377226"/>
      <w:r>
        <w:rPr>
          <w:rFonts w:ascii="Times New Roman" w:eastAsia="仿宋" w:cs="Times New Roman" w:hAnsi="Times New Roman"/>
          <w:color w:val="auto"/>
          <w:kern w:val="2"/>
          <w:sz w:val="32"/>
          <w:szCs w:val="32"/>
          <w:lang w:val="en-US" w:eastAsia="zh-CN" w:bidi="ar-SA"/>
        </w:rPr>
        <w:t>1.财政拨款收入：指单位从同级财政部门取得的财政预算资金。</w:t>
      </w:r>
    </w:p>
    <w:p>
      <w:pPr>
        <w:pStyle w:val="31"/>
        <w:spacing w:line="560" w:lineRule="exact"/>
        <w:ind w:firstLineChars="200" w:firstLine="640"/>
        <w:rPr>
          <w:rFonts w:ascii="Times New Roman" w:eastAsia="仿宋" w:cs="Times New Roman" w:hAnsi="Times New Roman"/>
          <w:color w:val="auto"/>
          <w:kern w:val="2"/>
          <w:sz w:val="32"/>
          <w:szCs w:val="32"/>
          <w:lang w:val="en-US" w:eastAsia="zh-CN" w:bidi="ar-SA"/>
        </w:rPr>
      </w:pPr>
      <w:r>
        <w:rPr>
          <w:rFonts w:ascii="Times New Roman" w:eastAsia="仿宋" w:cs="Times New Roman" w:hAnsi="Times New Roman"/>
          <w:color w:val="auto"/>
          <w:kern w:val="2"/>
          <w:sz w:val="32"/>
          <w:szCs w:val="32"/>
          <w:lang w:val="en-US" w:eastAsia="zh-CN" w:bidi="ar-SA"/>
        </w:rPr>
        <w:t>2.事业收入：指事业单位开展专业业务活动及辅助活动取得的收入。</w:t>
      </w:r>
    </w:p>
    <w:p>
      <w:pPr>
        <w:pStyle w:val="31"/>
        <w:spacing w:line="560" w:lineRule="exact"/>
        <w:ind w:firstLineChars="200" w:firstLine="640"/>
        <w:rPr>
          <w:rFonts w:ascii="Times New Roman" w:eastAsia="仿宋" w:cs="Times New Roman" w:hAnsi="Times New Roman"/>
          <w:color w:val="auto"/>
          <w:kern w:val="2"/>
          <w:sz w:val="32"/>
          <w:szCs w:val="32"/>
          <w:lang w:val="en-US" w:eastAsia="zh-CN" w:bidi="ar-SA"/>
        </w:rPr>
      </w:pPr>
      <w:r>
        <w:rPr>
          <w:rFonts w:ascii="Times New Roman" w:eastAsia="仿宋" w:cs="Times New Roman" w:hAnsi="Times New Roman"/>
          <w:color w:val="auto"/>
          <w:kern w:val="2"/>
          <w:sz w:val="32"/>
          <w:szCs w:val="32"/>
          <w:lang w:val="en-US" w:eastAsia="zh-CN" w:bidi="ar-SA"/>
        </w:rPr>
        <w:t xml:space="preserve">3.其他收入：指单位取得的除上述收入以外的各项收入。主要是利息收入等。 </w:t>
      </w:r>
    </w:p>
    <w:p>
      <w:pPr>
        <w:pStyle w:val="31"/>
        <w:spacing w:line="560" w:lineRule="exact"/>
        <w:ind w:firstLineChars="200" w:firstLine="640"/>
        <w:rPr>
          <w:rFonts w:ascii="Times New Roman" w:eastAsia="仿宋" w:cs="Times New Roman" w:hAnsi="Times New Roman"/>
          <w:color w:val="auto"/>
          <w:kern w:val="2"/>
          <w:sz w:val="32"/>
          <w:szCs w:val="32"/>
          <w:lang w:val="en-US" w:eastAsia="zh-CN" w:bidi="ar-SA"/>
        </w:rPr>
      </w:pPr>
      <w:r>
        <w:rPr>
          <w:rFonts w:ascii="Times New Roman" w:eastAsia="仿宋" w:cs="Times New Roman" w:hAnsi="Times New Roman"/>
          <w:color w:val="auto"/>
          <w:kern w:val="2"/>
          <w:sz w:val="32"/>
          <w:szCs w:val="32"/>
          <w:lang w:val="en-US" w:eastAsia="zh-CN" w:bidi="ar-SA"/>
        </w:rPr>
        <w:t xml:space="preserve">4.年初结转和结余：指以前年度尚未完成、结转到本年按有关规定继续使用的资金。 </w:t>
      </w:r>
    </w:p>
    <w:p>
      <w:pPr>
        <w:pStyle w:val="31"/>
        <w:spacing w:line="560" w:lineRule="exact"/>
        <w:ind w:firstLineChars="200" w:firstLine="640"/>
        <w:rPr>
          <w:rFonts w:ascii="Times New Roman" w:eastAsia="仿宋" w:cs="Times New Roman" w:hAnsi="Times New Roman"/>
          <w:color w:val="auto"/>
          <w:kern w:val="2"/>
          <w:sz w:val="32"/>
          <w:szCs w:val="32"/>
          <w:lang w:val="en-US" w:eastAsia="zh-CN" w:bidi="ar-SA"/>
        </w:rPr>
      </w:pPr>
      <w:r>
        <w:rPr>
          <w:rFonts w:ascii="Times New Roman" w:eastAsia="仿宋" w:cs="Times New Roman" w:hAnsi="Times New Roman"/>
          <w:color w:val="auto"/>
          <w:kern w:val="2"/>
          <w:sz w:val="32"/>
          <w:szCs w:val="32"/>
          <w:lang w:val="en-US" w:eastAsia="zh-CN" w:bidi="ar-SA"/>
        </w:rPr>
        <w:t>5.年末结转和结余：指单位按有关规定结转到下年或以后年度继续使用的资金。</w:t>
      </w:r>
    </w:p>
    <w:p>
      <w:pPr>
        <w:spacing w:line="580" w:lineRule="exact"/>
        <w:ind w:firstLineChars="200" w:firstLine="640"/>
        <w:rPr>
          <w:rFonts w:ascii="Times New Roman" w:eastAsia="仿宋" w:cs="Times New Roman" w:hAnsi="Times New Roman"/>
          <w:color w:val="auto"/>
          <w:kern w:val="2"/>
          <w:sz w:val="32"/>
          <w:szCs w:val="32"/>
          <w:lang w:val="en-US" w:eastAsia="zh-CN" w:bidi="ar-SA"/>
        </w:rPr>
      </w:pPr>
      <w:r>
        <w:rPr>
          <w:rFonts w:ascii="Times New Roman" w:eastAsia="仿宋" w:cs="Times New Roman" w:hAnsi="Times New Roman"/>
          <w:color w:val="auto"/>
          <w:kern w:val="2"/>
          <w:sz w:val="32"/>
          <w:szCs w:val="32"/>
          <w:lang w:val="en-US" w:eastAsia="zh-CN" w:bidi="ar-SA"/>
        </w:rPr>
        <w:t>6.机关事业单位基本养老保险缴费支出（2080505）：反映机关事业单位实施养老保险制度由单位缴纳的基本养老保险费支出。</w:t>
      </w:r>
    </w:p>
    <w:p>
      <w:pPr>
        <w:spacing w:line="580" w:lineRule="exact"/>
        <w:ind w:firstLineChars="200" w:firstLine="640"/>
        <w:rPr>
          <w:rFonts w:ascii="Times New Roman" w:eastAsia="仿宋" w:cs="Times New Roman" w:hAnsi="Times New Roman"/>
          <w:color w:val="auto"/>
          <w:kern w:val="2"/>
          <w:sz w:val="32"/>
          <w:szCs w:val="32"/>
          <w:lang w:val="en-US" w:eastAsia="zh-CN" w:bidi="ar-SA"/>
        </w:rPr>
      </w:pPr>
      <w:r>
        <w:rPr>
          <w:rFonts w:ascii="Times New Roman" w:eastAsia="仿宋" w:cs="Times New Roman" w:hAnsi="Times New Roman"/>
          <w:color w:val="auto"/>
          <w:kern w:val="2"/>
          <w:sz w:val="32"/>
          <w:szCs w:val="32"/>
          <w:lang w:val="en-US" w:eastAsia="zh-CN" w:bidi="ar-SA"/>
        </w:rPr>
        <w:t>7.其他公立医院支出（2100299）：反映除上述项目以外的其他用于公立医院方面的支出。</w:t>
      </w:r>
    </w:p>
    <w:p>
      <w:pPr>
        <w:spacing w:line="580" w:lineRule="exact"/>
        <w:ind w:firstLineChars="200" w:firstLine="640"/>
        <w:rPr>
          <w:rFonts w:ascii="Times New Roman" w:eastAsia="仿宋" w:cs="Times New Roman" w:hAnsi="Times New Roman"/>
          <w:color w:val="auto"/>
          <w:kern w:val="2"/>
          <w:sz w:val="32"/>
          <w:szCs w:val="32"/>
          <w:lang w:val="en-US" w:eastAsia="zh-CN" w:bidi="ar-SA"/>
        </w:rPr>
      </w:pPr>
      <w:r>
        <w:rPr>
          <w:rFonts w:ascii="Times New Roman" w:eastAsia="仿宋" w:cs="Times New Roman" w:hAnsi="Times New Roman"/>
          <w:color w:val="auto"/>
          <w:kern w:val="2"/>
          <w:sz w:val="32"/>
          <w:szCs w:val="32"/>
          <w:lang w:val="en-US" w:eastAsia="zh-CN" w:bidi="ar-SA"/>
        </w:rPr>
        <w:t>8.应急救治机构（2100405）：反映卫生健康部门所属应急救治机构的支出。</w:t>
      </w:r>
    </w:p>
    <w:p>
      <w:pPr>
        <w:spacing w:line="580" w:lineRule="exact"/>
        <w:ind w:firstLineChars="200" w:firstLine="640"/>
        <w:rPr>
          <w:rFonts w:ascii="Times New Roman" w:eastAsia="仿宋" w:cs="Times New Roman" w:hAnsi="Times New Roman"/>
          <w:color w:val="auto"/>
          <w:kern w:val="2"/>
          <w:sz w:val="32"/>
          <w:szCs w:val="32"/>
          <w:lang w:val="en-US" w:eastAsia="zh-CN" w:bidi="ar-SA"/>
        </w:rPr>
      </w:pPr>
      <w:r>
        <w:rPr>
          <w:rFonts w:ascii="Times New Roman" w:eastAsia="仿宋" w:cs="Times New Roman" w:hAnsi="Times New Roman"/>
          <w:color w:val="auto"/>
          <w:kern w:val="2"/>
          <w:sz w:val="32"/>
          <w:szCs w:val="32"/>
          <w:lang w:val="en-US" w:eastAsia="zh-CN" w:bidi="ar-SA"/>
        </w:rPr>
        <w:t>9.基本公共卫生服务（2100408）：反映基本公共卫生服务支出。</w:t>
      </w:r>
    </w:p>
    <w:p>
      <w:pPr>
        <w:spacing w:line="580" w:lineRule="exact"/>
        <w:ind w:firstLineChars="200" w:firstLine="640"/>
        <w:rPr>
          <w:rStyle w:val="25"/>
          <w:rFonts w:ascii="Times New Roman" w:eastAsia="仿宋" w:cs="Times New Roman" w:hAnsi="Times New Roman"/>
          <w:b w:val="0"/>
          <w:bCs/>
          <w:color w:val="000000"/>
          <w:sz w:val="32"/>
          <w:szCs w:val="32"/>
          <w:lang w:val="en-US" w:eastAsia="zh-CN"/>
        </w:rPr>
      </w:pPr>
      <w:r>
        <w:rPr>
          <w:rStyle w:val="25"/>
          <w:rFonts w:ascii="Times New Roman" w:eastAsia="仿宋" w:cs="Times New Roman" w:hAnsi="Times New Roman" w:hint="eastAsia"/>
          <w:b w:val="0"/>
          <w:bCs/>
          <w:color w:val="000000"/>
          <w:sz w:val="32"/>
          <w:szCs w:val="32"/>
          <w:lang w:val="en-US" w:eastAsia="zh-CN"/>
        </w:rPr>
        <w:t>10.事业单位医疗（2101102）：反映财政部门安排的事业单位基本医疗保险缴费经费，未参加医疗保险的事业单位的公费医疗经费，按国家规定享受离休人员待遇的医疗经费。</w:t>
      </w:r>
    </w:p>
    <w:p>
      <w:pPr>
        <w:spacing w:line="580" w:lineRule="exact"/>
        <w:ind w:firstLineChars="200" w:firstLine="640"/>
        <w:rPr>
          <w:rFonts w:ascii="Times New Roman" w:eastAsia="仿宋" w:cs="Times New Roman" w:hAnsi="Times New Roman"/>
          <w:color w:val="auto"/>
          <w:kern w:val="2"/>
          <w:sz w:val="32"/>
          <w:szCs w:val="32"/>
          <w:lang w:val="en-US" w:eastAsia="zh-CN" w:bidi="ar-SA"/>
        </w:rPr>
      </w:pPr>
      <w:r>
        <w:rPr>
          <w:rStyle w:val="25"/>
          <w:rFonts w:ascii="Times New Roman" w:eastAsia="仿宋" w:cs="Times New Roman" w:hAnsi="Times New Roman" w:hint="eastAsia"/>
          <w:b w:val="0"/>
          <w:bCs/>
          <w:color w:val="000000"/>
          <w:sz w:val="32"/>
          <w:szCs w:val="32"/>
          <w:lang w:val="en-US" w:eastAsia="zh-CN"/>
        </w:rPr>
        <w:t>11.公务员医疗补助（2101103）：反映财政部门安排的公务员医疗补助经费。</w:t>
      </w:r>
    </w:p>
    <w:p>
      <w:pPr>
        <w:spacing w:line="580" w:lineRule="exact"/>
        <w:ind w:firstLineChars="200" w:firstLine="640"/>
        <w:rPr>
          <w:rStyle w:val="25"/>
          <w:rFonts w:ascii="Times New Roman" w:eastAsia="仿宋" w:cs="Times New Roman" w:hAnsi="Times New Roman"/>
          <w:b w:val="0"/>
          <w:bCs/>
          <w:color w:val="000000"/>
          <w:sz w:val="32"/>
          <w:szCs w:val="32"/>
          <w:lang w:val="en-US" w:eastAsia="zh-CN"/>
        </w:rPr>
      </w:pPr>
      <w:r>
        <w:rPr>
          <w:rStyle w:val="25"/>
          <w:rFonts w:ascii="Times New Roman" w:eastAsia="仿宋" w:cs="Times New Roman" w:hAnsi="Times New Roman" w:hint="eastAsia"/>
          <w:b w:val="0"/>
          <w:bCs/>
          <w:color w:val="000000"/>
          <w:sz w:val="32"/>
          <w:szCs w:val="32"/>
          <w:lang w:val="en-US" w:eastAsia="zh-CN"/>
        </w:rPr>
        <w:t>12.其他行政事业单位医疗支出（2101199）：反映除上述项目以外的其他用于行政事业单位医疗方面的支出。</w:t>
      </w:r>
    </w:p>
    <w:p>
      <w:pPr>
        <w:spacing w:line="580" w:lineRule="exact"/>
        <w:ind w:firstLineChars="200" w:firstLine="640"/>
        <w:rPr>
          <w:rFonts w:ascii="Times New Roman" w:eastAsia="仿宋" w:cs="Times New Roman" w:hAnsi="Times New Roman"/>
          <w:color w:val="auto"/>
          <w:kern w:val="2"/>
          <w:sz w:val="32"/>
          <w:szCs w:val="32"/>
          <w:lang w:val="en-US" w:eastAsia="zh-CN" w:bidi="ar-SA"/>
        </w:rPr>
      </w:pPr>
      <w:r>
        <w:rPr>
          <w:rFonts w:ascii="Times New Roman" w:eastAsia="仿宋" w:cs="Times New Roman" w:hAnsi="Times New Roman"/>
          <w:color w:val="auto"/>
          <w:kern w:val="2"/>
          <w:sz w:val="32"/>
          <w:szCs w:val="32"/>
          <w:lang w:val="en-US" w:eastAsia="zh-CN" w:bidi="ar-SA"/>
        </w:rPr>
        <w:t>1</w:t>
      </w:r>
      <w:r>
        <w:rPr>
          <w:rFonts w:ascii="Times New Roman" w:eastAsia="仿宋" w:cs="Times New Roman" w:hAnsi="Times New Roman" w:hint="eastAsia"/>
          <w:color w:val="auto"/>
          <w:kern w:val="2"/>
          <w:sz w:val="32"/>
          <w:szCs w:val="32"/>
          <w:lang w:val="en-US" w:eastAsia="zh-CN" w:bidi="ar-SA"/>
        </w:rPr>
        <w:t>3</w:t>
      </w:r>
      <w:r>
        <w:rPr>
          <w:rFonts w:ascii="Times New Roman" w:eastAsia="仿宋" w:cs="Times New Roman" w:hAnsi="Times New Roman"/>
          <w:color w:val="auto"/>
          <w:kern w:val="2"/>
          <w:sz w:val="32"/>
          <w:szCs w:val="32"/>
          <w:lang w:val="en-US" w:eastAsia="zh-CN" w:bidi="ar-SA"/>
        </w:rPr>
        <w:t>. 住房公积金（2210201）：反映行政事业单位按人力资源和社会保障部、财政部规定的基本工资和津贴补贴以及规定比例为职工缴纳的住房公积金。</w:t>
      </w:r>
    </w:p>
    <w:p>
      <w:pPr>
        <w:ind w:firstLineChars="200" w:firstLine="640"/>
        <w:rPr>
          <w:rFonts w:ascii="Times New Roman" w:eastAsia="仿宋" w:cs="Times New Roman" w:hAnsi="Times New Roman"/>
          <w:color w:val="auto"/>
          <w:kern w:val="2"/>
          <w:sz w:val="32"/>
          <w:szCs w:val="32"/>
          <w:lang w:val="en-US" w:eastAsia="zh-CN" w:bidi="ar-SA"/>
        </w:rPr>
      </w:pPr>
      <w:r>
        <w:rPr>
          <w:rFonts w:ascii="Times New Roman" w:eastAsia="仿宋" w:cs="Times New Roman" w:hAnsi="Times New Roman"/>
          <w:color w:val="auto"/>
          <w:kern w:val="2"/>
          <w:sz w:val="32"/>
          <w:szCs w:val="32"/>
          <w:lang w:val="en-US" w:eastAsia="zh-CN" w:bidi="ar-SA"/>
        </w:rPr>
        <w:t>1</w:t>
      </w:r>
      <w:r>
        <w:rPr>
          <w:rFonts w:ascii="Times New Roman" w:eastAsia="仿宋" w:cs="Times New Roman" w:hAnsi="Times New Roman" w:hint="eastAsia"/>
          <w:color w:val="auto"/>
          <w:kern w:val="2"/>
          <w:sz w:val="32"/>
          <w:szCs w:val="32"/>
          <w:lang w:val="en-US" w:eastAsia="zh-CN" w:bidi="ar-SA"/>
        </w:rPr>
        <w:t>4</w:t>
      </w:r>
      <w:r>
        <w:rPr>
          <w:rFonts w:ascii="Times New Roman" w:eastAsia="仿宋" w:cs="Times New Roman" w:hAnsi="Times New Roman"/>
          <w:color w:val="auto"/>
          <w:kern w:val="2"/>
          <w:sz w:val="32"/>
          <w:szCs w:val="32"/>
          <w:lang w:val="en-US" w:eastAsia="zh-CN" w:bidi="ar-SA"/>
        </w:rPr>
        <w:t>.基本支出：指为保障机构正常运转、完成日常工作任务而发生的人员支出和公用支出。</w:t>
      </w:r>
    </w:p>
    <w:p>
      <w:pPr>
        <w:ind w:firstLineChars="200" w:firstLine="640"/>
        <w:rPr>
          <w:rFonts w:ascii="Times New Roman" w:eastAsia="仿宋" w:cs="Times New Roman" w:hAnsi="Times New Roman"/>
          <w:color w:val="auto"/>
          <w:kern w:val="2"/>
          <w:sz w:val="32"/>
          <w:szCs w:val="32"/>
          <w:lang w:val="en-US" w:eastAsia="zh-CN" w:bidi="ar-SA"/>
        </w:rPr>
      </w:pPr>
      <w:r>
        <w:rPr>
          <w:rFonts w:ascii="Times New Roman" w:eastAsia="仿宋" w:cs="Times New Roman" w:hAnsi="Times New Roman"/>
          <w:color w:val="auto"/>
          <w:kern w:val="2"/>
          <w:sz w:val="32"/>
          <w:szCs w:val="32"/>
          <w:lang w:val="en-US" w:eastAsia="zh-CN" w:bidi="ar-SA"/>
        </w:rPr>
        <w:t>1</w:t>
      </w:r>
      <w:r>
        <w:rPr>
          <w:rFonts w:ascii="Times New Roman" w:eastAsia="仿宋" w:cs="Times New Roman" w:hAnsi="Times New Roman" w:hint="eastAsia"/>
          <w:color w:val="auto"/>
          <w:kern w:val="2"/>
          <w:sz w:val="32"/>
          <w:szCs w:val="32"/>
          <w:lang w:val="en-US" w:eastAsia="zh-CN" w:bidi="ar-SA"/>
        </w:rPr>
        <w:t>5</w:t>
      </w:r>
      <w:r>
        <w:rPr>
          <w:rFonts w:ascii="Times New Roman" w:eastAsia="仿宋" w:cs="Times New Roman" w:hAnsi="Times New Roman"/>
          <w:color w:val="auto"/>
          <w:kern w:val="2"/>
          <w:sz w:val="32"/>
          <w:szCs w:val="32"/>
          <w:lang w:val="en-US" w:eastAsia="zh-CN" w:bidi="ar-SA"/>
        </w:rPr>
        <w:t xml:space="preserve">.项目支出：指在基本支出之外为完成特定行政任务和事业发展目标所发生的支出。 </w:t>
      </w:r>
    </w:p>
    <w:p>
      <w:pPr>
        <w:pStyle w:val="31"/>
        <w:spacing w:line="560" w:lineRule="exact"/>
        <w:ind w:firstLineChars="200" w:firstLine="640"/>
        <w:rPr>
          <w:rFonts w:ascii="Times New Roman" w:eastAsia="仿宋" w:cs="Times New Roman" w:hAnsi="Times New Roman"/>
          <w:color w:val="auto"/>
          <w:kern w:val="2"/>
          <w:sz w:val="32"/>
          <w:szCs w:val="32"/>
          <w:lang w:val="en-US" w:eastAsia="zh-CN" w:bidi="ar-SA"/>
        </w:rPr>
      </w:pPr>
      <w:r>
        <w:rPr>
          <w:rFonts w:ascii="Times New Roman" w:eastAsia="仿宋" w:cs="Times New Roman" w:hAnsi="Times New Roman"/>
          <w:color w:val="auto"/>
          <w:kern w:val="2"/>
          <w:sz w:val="32"/>
          <w:szCs w:val="32"/>
          <w:lang w:val="en-US" w:eastAsia="zh-CN" w:bidi="ar-SA"/>
        </w:rPr>
        <w:t>1</w:t>
      </w:r>
      <w:r>
        <w:rPr>
          <w:rFonts w:ascii="Times New Roman" w:cs="Times New Roman" w:hAnsi="Times New Roman" w:hint="eastAsia"/>
          <w:color w:val="auto"/>
          <w:kern w:val="2"/>
          <w:sz w:val="32"/>
          <w:szCs w:val="32"/>
          <w:lang w:val="en-US" w:eastAsia="zh-CN" w:bidi="ar-SA"/>
        </w:rPr>
        <w:t>6</w:t>
      </w:r>
      <w:r>
        <w:rPr>
          <w:rFonts w:ascii="Times New Roman" w:eastAsia="仿宋" w:cs="Times New Roman" w:hAnsi="Times New Roman"/>
          <w:color w:val="auto"/>
          <w:kern w:val="2"/>
          <w:sz w:val="32"/>
          <w:szCs w:val="32"/>
          <w:lang w:val="en-US" w:eastAsia="zh-CN" w:bidi="ar-SA"/>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1"/>
        <w:spacing w:line="560" w:lineRule="exact"/>
        <w:ind w:firstLineChars="200" w:firstLine="640"/>
        <w:rPr>
          <w:rFonts w:ascii="Times New Roman" w:eastAsia="仿宋" w:cs="Times New Roman" w:hAnsi="Times New Roman"/>
          <w:color w:val="auto"/>
          <w:kern w:val="2"/>
          <w:sz w:val="32"/>
          <w:szCs w:val="32"/>
          <w:lang w:val="en-US" w:eastAsia="zh-CN" w:bidi="ar-SA"/>
        </w:rPr>
      </w:pPr>
      <w:r>
        <w:rPr>
          <w:rFonts w:ascii="Times New Roman" w:eastAsia="仿宋" w:cs="Times New Roman" w:hAnsi="Times New Roman"/>
          <w:color w:val="auto"/>
          <w:kern w:val="2"/>
          <w:sz w:val="32"/>
          <w:szCs w:val="32"/>
          <w:lang w:val="en-US" w:eastAsia="zh-CN" w:bidi="ar-SA"/>
        </w:rPr>
        <w:t>1</w:t>
      </w:r>
      <w:r>
        <w:rPr>
          <w:rFonts w:ascii="Times New Roman" w:cs="Times New Roman" w:hAnsi="Times New Roman" w:hint="eastAsia"/>
          <w:color w:val="auto"/>
          <w:kern w:val="2"/>
          <w:sz w:val="32"/>
          <w:szCs w:val="32"/>
          <w:lang w:val="en-US" w:eastAsia="zh-CN" w:bidi="ar-SA"/>
        </w:rPr>
        <w:t>7</w:t>
      </w:r>
      <w:r>
        <w:rPr>
          <w:rFonts w:ascii="Times New Roman" w:eastAsia="仿宋" w:cs="Times New Roman" w:hAnsi="Times New Roman"/>
          <w:color w:val="auto"/>
          <w:kern w:val="2"/>
          <w:sz w:val="32"/>
          <w:szCs w:val="32"/>
          <w:lang w:val="en-US" w:eastAsia="zh-CN" w:bidi="ar-SA"/>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rPr>
          <w:rFonts w:ascii="Times New Roman" w:eastAsia="黑体" w:hAnsi="Times New Roman" w:hint="eastAsia"/>
          <w:color w:val="auto"/>
          <w:sz w:val="44"/>
          <w:szCs w:val="44"/>
          <w:highlight w:val="auto"/>
        </w:rPr>
      </w:pPr>
    </w:p>
    <w:p>
      <w:pPr>
        <w:spacing w:line="600" w:lineRule="exact"/>
        <w:jc w:val="center"/>
        <w:rPr>
          <w:rFonts w:ascii="Times New Roman" w:eastAsia="黑体" w:hAnsi="Times New Roman" w:hint="eastAsia"/>
          <w:color w:val="auto"/>
          <w:sz w:val="44"/>
          <w:szCs w:val="44"/>
          <w:highlight w:val="auto"/>
        </w:rPr>
      </w:pPr>
    </w:p>
    <w:p>
      <w:pPr>
        <w:spacing w:line="600" w:lineRule="exact"/>
        <w:jc w:val="center"/>
        <w:rPr>
          <w:rFonts w:ascii="Times New Roman" w:eastAsia="黑体" w:hAnsi="Times New Roman" w:hint="eastAsia"/>
          <w:color w:val="auto"/>
          <w:sz w:val="44"/>
          <w:szCs w:val="44"/>
          <w:highlight w:val="auto"/>
        </w:rPr>
      </w:pPr>
    </w:p>
    <w:p>
      <w:pPr>
        <w:spacing w:line="600" w:lineRule="exact"/>
        <w:jc w:val="center"/>
        <w:rPr>
          <w:rFonts w:ascii="Times New Roman" w:eastAsia="黑体" w:hAnsi="Times New Roman" w:hint="eastAsia"/>
          <w:color w:val="auto"/>
          <w:sz w:val="44"/>
          <w:szCs w:val="44"/>
          <w:highlight w:val="auto"/>
        </w:rPr>
      </w:pPr>
    </w:p>
    <w:p>
      <w:pPr>
        <w:spacing w:line="600" w:lineRule="exact"/>
        <w:jc w:val="center"/>
        <w:rPr>
          <w:rFonts w:ascii="Times New Roman" w:eastAsia="黑体" w:hAnsi="Times New Roman" w:hint="eastAsia"/>
          <w:color w:val="auto"/>
          <w:sz w:val="44"/>
          <w:szCs w:val="44"/>
          <w:highlight w:val="auto"/>
        </w:rPr>
      </w:pPr>
    </w:p>
    <w:p>
      <w:pPr>
        <w:spacing w:line="600" w:lineRule="exact"/>
        <w:jc w:val="center"/>
        <w:rPr>
          <w:rFonts w:ascii="Times New Roman" w:eastAsia="黑体" w:hAnsi="Times New Roman" w:hint="eastAsia"/>
          <w:color w:val="auto"/>
          <w:sz w:val="44"/>
          <w:szCs w:val="44"/>
          <w:highlight w:val="auto"/>
        </w:rPr>
      </w:pPr>
    </w:p>
    <w:p>
      <w:pPr>
        <w:spacing w:line="600" w:lineRule="exact"/>
        <w:jc w:val="center"/>
        <w:rPr>
          <w:rFonts w:ascii="Times New Roman" w:eastAsia="黑体" w:hAnsi="Times New Roman" w:hint="eastAsia"/>
          <w:color w:val="auto"/>
          <w:sz w:val="44"/>
          <w:szCs w:val="44"/>
          <w:highlight w:val="auto"/>
        </w:rPr>
      </w:pPr>
    </w:p>
    <w:p>
      <w:pPr>
        <w:spacing w:line="600" w:lineRule="exact"/>
        <w:jc w:val="center"/>
        <w:rPr>
          <w:rFonts w:ascii="Times New Roman" w:eastAsia="黑体" w:hAnsi="Times New Roman" w:hint="eastAsia"/>
          <w:color w:val="auto"/>
          <w:sz w:val="44"/>
          <w:szCs w:val="44"/>
          <w:highlight w:val="auto"/>
        </w:rPr>
      </w:pPr>
    </w:p>
    <w:p>
      <w:pPr>
        <w:spacing w:line="600" w:lineRule="exact"/>
        <w:jc w:val="center"/>
        <w:rPr>
          <w:rFonts w:ascii="Times New Roman" w:eastAsia="黑体" w:hAnsi="Times New Roman" w:hint="eastAsia"/>
          <w:color w:val="auto"/>
          <w:sz w:val="44"/>
          <w:szCs w:val="44"/>
          <w:highlight w:val="auto"/>
        </w:rPr>
      </w:pPr>
    </w:p>
    <w:p>
      <w:pPr>
        <w:spacing w:line="600" w:lineRule="exact"/>
        <w:jc w:val="center"/>
        <w:rPr>
          <w:rStyle w:val="1Char"/>
          <w:rFonts w:ascii="Times New Roman" w:eastAsia="黑体" w:hAnsi="Times New Roman" w:hint="eastAsia"/>
          <w:b w:val="0"/>
          <w:color w:val="auto"/>
          <w:lang w:eastAsia="zh-CN"/>
          <w:highlight w:val="auto"/>
        </w:rPr>
      </w:pPr>
      <w:r>
        <w:rPr>
          <w:rFonts w:ascii="Times New Roman" w:eastAsia="黑体" w:hAnsi="Times New Roman" w:hint="eastAsia"/>
          <w:color w:val="auto"/>
          <w:sz w:val="44"/>
          <w:szCs w:val="44"/>
          <w:highlight w:val="auto"/>
        </w:rPr>
        <w:t>第四部分</w:t>
      </w:r>
      <w:r>
        <w:rPr>
          <w:rFonts w:ascii="Times New Roman" w:eastAsia="黑体" w:hAnsi="Times New Roman" w:hint="eastAsia"/>
          <w:color w:val="auto"/>
          <w:sz w:val="44"/>
          <w:szCs w:val="44"/>
          <w:lang w:val="en-US" w:eastAsia="zh-CN"/>
          <w:highlight w:val="auto"/>
        </w:rPr>
        <w:t xml:space="preserve"> </w:t>
      </w:r>
      <w:r>
        <w:rPr>
          <w:rFonts w:ascii="Times New Roman" w:eastAsia="黑体" w:hAnsi="Times New Roman" w:hint="eastAsia"/>
          <w:color w:val="auto"/>
          <w:sz w:val="44"/>
          <w:szCs w:val="44"/>
          <w:highlight w:val="auto"/>
        </w:rPr>
        <w:t xml:space="preserve"> 附件</w:t>
      </w:r>
      <w:bookmarkEnd w:id="54"/>
    </w:p>
    <w:p>
      <w:pPr>
        <w:keepNext w:val="0"/>
        <w:keepLines w:val="0"/>
        <w:pageBreakBefore w:val="0"/>
        <w:widowControl w:val="0"/>
        <w:kinsoku/>
        <w:wordWrap/>
        <w:overflowPunct/>
        <w:topLinePunct w:val="0"/>
        <w:autoSpaceDE/>
        <w:autoSpaceDN/>
        <w:bidi w:val="0"/>
        <w:spacing w:line="572" w:lineRule="exact"/>
        <w:jc w:val="left"/>
        <w:textAlignment w:val="auto"/>
        <w:outlineLvl w:val="0"/>
        <w:rPr>
          <w:rFonts w:ascii="Times New Roman" w:eastAsia="黑体" w:cs="黑体" w:hAnsi="Times New Roman" w:hint="eastAsia"/>
          <w:color w:val="FF0000"/>
          <w:sz w:val="32"/>
          <w:szCs w:val="32"/>
          <w:highlight w:val="auto"/>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ascii="Times New Roman" w:eastAsia="仿宋_GB2312" w:cs="仿宋_GB2312" w:hAnsi="Times New Roman"/>
          <w:b w:val="0"/>
          <w:bCs w:val="0"/>
          <w:kern w:val="0"/>
          <w:position w:val="0"/>
          <w:sz w:val="32"/>
          <w:szCs w:val="32"/>
          <w:lang w:val="en-US" w:eastAsia="zh-CN" w:bidi="ar-SA"/>
          <w:highlight w:val="auto"/>
        </w:rPr>
      </w:pPr>
      <w:bookmarkStart w:id="56" w:name="_Toc15396618"/>
      <w:r>
        <w:rPr>
          <w:rFonts w:cs="Times New Roman" w:hint="eastAsia"/>
          <w:sz w:val="32"/>
          <w:szCs w:val="32"/>
          <w:lang w:val="en-US" w:eastAsia="zh-CN" w:bidi="ar-SA"/>
          <w:highlight w:val="auto"/>
        </w:rPr>
        <w:t>部门</w:t>
      </w:r>
      <w:r>
        <w:rPr>
          <w:rFonts w:ascii="Times New Roman" w:cs="Times New Roman" w:hAnsi="Times New Roman" w:hint="eastAsia"/>
          <w:sz w:val="32"/>
          <w:szCs w:val="32"/>
          <w:lang w:val="en-US" w:eastAsia="zh-CN" w:bidi="ar-SA"/>
          <w:highlight w:val="auto"/>
        </w:rPr>
        <w:t>预算项目支出绩效自评表（2024年度）</w:t>
      </w:r>
      <w:r>
        <w:rPr>
          <w:rFonts w:cs="Times New Roman" w:hint="eastAsia"/>
          <w:sz w:val="32"/>
          <w:szCs w:val="32"/>
          <w:lang w:val="en-US" w:eastAsia="zh-CN" w:bidi="ar-SA"/>
          <w:highlight w:val="auto"/>
        </w:rPr>
        <w:t>见附件3。</w:t>
      </w:r>
    </w:p>
    <w:p>
      <w:pPr>
        <w:widowControl/>
        <w:jc w:val="center"/>
        <w:rPr>
          <w:rFonts w:ascii="Times New Roman" w:eastAsia="黑体" w:hAnsi="Times New Roman" w:hint="eastAsia"/>
          <w:color w:val="auto"/>
          <w:sz w:val="44"/>
          <w:szCs w:val="44"/>
          <w:highlight w:val="auto"/>
        </w:rPr>
      </w:pPr>
    </w:p>
    <w:p>
      <w:pPr>
        <w:widowControl/>
        <w:jc w:val="center"/>
        <w:rPr>
          <w:rFonts w:ascii="Times New Roman" w:eastAsia="黑体" w:hAnsi="Times New Roman" w:hint="eastAsia"/>
          <w:color w:val="auto"/>
          <w:sz w:val="44"/>
          <w:szCs w:val="44"/>
          <w:highlight w:val="auto"/>
        </w:rPr>
      </w:pPr>
    </w:p>
    <w:p>
      <w:pPr>
        <w:widowControl/>
        <w:jc w:val="center"/>
        <w:rPr>
          <w:rFonts w:ascii="Times New Roman" w:eastAsia="黑体" w:hAnsi="Times New Roman" w:hint="eastAsia"/>
          <w:color w:val="auto"/>
          <w:sz w:val="44"/>
          <w:szCs w:val="44"/>
          <w:highlight w:val="auto"/>
        </w:rPr>
      </w:pPr>
    </w:p>
    <w:p>
      <w:pPr>
        <w:widowControl/>
        <w:jc w:val="center"/>
        <w:rPr>
          <w:rFonts w:ascii="Times New Roman" w:eastAsia="黑体" w:hAnsi="Times New Roman" w:hint="eastAsia"/>
          <w:color w:val="auto"/>
          <w:sz w:val="44"/>
          <w:szCs w:val="44"/>
          <w:highlight w:val="auto"/>
        </w:rPr>
      </w:pPr>
    </w:p>
    <w:p>
      <w:pPr>
        <w:widowControl/>
        <w:jc w:val="center"/>
        <w:rPr>
          <w:rFonts w:ascii="Times New Roman" w:eastAsia="仿宋" w:hAnsi="Times New Roman" w:hint="eastAsia"/>
          <w:b w:val="0"/>
          <w:color w:val="auto"/>
          <w:highlight w:val="auto"/>
        </w:rPr>
      </w:pPr>
      <w:r>
        <w:rPr>
          <w:rFonts w:ascii="Times New Roman" w:eastAsia="黑体" w:hAnsi="Times New Roman" w:hint="eastAsia"/>
          <w:color w:val="auto"/>
          <w:sz w:val="44"/>
          <w:szCs w:val="44"/>
          <w:highlight w:val="auto"/>
        </w:rPr>
        <w:t>第</w:t>
      </w:r>
      <w:r>
        <w:rPr>
          <w:rStyle w:val="1Char"/>
          <w:rFonts w:ascii="Times New Roman" w:eastAsia="黑体" w:hAnsi="Times New Roman" w:hint="eastAsia"/>
          <w:b w:val="0"/>
          <w:color w:val="auto"/>
          <w:highlight w:val="auto"/>
        </w:rPr>
        <w:t>五部分 附表</w:t>
      </w:r>
      <w:bookmarkStart w:id="57" w:name="_Toc15396619"/>
      <w:bookmarkEnd w:id="55"/>
      <w:bookmarkEnd w:id="56"/>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一、收入支出决算总表</w:t>
      </w:r>
      <w:bookmarkEnd w:id="57"/>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58" w:name="_Toc15396620"/>
      <w:r>
        <w:rPr>
          <w:rFonts w:ascii="Times New Roman" w:eastAsia="仿宋_GB2312" w:cs="仿宋_GB2312" w:hAnsi="Times New Roman" w:hint="eastAsia"/>
          <w:color w:val="auto"/>
          <w:sz w:val="32"/>
          <w:szCs w:val="32"/>
          <w:highlight w:val="auto"/>
        </w:rPr>
        <w:t>二、收入决算表</w:t>
      </w:r>
      <w:bookmarkEnd w:id="58"/>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59" w:name="_Toc15396621"/>
      <w:r>
        <w:rPr>
          <w:rFonts w:ascii="Times New Roman" w:eastAsia="仿宋_GB2312" w:cs="仿宋_GB2312" w:hAnsi="Times New Roman" w:hint="eastAsia"/>
          <w:color w:val="auto"/>
          <w:sz w:val="32"/>
          <w:szCs w:val="32"/>
          <w:highlight w:val="auto"/>
        </w:rPr>
        <w:t>三、支出决算表</w:t>
      </w:r>
      <w:bookmarkEnd w:id="59"/>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60" w:name="_Toc15396622"/>
      <w:r>
        <w:rPr>
          <w:rFonts w:ascii="Times New Roman" w:eastAsia="仿宋_GB2312" w:cs="仿宋_GB2312" w:hAnsi="Times New Roman" w:hint="eastAsia"/>
          <w:color w:val="auto"/>
          <w:sz w:val="32"/>
          <w:szCs w:val="32"/>
          <w:highlight w:val="auto"/>
        </w:rPr>
        <w:t>四、财政拨款收入支出决算总表</w:t>
      </w:r>
      <w:bookmarkEnd w:id="60"/>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61" w:name="_Toc15396623"/>
      <w:r>
        <w:rPr>
          <w:rFonts w:ascii="Times New Roman" w:eastAsia="仿宋_GB2312" w:cs="仿宋_GB2312" w:hAnsi="Times New Roman" w:hint="eastAsia"/>
          <w:color w:val="auto"/>
          <w:sz w:val="32"/>
          <w:szCs w:val="32"/>
          <w:highlight w:val="auto"/>
        </w:rPr>
        <w:t>五、财政拨款支出决算明细表</w:t>
      </w:r>
      <w:bookmarkStart w:id="62" w:name="_Toc15396624"/>
      <w:bookmarkEnd w:id="61"/>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六、一般公共预算财政拨款支出决算表</w:t>
      </w:r>
      <w:bookmarkEnd w:id="62"/>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63" w:name="_Toc15396625"/>
      <w:r>
        <w:rPr>
          <w:rFonts w:ascii="Times New Roman" w:eastAsia="仿宋_GB2312" w:cs="仿宋_GB2312" w:hAnsi="Times New Roman" w:hint="eastAsia"/>
          <w:color w:val="auto"/>
          <w:sz w:val="32"/>
          <w:szCs w:val="32"/>
          <w:highlight w:val="auto"/>
        </w:rPr>
        <w:t>七、一般公共预算财政拨款支出决算明细表</w:t>
      </w:r>
      <w:bookmarkEnd w:id="63"/>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64" w:name="_Toc15396626"/>
      <w:r>
        <w:rPr>
          <w:rFonts w:ascii="Times New Roman" w:eastAsia="仿宋_GB2312" w:cs="仿宋_GB2312" w:hAnsi="Times New Roman" w:hint="eastAsia"/>
          <w:color w:val="auto"/>
          <w:sz w:val="32"/>
          <w:szCs w:val="32"/>
          <w:highlight w:val="auto"/>
        </w:rPr>
        <w:t>八、一般公共预算财政拨款基本支出决算表</w:t>
      </w:r>
      <w:bookmarkEnd w:id="64"/>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65" w:name="_Toc15396627"/>
      <w:r>
        <w:rPr>
          <w:rFonts w:ascii="Times New Roman" w:eastAsia="仿宋_GB2312" w:cs="仿宋_GB2312" w:hAnsi="Times New Roman" w:hint="eastAsia"/>
          <w:color w:val="auto"/>
          <w:sz w:val="32"/>
          <w:szCs w:val="32"/>
          <w:highlight w:val="auto"/>
        </w:rPr>
        <w:t>九、一般公共预算财政拨款项目支出决算表</w:t>
      </w:r>
      <w:bookmarkEnd w:id="65"/>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66" w:name="_Toc15396628"/>
      <w:r>
        <w:rPr>
          <w:rFonts w:ascii="Times New Roman" w:eastAsia="仿宋_GB2312" w:cs="仿宋_GB2312" w:hAnsi="Times New Roman" w:hint="eastAsia"/>
          <w:color w:val="auto"/>
          <w:sz w:val="32"/>
          <w:szCs w:val="32"/>
          <w:highlight w:val="auto"/>
        </w:rPr>
        <w:t>十、</w:t>
      </w:r>
      <w:bookmarkEnd w:id="66"/>
      <w:r>
        <w:rPr>
          <w:rFonts w:ascii="Times New Roman" w:eastAsia="仿宋_GB2312" w:cs="仿宋_GB2312" w:hAnsi="Times New Roman" w:hint="eastAsia"/>
          <w:color w:val="auto"/>
          <w:sz w:val="32"/>
          <w:szCs w:val="32"/>
          <w:highlight w:val="auto"/>
        </w:rPr>
        <w:t>政府性基金预算财政拨款收入支出决算表</w:t>
      </w:r>
      <w:r>
        <w:rPr>
          <w:rFonts w:ascii="Times New Roman" w:eastAsia="宋体" w:cs="Times New Roman" w:hAnsi="Times New Roman" w:hint="eastAsia"/>
          <w:b w:val="0"/>
          <w:bCs w:val="0"/>
          <w:color w:val="auto"/>
          <w:kern w:val="2"/>
          <w:sz w:val="32"/>
          <w:szCs w:val="32"/>
          <w:lang w:val="en-US" w:eastAsia="zh-CN" w:bidi="ar-SA"/>
          <w:highlight w:val="auto"/>
        </w:rPr>
        <w:t>（此表无数据）</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67" w:name="_Toc15396629"/>
      <w:r>
        <w:rPr>
          <w:rFonts w:ascii="Times New Roman" w:eastAsia="仿宋_GB2312" w:cs="仿宋_GB2312" w:hAnsi="Times New Roman" w:hint="eastAsia"/>
          <w:color w:val="auto"/>
          <w:sz w:val="32"/>
          <w:szCs w:val="32"/>
          <w:highlight w:val="auto"/>
        </w:rPr>
        <w:t>十一、</w:t>
      </w:r>
      <w:bookmarkEnd w:id="67"/>
      <w:r>
        <w:rPr>
          <w:rFonts w:ascii="Times New Roman" w:eastAsia="仿宋_GB2312" w:cs="仿宋_GB2312" w:hAnsi="Times New Roman" w:hint="eastAsia"/>
          <w:color w:val="auto"/>
          <w:sz w:val="32"/>
          <w:szCs w:val="32"/>
          <w:highlight w:val="auto"/>
        </w:rPr>
        <w:t>国有资本经营预算</w:t>
      </w:r>
      <w:r>
        <w:rPr>
          <w:rFonts w:ascii="Times New Roman" w:eastAsia="仿宋_GB2312" w:cs="仿宋_GB2312" w:hAnsi="Times New Roman" w:hint="eastAsia"/>
          <w:color w:val="auto"/>
          <w:sz w:val="32"/>
          <w:szCs w:val="32"/>
          <w:lang w:eastAsia="zh-CN"/>
          <w:highlight w:val="auto"/>
        </w:rPr>
        <w:t>财政拨款收入</w:t>
      </w:r>
      <w:r>
        <w:rPr>
          <w:rFonts w:ascii="Times New Roman" w:eastAsia="仿宋_GB2312" w:cs="仿宋_GB2312" w:hAnsi="Times New Roman" w:hint="eastAsia"/>
          <w:color w:val="auto"/>
          <w:sz w:val="32"/>
          <w:szCs w:val="32"/>
          <w:highlight w:val="auto"/>
        </w:rPr>
        <w:t>支出决算表</w:t>
      </w:r>
      <w:r>
        <w:rPr>
          <w:rFonts w:ascii="Times New Roman" w:eastAsia="宋体" w:cs="Times New Roman" w:hAnsi="Times New Roman" w:hint="eastAsia"/>
          <w:b w:val="0"/>
          <w:bCs w:val="0"/>
          <w:color w:val="auto"/>
          <w:kern w:val="2"/>
          <w:sz w:val="32"/>
          <w:szCs w:val="32"/>
          <w:lang w:val="en-US" w:eastAsia="zh-CN" w:bidi="ar-SA"/>
          <w:highlight w:val="auto"/>
        </w:rPr>
        <w:t>（此表无数据）</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68" w:name="_Toc15396630"/>
      <w:r>
        <w:rPr>
          <w:rFonts w:ascii="Times New Roman" w:eastAsia="仿宋_GB2312" w:cs="仿宋_GB2312" w:hAnsi="Times New Roman" w:hint="eastAsia"/>
          <w:color w:val="auto"/>
          <w:sz w:val="32"/>
          <w:szCs w:val="32"/>
          <w:highlight w:val="auto"/>
        </w:rPr>
        <w:t>十二、</w:t>
      </w:r>
      <w:bookmarkEnd w:id="68"/>
      <w:r>
        <w:rPr>
          <w:rFonts w:ascii="Times New Roman" w:eastAsia="仿宋_GB2312" w:cs="仿宋_GB2312" w:hAnsi="Times New Roman" w:hint="eastAsia"/>
          <w:color w:val="auto"/>
          <w:sz w:val="32"/>
          <w:szCs w:val="32"/>
          <w:lang w:eastAsia="zh-CN"/>
          <w:highlight w:val="auto"/>
        </w:rPr>
        <w:t>国有资本经营预算财政拨款支出决算表</w:t>
      </w:r>
      <w:r>
        <w:rPr>
          <w:rFonts w:ascii="Times New Roman" w:eastAsia="宋体" w:cs="Times New Roman" w:hAnsi="Times New Roman" w:hint="eastAsia"/>
          <w:b w:val="0"/>
          <w:bCs w:val="0"/>
          <w:color w:val="auto"/>
          <w:kern w:val="2"/>
          <w:sz w:val="32"/>
          <w:szCs w:val="32"/>
          <w:lang w:val="en-US" w:eastAsia="zh-CN" w:bidi="ar-SA"/>
          <w:highlight w:val="auto"/>
        </w:rPr>
        <w:t>（此表无数据）</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lang w:eastAsia="zh-CN"/>
          <w:highlight w:val="auto"/>
        </w:rPr>
      </w:pPr>
      <w:bookmarkStart w:id="69" w:name="_Toc15396631"/>
      <w:r>
        <w:rPr>
          <w:rFonts w:ascii="Times New Roman" w:eastAsia="仿宋_GB2312" w:cs="仿宋_GB2312" w:hAnsi="Times New Roman" w:hint="eastAsia"/>
          <w:color w:val="auto"/>
          <w:sz w:val="32"/>
          <w:szCs w:val="32"/>
          <w:highlight w:val="auto"/>
        </w:rPr>
        <w:t>十三、</w:t>
      </w:r>
      <w:bookmarkEnd w:id="69"/>
      <w:r>
        <w:rPr>
          <w:rFonts w:ascii="Times New Roman" w:eastAsia="仿宋_GB2312" w:cs="仿宋_GB2312" w:hAnsi="Times New Roman" w:hint="eastAsia"/>
          <w:color w:val="auto"/>
          <w:sz w:val="32"/>
          <w:szCs w:val="32"/>
          <w:lang w:eastAsia="zh-CN"/>
          <w:highlight w:val="auto"/>
        </w:rPr>
        <w:t>财政拨款“三公”经费支出决算表</w:t>
      </w:r>
      <w:r>
        <w:rPr>
          <w:rFonts w:ascii="Times New Roman" w:eastAsia="宋体" w:cs="Times New Roman" w:hAnsi="Times New Roman" w:hint="eastAsia"/>
          <w:b w:val="0"/>
          <w:bCs w:val="0"/>
          <w:color w:val="auto"/>
          <w:kern w:val="2"/>
          <w:sz w:val="32"/>
          <w:szCs w:val="32"/>
          <w:lang w:val="en-US" w:eastAsia="zh-CN" w:bidi="ar-SA"/>
          <w:highlight w:val="auto"/>
        </w:rPr>
        <w:t>（此表无数据）</w:t>
      </w:r>
    </w:p>
    <w:p>
      <w:pPr>
        <w:rPr>
          <w:rFonts w:ascii="Times New Roman" w:hAnsi="Times New Roman" w:hint="eastAsia"/>
          <w:lang w:eastAsia="zh-CN"/>
        </w:rPr>
      </w:pPr>
    </w:p>
    <w:sectPr>
      <w:footerReference w:type="default" r:id="rId4"/>
      <w:footerReference w:type="first" r:id="rId5"/>
      <w:pgSz w:w="11906" w:h="16838"/>
      <w:pgMar w:top="1440" w:right="1800" w:bottom="1440" w:left="1800" w:header="851" w:footer="992" w:gutter="0"/>
      <w:pgNumType w:fmt="numberInDash" w:start="2"/>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1"/>
    <w:family w:val="auto"/>
    <w:pitch w:val="variable"/>
    <w:sig w:usb0="E0002EFF" w:usb1="C000785B" w:usb2="00000009" w:usb3="00000000" w:csb0="400001FF" w:csb1="FFFF0000"/>
  </w:font>
  <w:font w:name="方正小标宋简体">
    <w:panose1 w:val="02000000000000000000"/>
    <w:charset w:val="86"/>
    <w:family w:val="script"/>
    <w:pitch w:val="variable"/>
    <w:sig w:usb0="A00002BF" w:usb1="184F6CFA" w:usb2="00000012" w:usb3="00000000" w:csb0="00040001" w:csb1="00000000"/>
  </w:font>
  <w:font w:name="黑体">
    <w:altName w:val="方正黑体_GBK"/>
    <w:panose1 w:val="02010609060101010101"/>
    <w:charset w:val="86"/>
    <w:family w:val="auto"/>
    <w:pitch w:val="variable"/>
    <w:sig w:usb0="800002BF" w:usb1="38CF7CFA" w:usb2="00000016" w:usb3="00000000" w:csb0="00040001" w:csb1="00000000"/>
  </w:font>
  <w:font w:name="Arial">
    <w:altName w:val="Times New Roman"/>
    <w:panose1 w:val="020B0604020202020204"/>
    <w:charset w:val="01"/>
    <w:family w:val="swiss"/>
    <w:pitch w:val="variable"/>
    <w:sig w:usb0="E0002AFF" w:usb1="C0007843" w:usb2="00000009" w:usb3="00000000" w:csb0="400001FF" w:csb1="FFFF0000"/>
  </w:font>
  <w:font w:name="仿宋_GB2312">
    <w:altName w:val="宋体"/>
    <w:panose1 w:val="02010609030101010101"/>
    <w:charset w:val="86"/>
    <w:family w:val="modern"/>
    <w:pitch w:val="variable"/>
    <w:sig w:usb0="00000000" w:usb1="00000000" w:usb2="00000000" w:usb3="00000000" w:csb0="00040000" w:csb1="00000000"/>
  </w:font>
  <w:font w:name="仿宋">
    <w:altName w:val="宋体"/>
    <w:panose1 w:val="02010609060101010101"/>
    <w:charset w:val="86"/>
    <w:family w:val="modern"/>
    <w:pitch w:val="variable"/>
    <w:sig w:usb0="00000000" w:usb1="00000000" w:usb2="00000016" w:usb3="00000000" w:csb0="00040001" w:csb1="00000000"/>
  </w:font>
  <w:font w:name="宋体">
    <w:panose1 w:val="02010600030101010101"/>
    <w:charset w:val="86"/>
    <w:family w:val="auto"/>
    <w:pitch w:val="variable"/>
    <w:sig w:usb0="00000003" w:usb1="288F0000" w:usb2="00000006" w:usb3="00000000" w:csb0="00040001" w:csb1="00000000"/>
  </w:font>
  <w:font w:name="楷体_GB2312">
    <w:altName w:val="楷体"/>
    <w:panose1 w:val="02010609030101010101"/>
    <w:charset w:val="86"/>
    <w:family w:val="auto"/>
    <w:pitch w:val="variable"/>
    <w:sig w:usb0="00000000" w:usb1="00000000" w:usb2="00000000" w:usb3="00000000" w:csb0="00040000" w:csb1="00000000"/>
  </w:font>
  <w:font w:name="Cambria">
    <w:altName w:val="Noto Sans Syriac Eastern"/>
    <w:panose1 w:val="02040503050406030204"/>
    <w:charset w:val="00"/>
    <w:family w:val="roman"/>
    <w:pitch w:val="variable"/>
    <w:sig w:usb0="00000000" w:usb1="00000000" w:usb2="02000000" w:usb3="00000000" w:csb0="2000019F" w:csb1="00000000"/>
  </w:font>
  <w:font w:name="Calibri">
    <w:altName w:val="DejaVu Sans"/>
    <w:panose1 w:val="020F0502020204030204"/>
    <w:charset w:val="00"/>
    <w:family w:val="swiss"/>
    <w:pitch w:val="variable"/>
    <w:sig w:usb0="00000000" w:usb1="00000000" w:usb2="00000001" w:usb3="00000000" w:csb0="0000019F" w:csb1="00000000"/>
  </w:font>
  <w:font w:name="??">
    <w:altName w:val="华文中宋"/>
    <w:panose1 w:val="00000000000000000000"/>
    <w:charset w:val="00"/>
    <w:family w:val="roman"/>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jc w:val="center"/>
    </w:pPr>
  </w:p>
  <w:p>
    <w:pPr>
      <w:pStyle w:val="21"/>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jc w:val="center"/>
    </w:pPr>
    <w:r>
      <w:rPr>
        <w:sz w:val="18"/>
      </w:rPr>
      <mc:AlternateContent>
        <mc:Choice Requires="wps">
          <w:drawing>
            <wp:anchor distT="0" distB="0" distL="114298" distR="114298" simplePos="0" relativeHeight="24" behindDoc="0" locked="0" layoutInCell="1" hidden="0" allowOverlap="1">
              <wp:simplePos x="0" y="0"/>
              <wp:positionH relativeFrom="margin">
                <wp:align>right</wp:align>
              </wp:positionH>
              <wp:positionV relativeFrom="paragraph">
                <wp:posOffset>0</wp:posOffset>
              </wp:positionV>
              <wp:extent cx="179565" cy="139560"/>
              <wp:effectExtent l="0" t="0" r="0" b="0"/>
              <wp:wrapNone/>
              <wp:docPr id="1" name="文本框 10"/>
              <wp:cNvGraphicFramePr>
                <a:graphicFrameLocks noChangeAspect="0"/>
              </wp:cNvGraphicFramePr>
              <a:graphic>
                <a:graphicData uri="http://schemas.microsoft.com/office/word/2010/wordprocessingShape">
                  <wps:wsp>
                    <wps:cNvSpPr/>
                    <wps:spPr>
                      <a:xfrm rot="0">
                        <a:off x="0" y="0"/>
                        <a:ext cx="179565" cy="139560"/>
                      </a:xfrm>
                      <a:prstGeom prst="rect"/>
                      <a:noFill/>
                      <a:ln w="6350" cmpd="sng" cap="flat">
                        <a:noFill/>
                        <a:prstDash val="solid"/>
                        <a:round/>
                      </a:ln>
                    </wps:spPr>
                    <wps:txbx id="2">
                      <w:txbxContent>
                        <w:p>
                          <w:pPr>
                            <w:pStyle w:val="21"/>
                            <w:tabs>
                              <w:tab w:val="center" w:pos="4153"/>
                              <w:tab w:val="right" w:pos="8306"/>
                            </w:tabs>
                          </w:pPr>
                          <w:r>
                            <w:fldChar w:fldCharType="begin"/>
                          </w:r>
                          <w:r>
                            <w:instrText xml:space="preserve"> PAGE  \* MERGEFORMAT </w:instrText>
                          </w:r>
                          <w:r>
                            <w:fldChar w:fldCharType="separate"/>
                          </w:r>
                          <w:r>
                            <w:t>- 2 -</w:t>
                          </w:r>
                          <w:r>
                            <w:fldChar w:fldCharType="end"/>
                          </w:r>
                        </w:p>
                      </w:txbxContent>
                    </wps:txbx>
                    <wps:bodyPr vert="horz" wrap="none" lIns="0" tIns="0" rIns="0" bIns="0" anchor="t" anchorCtr="0" upright="0">
                      <a:spAutoFit/>
                    </wps:bodyPr>
                  </wps:wsp>
                </a:graphicData>
              </a:graphic>
            </wp:anchor>
          </w:drawing>
        </mc:Choice>
        <mc:Fallback>
          <w:pict>
            <v:shape type="#_x0000_t202" id="文本框 10 3" o:spid="_x0000_s3" filled="f" stroked="f" strokeweight="0.5pt" style="position:absolute;margin-left:0.0pt;margin-top:0.0pt;width:14.139006pt;height:10.988999pt;z-index:24;mso-position-horizontal:right;mso-position-horizontal-relative:margin;mso-position-vertical:absolute;mso-wrap-distance-left:8.999863pt;mso-wrap-distance-right:8.999863pt;mso-wrap-style:none;">
              <v:stroke color="#000000"/>
              <v:textbox id="855" inset="0mm,0mm,0mm,0mm" o:insetmode="custom" style="layout-flow:horizontal;v-text-anchor:top;mso-fit-shape-to-text:t;">
                <w:txbxContent>
                  <w:p>
                    <w:pPr>
                      <w:pStyle w:val="21"/>
                      <w:tabs>
                        <w:tab w:val="center" w:pos="4153"/>
                        <w:tab w:val="right" w:pos="8306"/>
                      </w:tabs>
                    </w:pPr>
                    <w:r>
                      <w:fldChar w:fldCharType="begin"/>
                    </w:r>
                    <w:r>
                      <w:instrText xml:space="preserve"> PAGE  \* MERGEFORMAT </w:instrText>
                    </w:r>
                    <w:r>
                      <w:fldChar w:fldCharType="separate"/>
                    </w:r>
                    <w:r>
                      <w:t>- 2 -</w:t>
                    </w:r>
                    <w:r>
                      <w:fldChar w:fldCharType="end"/>
                    </w:r>
                  </w:p>
                </w:txbxContent>
              </v:textbox>
            </v:shape>
          </w:pict>
        </mc:Fallback>
      </mc:AlternateContent>
    </w:r>
  </w:p>
  <w:p>
    <w:pPr>
      <w:pStyle w:val="21"/>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pPr>
    <w:r>
      <w:rPr>
        <w:sz w:val="18"/>
      </w:rPr>
      <mc:AlternateContent>
        <mc:Choice Requires="wps">
          <w:drawing>
            <wp:anchor distT="0" distB="0" distL="114298" distR="114298" simplePos="0" relativeHeight="30" behindDoc="0" locked="0" layoutInCell="1" hidden="0" allowOverlap="1">
              <wp:simplePos x="0" y="0"/>
              <wp:positionH relativeFrom="margin">
                <wp:align>right</wp:align>
              </wp:positionH>
              <wp:positionV relativeFrom="paragraph">
                <wp:posOffset>0</wp:posOffset>
              </wp:positionV>
              <wp:extent cx="179565" cy="139560"/>
              <wp:effectExtent l="0" t="0" r="0" b="0"/>
              <wp:wrapNone/>
              <wp:docPr id="4" name="文本框 11"/>
              <wp:cNvGraphicFramePr>
                <a:graphicFrameLocks noChangeAspect="0"/>
              </wp:cNvGraphicFramePr>
              <a:graphic>
                <a:graphicData uri="http://schemas.microsoft.com/office/word/2010/wordprocessingShape">
                  <wps:wsp>
                    <wps:cNvSpPr/>
                    <wps:spPr>
                      <a:xfrm rot="0">
                        <a:off x="0" y="0"/>
                        <a:ext cx="179565" cy="139560"/>
                      </a:xfrm>
                      <a:prstGeom prst="rect"/>
                      <a:noFill/>
                      <a:ln w="6350" cmpd="sng" cap="flat">
                        <a:noFill/>
                        <a:prstDash val="solid"/>
                        <a:round/>
                      </a:ln>
                    </wps:spPr>
                    <wps:txbx id="5">
                      <w:txbxContent>
                        <w:p>
                          <w:pPr>
                            <w:pStyle w:val="21"/>
                            <w:tabs>
                              <w:tab w:val="center" w:pos="4153"/>
                              <w:tab w:val="right" w:pos="8306"/>
                            </w:tabs>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type="#_x0000_t202" id="文本框 11 6" o:spid="_x0000_s6" filled="f" stroked="f" strokeweight="0.5pt" style="position:absolute;margin-left:0.0pt;margin-top:0.0pt;width:14.139006pt;height:10.988999pt;z-index:30;mso-position-horizontal:right;mso-position-horizontal-relative:margin;mso-position-vertical:absolute;mso-wrap-distance-left:8.999863pt;mso-wrap-distance-right:8.999863pt;mso-wrap-style:none;">
              <v:stroke color="#000000"/>
              <v:textbox id="856" inset="0mm,0mm,0mm,0mm" o:insetmode="custom" style="layout-flow:horizontal;v-text-anchor:top;mso-fit-shape-to-text:t;">
                <w:txbxContent>
                  <w:p>
                    <w:pPr>
                      <w:pStyle w:val="21"/>
                      <w:tabs>
                        <w:tab w:val="center" w:pos="4153"/>
                        <w:tab w:val="right" w:pos="8306"/>
                      </w:tabs>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6">
    <w:name w:val="Body Text"/>
    <w:basedOn w:val="0"/>
    <w:pPr>
      <w:spacing w:beforeLines="30" w:before="30"/>
    </w:pPr>
    <w:rPr>
      <w:rFonts w:ascii="仿宋_GB2312" w:eastAsia="仿宋_GB2312"/>
      <w:kern w:val="0"/>
      <w:sz w:val="30"/>
    </w:rPr>
  </w:style>
  <w:style w:type="paragraph" w:styleId="17">
    <w:name w:val="Body Text Indent"/>
    <w:basedOn w:val="0"/>
    <w:next w:val="18"/>
    <w:pPr>
      <w:spacing w:after="120"/>
      <w:ind w:leftChars="200" w:left="200"/>
    </w:pPr>
    <w:rPr>
      <w:rFonts w:ascii="仿宋_GB2312" w:hAnsi="仿宋_GB2312"/>
      <w:szCs w:val="32"/>
    </w:rPr>
  </w:style>
  <w:style w:type="paragraph" w:styleId="18">
    <w:name w:val="Body Text First Indent 2"/>
    <w:basedOn w:val="17"/>
    <w:pPr>
      <w:ind w:firstLineChars="200" w:firstLine="200"/>
    </w:pPr>
  </w:style>
  <w:style w:type="paragraph" w:styleId="19">
    <w:name w:val="toc 3"/>
    <w:basedOn w:val="0"/>
    <w:next w:val="0"/>
    <w:pPr>
      <w:tabs>
        <w:tab w:val="right" w:leader="dot" w:pos="8296"/>
      </w:tabs>
      <w:ind w:leftChars="400" w:left="400"/>
    </w:pPr>
  </w:style>
  <w:style w:type="paragraph" w:styleId="20">
    <w:name w:val="Balloon Text"/>
    <w:basedOn w:val="0"/>
    <w:rPr>
      <w:sz w:val="18"/>
      <w:szCs w:val="18"/>
    </w:rPr>
  </w:style>
  <w:style w:type="paragraph" w:styleId="21">
    <w:name w:val="footer"/>
    <w:basedOn w:val="0"/>
    <w:pPr>
      <w:tabs>
        <w:tab w:val="center" w:pos="4153"/>
        <w:tab w:val="right" w:pos="8306"/>
      </w:tabs>
      <w:snapToGrid w:val="0"/>
      <w:jc w:val="left"/>
    </w:pPr>
    <w:rPr>
      <w:rFonts w:ascii="Calibri" w:hAnsi="Calibri"/>
      <w:kern w:val="0"/>
      <w:sz w:val="18"/>
      <w:szCs w:val="18"/>
    </w:rPr>
  </w:style>
  <w:style w:type="paragraph" w:styleId="22">
    <w:name w:val="toc 1"/>
    <w:basedOn w:val="0"/>
    <w:next w:val="0"/>
    <w:pPr>
      <w:tabs>
        <w:tab w:val="right" w:leader="dot" w:pos="8296"/>
      </w:tabs>
      <w:spacing w:before="93"/>
      <w:jc w:val="center"/>
    </w:pPr>
    <w:rPr>
      <w:rFonts w:ascii="仿宋" w:eastAsia="仿宋"/>
      <w:sz w:val="28"/>
      <w:szCs w:val="28"/>
    </w:rPr>
  </w:style>
  <w:style w:type="paragraph" w:styleId="23">
    <w:name w:val="footnote text"/>
    <w:basedOn w:val="0"/>
    <w:next w:val="18"/>
    <w:pPr>
      <w:snapToGrid w:val="0"/>
      <w:jc w:val="left"/>
    </w:pPr>
    <w:rPr>
      <w:sz w:val="18"/>
      <w:szCs w:val="18"/>
    </w:rPr>
  </w:style>
  <w:style w:type="paragraph" w:styleId="24">
    <w:name w:val="toc 2"/>
    <w:basedOn w:val="0"/>
    <w:next w:val="0"/>
    <w:pPr>
      <w:tabs>
        <w:tab w:val="right" w:leader="dot" w:pos="8296"/>
      </w:tabs>
      <w:ind w:leftChars="200" w:left="200"/>
    </w:pPr>
  </w:style>
  <w:style w:type="character" w:styleId="25">
    <w:name w:val="Strong"/>
    <w:basedOn w:val="10"/>
    <w:rPr>
      <w:b/>
    </w:rPr>
  </w:style>
  <w:style w:type="character" w:styleId="26">
    <w:name w:val="Hyperlink"/>
    <w:basedOn w:val="10"/>
    <w:rPr>
      <w:color w:val="0000FF"/>
      <w:u w:val="single"/>
    </w:rPr>
  </w:style>
  <w:style w:type="paragraph" w:customStyle="1" w:styleId="27">
    <w:name w:val="标题 5（有编号）（绿盟科技）"/>
    <w:next w:val="0"/>
    <w:pPr>
      <w:keepNext/>
      <w:keepLines/>
      <w:widowControl w:val="0"/>
      <w:spacing w:before="280" w:after="156" w:line="377" w:lineRule="auto"/>
      <w:jc w:val="left"/>
      <w:outlineLvl w:val="4"/>
    </w:pPr>
    <w:rPr>
      <w:rFonts w:ascii="Arial" w:eastAsia="黑体" w:cs="Times New Roman" w:hAnsi="Arial"/>
      <w:b/>
      <w:kern w:val="2"/>
      <w:sz w:val="24"/>
      <w:szCs w:val="28"/>
      <w:lang w:val="en-US" w:eastAsia="zh-CN" w:bidi="ar-SA"/>
    </w:rPr>
  </w:style>
  <w:style w:type="character" w:customStyle="1" w:styleId="28">
    <w:name w:val="Header Char"/>
    <w:basedOn w:val="10"/>
    <w:rPr>
      <w:rFonts w:ascii="Times New Roman" w:hAnsi="Times New Roman"/>
      <w:sz w:val="18"/>
      <w:szCs w:val="18"/>
    </w:rPr>
  </w:style>
  <w:style w:type="character" w:customStyle="1" w:styleId="29">
    <w:name w:val="Footer Char"/>
    <w:basedOn w:val="10"/>
    <w:rPr>
      <w:rFonts w:ascii="Times New Roman" w:hAnsi="Times New Roman"/>
      <w:sz w:val="18"/>
      <w:szCs w:val="18"/>
    </w:rPr>
  </w:style>
  <w:style w:type="character" w:customStyle="1" w:styleId="30">
    <w:name w:val="Body Text Char"/>
    <w:basedOn w:val="10"/>
    <w:rPr>
      <w:rFonts w:ascii="Times New Roman" w:hAnsi="Times New Roman"/>
      <w:szCs w:val="24"/>
    </w:rPr>
  </w:style>
  <w:style w:type="paragraph" w:customStyle="1" w:styleId="31">
    <w:name w:val="Default"/>
    <w:pPr>
      <w:widowControl w:val="0"/>
      <w:autoSpaceDE w:val="0"/>
      <w:autoSpaceDN w:val="0"/>
      <w:adjustRightInd w:val="0"/>
    </w:pPr>
    <w:rPr>
      <w:rFonts w:ascii="仿宋" w:eastAsia="仿宋" w:cs="仿宋"/>
      <w:color w:val="000000"/>
      <w:sz w:val="24"/>
      <w:szCs w:val="24"/>
      <w:lang w:val="en-US" w:eastAsia="zh-CN" w:bidi="ar-SA"/>
    </w:rPr>
  </w:style>
  <w:style w:type="paragraph" w:styleId="32">
    <w:name w:val="List Paragraph"/>
    <w:basedOn w:val="0"/>
    <w:pPr>
      <w:ind w:firstLineChars="200" w:firstLine="200"/>
    </w:pPr>
  </w:style>
  <w:style w:type="paragraph" w:customStyle="1" w:styleId="33">
    <w:name w:val="TOC 标题1"/>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4">
    <w:name w:val="TOC Heading"/>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5">
    <w:name w:val="四号正文"/>
    <w:basedOn w:val="0"/>
    <w:pPr>
      <w:spacing w:line="360" w:lineRule="auto"/>
    </w:pPr>
    <w:rPr>
      <w:rFonts w:ascii="??" w:eastAsia="宋体" w:hAnsi="??"/>
      <w:color w:val="000000"/>
      <w:kern w:val="0"/>
      <w:sz w:val="28"/>
      <w:szCs w:val="21"/>
      <w:lang w:val="zh-CN"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chart" Target="charts/chart1.xml"/><Relationship Id="rId7" Type="http://schemas.openxmlformats.org/officeDocument/2006/relationships/chart" Target="charts/chart2.xml"/><Relationship Id="rId8" Type="http://schemas.openxmlformats.org/officeDocument/2006/relationships/chart" Target="charts/chart3.xml"/><Relationship Id="rId9" Type="http://schemas.openxmlformats.org/officeDocument/2006/relationships/chart" Target="charts/chart4.xml"/><Relationship Id="rId10" Type="http://schemas.openxmlformats.org/officeDocument/2006/relationships/chart" Target="charts/chart5.xml"/><Relationship Id="rId11" Type="http://schemas.openxmlformats.org/officeDocument/2006/relationships/chart" Target="charts/chart6.xml"/><Relationship Id="rId12" Type="http://schemas.openxmlformats.org/officeDocument/2006/relationships/chart" Target="charts/chart7.xml"/><Relationship Id="rId13" Type="http://schemas.openxmlformats.org/officeDocument/2006/relationships/styles" Target="style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Times New Roman"/>
                <a:ea typeface="宋体"/>
                <a:cs typeface="Lucida Sans"/>
              </a:defRPr>
            </a:pPr>
            <a:r>
              <a:rPr lang="zh-CN" sz="1050" b="0" i="0" u="none" strike="noStrike" baseline="0">
                <a:solidFill>
                  <a:srgbClr val="595959"/>
                </a:solidFill>
                <a:latin typeface="Times New Roman"/>
                <a:ea typeface="宋体"/>
                <a:cs typeface="Lucida Sans"/>
              </a:rPr>
              <a:t>收支金额（</a:t>
            </a:r>
            <a:r>
              <a:rPr lang="zh-CN" sz="1050" b="0" i="0" u="none" strike="noStrike" baseline="0">
                <a:solidFill>
                  <a:srgbClr val="595959"/>
                </a:solidFill>
                <a:latin typeface="Times New Roman"/>
                <a:ea typeface="宋体"/>
                <a:cs typeface="Lucida Sans"/>
              </a:rPr>
              <a:t>万元）</a:t>
            </a:r>
          </a:p>
        </c:rich>
      </c:tx>
      <c:layout>
        <c:manualLayout>
          <c:xMode val="edge"/>
          <c:yMode val="edge"/>
          <c:x val="0.3210421"/>
          <c:y val="0.022162424"/>
        </c:manualLayout>
      </c:layout>
      <c:overlay val="0"/>
      <c:spPr>
        <a:noFill/>
        <a:ln>
          <a:noFill/>
        </a:ln>
      </c:spPr>
    </c:title>
    <c:autoTitleDeleted val="1"/>
    <c:plotArea>
      <c:layout>
        <c:manualLayout>
          <c:layoutTarget val="inner"/>
          <c:xMode val="edge"/>
          <c:yMode val="edge"/>
          <c:x val="0.09597982"/>
          <c:y val="0.118668534"/>
          <c:w val="0.896175"/>
          <c:h val="0.7927333"/>
        </c:manualLayout>
      </c:layout>
      <c:barChart>
        <c:barDir val="col"/>
        <c:grouping val="clustered"/>
        <c:varyColors val="0"/>
        <c:ser>
          <c:idx val="0"/>
          <c:order val="0"/>
          <c:tx>
            <c:strRef>
              <c:f>'Sheet1'!$B$1</c:f>
              <c:strCache>
                <c:ptCount val="1"/>
                <c:pt idx="0">
                  <c:v>收支金额</c:v>
                </c:pt>
              </c:strCache>
            </c:strRef>
          </c:tx>
          <c:spPr>
            <a:solidFill>
              <a:srgbClr val="4F81BD"/>
            </a:solidFill>
            <a:ln>
              <a:noFill/>
            </a:ln>
          </c:spPr>
          <c:invertIfNegative val="0"/>
          <c:dPt>
            <c:idx val="0"/>
            <c:invertIfNegative val="0"/>
            <c:bubble3D val="0"/>
            <c:spPr>
              <a:solidFill>
                <a:srgbClr val="C0504D"/>
              </a:solidFill>
              <a:ln>
                <a:noFill/>
              </a:ln>
            </c:spPr>
          </c:dPt>
          <c:dLbls>
            <c:showLegendKey val="0"/>
            <c:showVal val="0"/>
            <c:showCatName val="0"/>
            <c:showSerName val="0"/>
            <c:showPercent val="0"/>
            <c:showBubbleSize val="0"/>
            <c:showLeaderLines val="0"/>
          </c:dLbls>
          <c:cat>
            <c:strRef>
              <c:f>'Sheet1'!$A$2:$A$3</c:f>
              <c:strCache>
                <c:ptCount val="2"/>
                <c:pt idx="0">
                  <c:v>2023年</c:v>
                </c:pt>
                <c:pt idx="1">
                  <c:v>2024年</c:v>
                </c:pt>
              </c:strCache>
            </c:strRef>
          </c:cat>
          <c:val>
            <c:numRef>
              <c:f>'Sheet1'!$B$2:$B$3</c:f>
              <c:numCache>
                <c:formatCode>General</c:formatCode>
                <c:ptCount val="2"/>
                <c:pt idx="0">
                  <c:v>298.59</c:v>
                </c:pt>
                <c:pt idx="1">
                  <c:v>253.78</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min val="0.0"/>
          <c:max val="300.0"/>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majorUnit val="50.0"/>
        <c:crossAx val="0"/>
      </c:valAx>
      <c:spPr>
        <a:noFill/>
        <a:ln>
          <a:noFill/>
        </a:ln>
      </c:spPr>
    </c:plotArea>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595959"/>
                </a:solidFill>
                <a:latin typeface="Times New Roman"/>
                <a:ea typeface="宋体"/>
                <a:cs typeface="Lucida Sans"/>
              </a:defRPr>
            </a:pPr>
            <a:r>
              <a:rPr lang="zh-CN"/>
              <a:t>收入结构</a:t>
            </a:r>
          </a:p>
        </c:rich>
      </c:tx>
      <c:layout/>
      <c:overlay val="0"/>
      <c:spPr>
        <a:noFill/>
        <a:ln>
          <a:noFill/>
        </a:ln>
      </c:spPr>
    </c:title>
    <c:autoTitleDeleted val="1"/>
    <c:view3D>
      <c:rotX val="30"/>
      <c:hPercent val="100"/>
      <c:rotY val="0"/>
      <c:depthPercent val="100"/>
      <c:rAngAx val="0"/>
      <c:perspective val="0"/>
    </c:view3D>
    <c:floor>
      <c:thickness val="0"/>
      <c:spPr>
        <a:ln>
          <a:noFill/>
        </a:ln>
      </c:spPr>
    </c:floor>
    <c:sideWall>
      <c:thickness val="0"/>
      <c:spPr>
        <a:ln>
          <a:noFill/>
        </a:ln>
      </c:spPr>
    </c:sideWall>
    <c:backWall>
      <c:thickness val="0"/>
      <c:spPr>
        <a:noFill/>
        <a:ln>
          <a:noFill/>
        </a:ln>
      </c:spPr>
    </c:backWall>
    <c:plotArea>
      <c:layout>
        <c:manualLayout>
          <c:layoutTarget val="inner"/>
          <c:xMode val="edge"/>
          <c:yMode val="edge"/>
          <c:x val="0.04645048"/>
          <c:y val="0.116151206"/>
          <c:w val="0.9228747"/>
          <c:h val="0.45910653"/>
        </c:manualLayout>
      </c:layout>
      <c:pie3DChart>
        <c:varyColors val="1"/>
        <c:ser>
          <c:idx val="0"/>
          <c:order val="0"/>
          <c:tx>
            <c:strRef>
              <c:f>'Sheet1 (2)'!$B$1</c:f>
              <c:strCache>
                <c:ptCount val="1"/>
                <c:pt idx="0">
                  <c:v>收入结构</c:v>
                </c:pt>
              </c:strCache>
            </c:strRef>
          </c:tx>
          <c:spPr>
            <a:solidFill>
              <a:srgbClr val="4F81BD"/>
            </a:solidFill>
          </c:spPr>
          <c:dPt>
            <c:idx val="0"/>
            <c:bubble3D val="0"/>
            <c:spPr>
              <a:solidFill>
                <a:srgbClr val="4F81BD"/>
              </a:solidFill>
              <a:ln w="25400">
                <a:solidFill>
                  <a:srgbClr val="FFFFFF"/>
                </a:solidFill>
                <a:prstDash val="solid"/>
              </a:ln>
            </c:spPr>
          </c:dPt>
          <c:dPt>
            <c:idx val="1"/>
            <c:bubble3D val="0"/>
            <c:spPr>
              <a:solidFill>
                <a:srgbClr val="C0504D"/>
              </a:solidFill>
              <a:ln w="25400">
                <a:solidFill>
                  <a:srgbClr val="FFFFFF"/>
                </a:solidFill>
                <a:prstDash val="solid"/>
              </a:ln>
            </c:spPr>
          </c:dPt>
          <c:dPt>
            <c:idx val="2"/>
            <c:bubble3D val="0"/>
            <c:spPr>
              <a:solidFill>
                <a:srgbClr val="9BBB59"/>
              </a:solidFill>
              <a:ln w="25400">
                <a:solidFill>
                  <a:srgbClr val="FFFFFF"/>
                </a:solidFill>
                <a:prstDash val="solid"/>
              </a:ln>
            </c:spPr>
          </c:dPt>
          <c:dPt>
            <c:idx val="3"/>
            <c:bubble3D val="0"/>
            <c:spPr>
              <a:solidFill>
                <a:srgbClr val="8064A2"/>
              </a:solidFill>
              <a:ln w="25400">
                <a:solidFill>
                  <a:srgbClr val="FFFFFF"/>
                </a:solidFill>
                <a:prstDash val="solid"/>
              </a:ln>
            </c:spPr>
          </c:dPt>
          <c:dPt>
            <c:idx val="4"/>
            <c:bubble3D val="0"/>
            <c:spPr>
              <a:solidFill>
                <a:srgbClr val="4BACC6"/>
              </a:solidFill>
              <a:ln w="25400">
                <a:solidFill>
                  <a:srgbClr val="FFFFFF"/>
                </a:solidFill>
                <a:prstDash val="solid"/>
              </a:ln>
            </c:spPr>
          </c:dPt>
          <c:dPt>
            <c:idx val="5"/>
            <c:bubble3D val="0"/>
            <c:spPr>
              <a:solidFill>
                <a:srgbClr val="F79646"/>
              </a:solidFill>
              <a:ln w="25400">
                <a:solidFill>
                  <a:srgbClr val="FFFFFF"/>
                </a:solidFill>
                <a:prstDash val="solid"/>
              </a:ln>
            </c:spPr>
          </c:dPt>
          <c:dPt>
            <c:idx val="6"/>
            <c:bubble3D val="0"/>
            <c:spPr>
              <a:solidFill>
                <a:srgbClr val="2C4D75"/>
              </a:solidFill>
              <a:ln w="25400">
                <a:solidFill>
                  <a:srgbClr val="FFFFFF"/>
                </a:solidFill>
                <a:prstDash val="solid"/>
              </a:ln>
            </c:spPr>
          </c:dPt>
          <c:dPt>
            <c:idx val="7"/>
            <c:bubble3D val="0"/>
            <c:spPr>
              <a:solidFill>
                <a:srgbClr val="772C2A"/>
              </a:solidFill>
              <a:ln w="25400">
                <a:solidFill>
                  <a:srgbClr val="FFFFFF"/>
                </a:solidFill>
                <a:prstDash val="solid"/>
              </a:ln>
            </c:spPr>
          </c:dPt>
          <c:dLbls>
            <c:showLegendKey val="0"/>
            <c:showVal val="0"/>
            <c:showCatName val="0"/>
            <c:showSerName val="0"/>
            <c:showPercent val="0"/>
            <c:showBubbleSize val="0"/>
            <c:showLeaderLines val="0"/>
          </c:dLbls>
          <c:cat>
            <c:strRef>
              <c:f>'Sheet1 (2)'!$A$2:$A$9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 (2)'!$B$2:$B$9</c:f>
              <c:numCache>
                <c:formatCode>0%</c:formatCode>
                <c:ptCount val="8"/>
                <c:pt idx="0">
                  <c:v>1.0</c:v>
                </c:pt>
                <c:pt idx="1">
                  <c:v>0.0</c:v>
                </c:pt>
                <c:pt idx="2">
                  <c:v>0.0</c:v>
                </c:pt>
                <c:pt idx="3">
                  <c:v>0.0</c:v>
                </c:pt>
                <c:pt idx="4">
                  <c:v>0.0</c:v>
                </c:pt>
                <c:pt idx="5">
                  <c:v>0.0</c:v>
                </c:pt>
                <c:pt idx="6">
                  <c:v>0.0</c:v>
                </c:pt>
                <c:pt idx="7">
                  <c:v>0.0</c:v>
                </c:pt>
              </c:numCache>
            </c:numRef>
          </c:val>
        </c:ser>
        <c:gapDepth val="150"/>
        <c:firstSliceAng val="0"/>
      </c:pie3DChart>
      <c:spPr>
        <a:noFill/>
        <a:ln>
          <a:noFill/>
        </a:ln>
      </c:spPr>
    </c:plotArea>
    <c:legend>
      <c:legendPos val="b"/>
      <c:layout>
        <c:manualLayout>
          <c:xMode val="edge"/>
          <c:yMode val="edge"/>
          <c:x val="0.106047325"/>
          <c:y val="0.585567"/>
          <c:w val="0.7992989"/>
          <c:h val="0.36632302"/>
        </c:manualLayout>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595959"/>
                </a:solidFill>
                <a:latin typeface="Times New Roman"/>
                <a:ea typeface="宋体"/>
                <a:cs typeface="Lucida Sans"/>
              </a:defRPr>
            </a:pPr>
            <a:r>
              <a:rPr lang="zh-CN"/>
              <a:t>支出结构</a:t>
            </a:r>
          </a:p>
        </c:rich>
      </c:tx>
      <c:layout/>
      <c:overlay val="0"/>
      <c:spPr>
        <a:noFill/>
        <a:ln>
          <a:noFill/>
        </a:ln>
      </c:spPr>
    </c:title>
    <c:autoTitleDeleted val="1"/>
    <c:view3D>
      <c:rotX val="30"/>
      <c:hPercent val="100"/>
      <c:rotY val="0"/>
      <c:depthPercent val="100"/>
      <c:rAngAx val="0"/>
      <c:perspective val="0"/>
    </c:view3D>
    <c:floor>
      <c:thickness val="0"/>
      <c:spPr>
        <a:ln>
          <a:noFill/>
        </a:ln>
      </c:spPr>
    </c:floor>
    <c:sideWall>
      <c:thickness val="0"/>
      <c:spPr>
        <a:ln>
          <a:noFill/>
        </a:ln>
      </c:spPr>
    </c:sideWall>
    <c:backWall>
      <c:thickness val="0"/>
      <c:spPr>
        <a:noFill/>
        <a:ln>
          <a:noFill/>
        </a:ln>
      </c:spPr>
    </c:backWall>
    <c:plotArea>
      <c:layout>
        <c:manualLayout>
          <c:layoutTarget val="inner"/>
          <c:xMode val="edge"/>
          <c:yMode val="edge"/>
          <c:x val="0.0275"/>
          <c:y val="0.127"/>
          <c:w val="0.702"/>
          <c:h val="0.62616664"/>
        </c:manualLayout>
      </c:layout>
      <c:pie3DChart>
        <c:varyColors val="1"/>
        <c:ser>
          <c:idx val="0"/>
          <c:order val="0"/>
          <c:tx>
            <c:strRef>
              <c:f>'Sheet1 (3)'!$B$1</c:f>
              <c:strCache>
                <c:ptCount val="1"/>
                <c:pt idx="0">
                  <c:v>支出结构</c:v>
                </c:pt>
              </c:strCache>
            </c:strRef>
          </c:tx>
          <c:spPr>
            <a:solidFill>
              <a:srgbClr val="4F81BD"/>
            </a:solidFill>
          </c:spPr>
          <c:dPt>
            <c:idx val="0"/>
            <c:bubble3D val="0"/>
            <c:spPr>
              <a:solidFill>
                <a:srgbClr val="4F81BD"/>
              </a:solidFill>
              <a:ln w="25400">
                <a:solidFill>
                  <a:srgbClr val="FFFFFF"/>
                </a:solidFill>
                <a:prstDash val="solid"/>
              </a:ln>
            </c:spPr>
          </c:dPt>
          <c:dPt>
            <c:idx val="1"/>
            <c:bubble3D val="0"/>
            <c:spPr>
              <a:solidFill>
                <a:srgbClr val="C0504D"/>
              </a:solidFill>
              <a:ln w="25400">
                <a:solidFill>
                  <a:srgbClr val="FFFFFF"/>
                </a:solidFill>
                <a:prstDash val="solid"/>
              </a:ln>
            </c:spPr>
          </c:dPt>
          <c:dPt>
            <c:idx val="2"/>
            <c:bubble3D val="0"/>
            <c:spPr>
              <a:solidFill>
                <a:srgbClr val="9BBB59"/>
              </a:solidFill>
              <a:ln w="25400">
                <a:solidFill>
                  <a:srgbClr val="FFFFFF"/>
                </a:solidFill>
                <a:prstDash val="solid"/>
              </a:ln>
            </c:spPr>
          </c:dPt>
          <c:dPt>
            <c:idx val="3"/>
            <c:bubble3D val="0"/>
            <c:spPr>
              <a:solidFill>
                <a:srgbClr val="8064A2"/>
              </a:solidFill>
              <a:ln w="25400">
                <a:solidFill>
                  <a:srgbClr val="FFFFFF"/>
                </a:solidFill>
                <a:prstDash val="solid"/>
              </a:ln>
            </c:spPr>
          </c:dPt>
          <c:dPt>
            <c:idx val="4"/>
            <c:bubble3D val="0"/>
            <c:spPr>
              <a:solidFill>
                <a:srgbClr val="4BACC6"/>
              </a:solidFill>
              <a:ln w="25400">
                <a:solidFill>
                  <a:srgbClr val="FFFFFF"/>
                </a:solidFill>
                <a:prstDash val="solid"/>
              </a:ln>
            </c:spPr>
          </c:dPt>
          <c:dLbls>
            <c:showLegendKey val="0"/>
            <c:showVal val="0"/>
            <c:showCatName val="0"/>
            <c:showSerName val="0"/>
            <c:showPercent val="0"/>
            <c:showBubbleSize val="0"/>
            <c:showLeaderLines val="0"/>
          </c:dLbls>
          <c:cat>
            <c:strRef>
              <c:f>'Sheet1 (3)'!$A$2:$A$6</c:f>
              <c:strCache>
                <c:ptCount val="5"/>
                <c:pt idx="0">
                  <c:v>基本支出</c:v>
                </c:pt>
                <c:pt idx="1">
                  <c:v>项目支出</c:v>
                </c:pt>
                <c:pt idx="2">
                  <c:v>上缴上级支出</c:v>
                </c:pt>
                <c:pt idx="3">
                  <c:v>经营支出</c:v>
                </c:pt>
                <c:pt idx="4">
                  <c:v>对附属单位补助支出</c:v>
                </c:pt>
              </c:strCache>
            </c:strRef>
          </c:cat>
          <c:val>
            <c:numRef>
              <c:f>'Sheet1 (3)'!$B$2:$B$6</c:f>
              <c:numCache>
                <c:formatCode>0.00%</c:formatCode>
                <c:ptCount val="5"/>
                <c:pt idx="0">
                  <c:v>0.905</c:v>
                </c:pt>
                <c:pt idx="1">
                  <c:v>0.0949</c:v>
                </c:pt>
                <c:pt idx="2">
                  <c:v>0.0</c:v>
                </c:pt>
                <c:pt idx="3">
                  <c:v>0.0</c:v>
                </c:pt>
                <c:pt idx="4">
                  <c:v>0.0</c:v>
                </c:pt>
              </c:numCache>
            </c:numRef>
          </c:val>
        </c:ser>
        <c:gapDepth val="150"/>
        <c:firstSliceAng val="0"/>
      </c:pie3D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595959"/>
                </a:solidFill>
                <a:latin typeface="Times New Roman"/>
                <a:ea typeface="宋体"/>
                <a:cs typeface="Lucida Sans"/>
              </a:defRPr>
            </a:pPr>
            <a:r>
              <a:rPr lang="zh-CN"/>
              <a:t>财政拨款收、支总计（万元）</a:t>
            </a:r>
          </a:p>
        </c:rich>
      </c:tx>
      <c:layout>
        <c:manualLayout>
          <c:xMode val="edge"/>
          <c:yMode val="edge"/>
          <c:x val="0.2107428"/>
          <c:y val="0.009337069"/>
        </c:manualLayout>
      </c:layout>
      <c:overlay val="0"/>
      <c:spPr>
        <a:noFill/>
        <a:ln>
          <a:noFill/>
        </a:ln>
      </c:spPr>
    </c:title>
    <c:autoTitleDeleted val="1"/>
    <c:plotArea>
      <c:layout>
        <c:manualLayout>
          <c:layoutTarget val="inner"/>
          <c:xMode val="edge"/>
          <c:yMode val="edge"/>
          <c:x val="0.11484264"/>
          <c:y val="0.22569938"/>
          <c:w val="0.83135027"/>
          <c:h val="0.7051683"/>
        </c:manualLayout>
      </c:layout>
      <c:barChart>
        <c:barDir val="col"/>
        <c:grouping val="clustered"/>
        <c:varyColors val="0"/>
        <c:ser>
          <c:idx val="0"/>
          <c:order val="0"/>
          <c:tx>
            <c:strRef>
              <c:f>'Sheet1 (4)'!$B$1</c:f>
              <c:strCache>
                <c:ptCount val="1"/>
                <c:pt idx="0">
                  <c:v>收支总计</c:v>
                </c:pt>
              </c:strCache>
            </c:strRef>
          </c:tx>
          <c:spPr>
            <a:solidFill>
              <a:srgbClr val="4F81BD"/>
            </a:solidFill>
            <a:ln>
              <a:noFill/>
            </a:ln>
          </c:spPr>
          <c:invertIfNegative val="0"/>
          <c:dPt>
            <c:idx val="0"/>
            <c:invertIfNegative val="0"/>
            <c:bubble3D val="0"/>
            <c:spPr>
              <a:solidFill>
                <a:srgbClr val="C0504D"/>
              </a:solidFill>
              <a:ln>
                <a:noFill/>
              </a:ln>
            </c:spPr>
          </c:dPt>
          <c:dLbls>
            <c:showLegendKey val="0"/>
            <c:showVal val="0"/>
            <c:showCatName val="0"/>
            <c:showSerName val="0"/>
            <c:showPercent val="0"/>
            <c:showBubbleSize val="0"/>
            <c:showLeaderLines val="0"/>
          </c:dLbls>
          <c:cat>
            <c:strRef>
              <c:f>'Sheet1 (4)'!$A$2:$A$3</c:f>
              <c:strCache>
                <c:ptCount val="2"/>
                <c:pt idx="0">
                  <c:v>2023年</c:v>
                </c:pt>
                <c:pt idx="1">
                  <c:v>2024年</c:v>
                </c:pt>
              </c:strCache>
            </c:strRef>
          </c:cat>
          <c:val>
            <c:numRef>
              <c:f>'Sheet1 (4)'!$B$2:$B$3</c:f>
              <c:numCache>
                <c:formatCode>General</c:formatCode>
                <c:ptCount val="2"/>
                <c:pt idx="0">
                  <c:v>298.59</c:v>
                </c:pt>
                <c:pt idx="1">
                  <c:v>253.78</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min val="0.0"/>
          <c:max val="300.0"/>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595959"/>
                </a:solidFill>
                <a:latin typeface="Times New Roman"/>
                <a:ea typeface="宋体"/>
                <a:cs typeface="Lucida Sans"/>
              </a:defRPr>
            </a:pPr>
            <a:r>
              <a:rPr lang="zh-CN"/>
              <a:t>一般公共预算财政拨款支出（万元）</a:t>
            </a:r>
          </a:p>
        </c:rich>
      </c:tx>
      <c:layout/>
      <c:overlay val="0"/>
      <c:spPr>
        <a:noFill/>
        <a:ln>
          <a:noFill/>
        </a:ln>
      </c:spPr>
    </c:title>
    <c:autoTitleDeleted val="1"/>
    <c:plotArea>
      <c:layout>
        <c:manualLayout>
          <c:layoutTarget val="inner"/>
          <c:xMode val="edge"/>
          <c:yMode val="edge"/>
          <c:x val="0.06466191"/>
          <c:y val="0.1944806"/>
          <c:w val="0.89796126"/>
          <c:h val="0.5582921"/>
        </c:manualLayout>
      </c:layout>
      <c:barChart>
        <c:barDir val="col"/>
        <c:grouping val="clustered"/>
        <c:varyColors val="0"/>
        <c:ser>
          <c:idx val="0"/>
          <c:order val="0"/>
          <c:tx>
            <c:strRef>
              <c:f>'Sheet1 (5)'!$B$1</c:f>
              <c:strCache>
                <c:ptCount val="1"/>
                <c:pt idx="0">
                  <c:v/>
                </c:pt>
              </c:strCache>
            </c:strRef>
          </c:tx>
          <c:spPr>
            <a:solidFill>
              <a:srgbClr val="4F81BD"/>
            </a:solidFill>
            <a:ln>
              <a:noFill/>
            </a:ln>
          </c:spPr>
          <c:invertIfNegative val="0"/>
          <c:dPt>
            <c:idx val="0"/>
            <c:invertIfNegative val="0"/>
            <c:bubble3D val="0"/>
            <c:spPr>
              <a:solidFill>
                <a:srgbClr val="C0504D"/>
              </a:solidFill>
              <a:ln>
                <a:noFill/>
              </a:ln>
            </c:spPr>
          </c:dPt>
          <c:dLbls>
            <c:showLegendKey val="0"/>
            <c:showVal val="0"/>
            <c:showCatName val="0"/>
            <c:showSerName val="0"/>
            <c:showPercent val="0"/>
            <c:showBubbleSize val="0"/>
            <c:showLeaderLines val="0"/>
          </c:dLbls>
          <c:cat>
            <c:strRef>
              <c:f>'Sheet1 (5)'!$A$2:$A$3</c:f>
              <c:strCache>
                <c:ptCount val="2"/>
                <c:pt idx="0">
                  <c:v>2023年</c:v>
                </c:pt>
                <c:pt idx="1">
                  <c:v>2024年</c:v>
                </c:pt>
              </c:strCache>
            </c:strRef>
          </c:cat>
          <c:val>
            <c:numRef>
              <c:f>'Sheet1 (5)'!$B$2:$B$3</c:f>
              <c:numCache>
                <c:formatCode>General</c:formatCode>
                <c:ptCount val="2"/>
                <c:pt idx="0">
                  <c:v>298.59</c:v>
                </c:pt>
                <c:pt idx="1">
                  <c:v>253.78</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min val="0.0"/>
          <c:max val="300.0"/>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595959"/>
                </a:solidFill>
                <a:latin typeface="Times New Roman"/>
                <a:ea typeface="宋体"/>
                <a:cs typeface="Lucida Sans"/>
              </a:defRPr>
            </a:pPr>
            <a:r>
              <a:rPr lang="zh-CN"/>
              <a:t>一般公共预算财政拨款支出结构</a:t>
            </a:r>
          </a:p>
        </c:rich>
      </c:tx>
      <c:layout/>
      <c:overlay val="0"/>
      <c:spPr>
        <a:noFill/>
        <a:ln>
          <a:noFill/>
        </a:ln>
      </c:spPr>
    </c:title>
    <c:autoTitleDeleted val="1"/>
    <c:view3D>
      <c:rotX val="30"/>
      <c:hPercent val="100"/>
      <c:rotY val="0"/>
      <c:depthPercent val="100"/>
      <c:rAngAx val="0"/>
      <c:perspective val="0"/>
    </c:view3D>
    <c:floor>
      <c:thickness val="0"/>
      <c:spPr>
        <a:ln>
          <a:noFill/>
        </a:ln>
      </c:spPr>
    </c:floor>
    <c:sideWall>
      <c:thickness val="0"/>
      <c:spPr>
        <a:ln>
          <a:noFill/>
        </a:ln>
      </c:spPr>
    </c:sideWall>
    <c:backWall>
      <c:thickness val="0"/>
      <c:spPr>
        <a:noFill/>
        <a:ln>
          <a:noFill/>
        </a:ln>
      </c:spPr>
    </c:backWall>
    <c:plotArea>
      <c:layout>
        <c:manualLayout>
          <c:layoutTarget val="inner"/>
          <c:xMode val="edge"/>
          <c:yMode val="edge"/>
          <c:x val="0.053785264"/>
          <c:y val="0.13356814"/>
          <c:w val="0.8983154"/>
          <c:h val="0.5689515"/>
        </c:manualLayout>
      </c:layout>
      <c:pie3DChart>
        <c:varyColors val="1"/>
        <c:ser>
          <c:idx val="0"/>
          <c:order val="0"/>
          <c:tx>
            <c:strRef>
              <c:f>'Sheet1 (6)'!$B$1</c:f>
              <c:strCache>
                <c:ptCount val="1"/>
                <c:pt idx="0">
                  <c:v/>
                </c:pt>
              </c:strCache>
            </c:strRef>
          </c:tx>
          <c:spPr>
            <a:solidFill>
              <a:srgbClr val="4F81BD"/>
            </a:solidFill>
          </c:spPr>
          <c:dPt>
            <c:idx val="0"/>
            <c:bubble3D val="0"/>
            <c:spPr>
              <a:solidFill>
                <a:srgbClr val="4F81BD"/>
              </a:solidFill>
              <a:ln w="25400">
                <a:solidFill>
                  <a:srgbClr val="FFFFFF"/>
                </a:solidFill>
                <a:prstDash val="solid"/>
              </a:ln>
            </c:spPr>
          </c:dPt>
          <c:dPt>
            <c:idx val="1"/>
            <c:bubble3D val="0"/>
            <c:spPr>
              <a:solidFill>
                <a:srgbClr val="C0504D"/>
              </a:solidFill>
              <a:ln w="25400">
                <a:solidFill>
                  <a:srgbClr val="FFFFFF"/>
                </a:solidFill>
                <a:prstDash val="solid"/>
              </a:ln>
            </c:spPr>
          </c:dPt>
          <c:dPt>
            <c:idx val="2"/>
            <c:bubble3D val="0"/>
            <c:spPr>
              <a:solidFill>
                <a:srgbClr val="9BBB59"/>
              </a:solidFill>
              <a:ln w="25400">
                <a:solidFill>
                  <a:srgbClr val="FFFFFF"/>
                </a:solidFill>
                <a:prstDash val="solid"/>
              </a:ln>
            </c:spPr>
          </c:dPt>
          <c:dPt>
            <c:idx val="3"/>
            <c:bubble3D val="0"/>
            <c:spPr>
              <a:solidFill>
                <a:srgbClr val="8064A2"/>
              </a:solidFill>
              <a:ln w="25400">
                <a:solidFill>
                  <a:srgbClr val="FFFFFF"/>
                </a:solidFill>
                <a:prstDash val="solid"/>
              </a:ln>
            </c:spPr>
          </c:dPt>
          <c:dPt>
            <c:idx val="4"/>
            <c:bubble3D val="0"/>
            <c:spPr>
              <a:solidFill>
                <a:srgbClr val="4BACC6"/>
              </a:solidFill>
              <a:ln w="25400">
                <a:solidFill>
                  <a:srgbClr val="FFFFFF"/>
                </a:solidFill>
                <a:prstDash val="solid"/>
              </a:ln>
            </c:spPr>
          </c:dPt>
          <c:dPt>
            <c:idx val="5"/>
            <c:bubble3D val="0"/>
            <c:spPr>
              <a:solidFill>
                <a:srgbClr val="F79646"/>
              </a:solidFill>
              <a:ln w="25400">
                <a:solidFill>
                  <a:srgbClr val="FFFFFF"/>
                </a:solidFill>
                <a:prstDash val="solid"/>
              </a:ln>
            </c:spPr>
          </c:dPt>
          <c:dPt>
            <c:idx val="6"/>
            <c:bubble3D val="0"/>
            <c:spPr>
              <a:solidFill>
                <a:srgbClr val="2C4D75"/>
              </a:solidFill>
              <a:ln w="25400">
                <a:solidFill>
                  <a:srgbClr val="FFFFFF"/>
                </a:solidFill>
                <a:prstDash val="solid"/>
              </a:ln>
            </c:spPr>
          </c:dPt>
          <c:dLbls>
            <c:showLegendKey val="0"/>
            <c:showVal val="0"/>
            <c:showCatName val="0"/>
            <c:showSerName val="0"/>
            <c:showPercent val="0"/>
            <c:showBubbleSize val="0"/>
            <c:showLeaderLines val="0"/>
          </c:dLbls>
          <c:cat>
            <c:strRef>
              <c:f>'Sheet1 (6)'!$A$2:$A$8</c:f>
              <c:strCache>
                <c:ptCount val="7"/>
                <c:pt idx="0">
                  <c:v>一般公共服务支出</c:v>
                </c:pt>
                <c:pt idx="1">
                  <c:v>教育支出</c:v>
                </c:pt>
                <c:pt idx="2">
                  <c:v>科学技术支出</c:v>
                </c:pt>
                <c:pt idx="3">
                  <c:v>文化旅游体育与传媒支出</c:v>
                </c:pt>
                <c:pt idx="4">
                  <c:v>社会保障和就业支出</c:v>
                </c:pt>
                <c:pt idx="5">
                  <c:v>卫生健康支出</c:v>
                </c:pt>
                <c:pt idx="6">
                  <c:v>住房保障支出</c:v>
                </c:pt>
              </c:strCache>
            </c:strRef>
          </c:cat>
          <c:val>
            <c:numRef>
              <c:f>'Sheet1 (6)'!$B$2:$B$8</c:f>
              <c:numCache>
                <c:formatCode>General</c:formatCode>
                <c:ptCount val="7"/>
                <c:pt idx="4">
                  <c:v>0.1222</c:v>
                </c:pt>
                <c:pt idx="5">
                  <c:v>0.8182</c:v>
                </c:pt>
                <c:pt idx="6">
                  <c:v>0.0596</c:v>
                </c:pt>
              </c:numCache>
            </c:numRef>
          </c:val>
        </c:ser>
        <c:gapDepth val="150"/>
        <c:firstSliceAng val="0"/>
      </c:pie3DChart>
      <c:spPr>
        <a:noFill/>
        <a:ln>
          <a:noFill/>
        </a:ln>
      </c:spPr>
    </c:plotArea>
    <c:legend>
      <c:legendPos val="b"/>
      <c:layout>
        <c:manualLayout>
          <c:xMode val="edge"/>
          <c:yMode val="edge"/>
          <c:x val="0.044448953"/>
          <c:y val="0.7390951"/>
          <c:w val="0.9015628"/>
          <c:h val="0.22839339"/>
        </c:manualLayout>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0" i="0" u="none" strike="noStrike" baseline="0">
                <a:solidFill>
                  <a:srgbClr val="595959"/>
                </a:solidFill>
                <a:latin typeface="Times New Roman"/>
                <a:ea typeface="宋体"/>
                <a:cs typeface="Lucida Sans"/>
              </a:defRPr>
            </a:pPr>
            <a:r>
              <a:rPr lang="zh-CN"/>
              <a:t>“三公”经费财政拨款支出结构</a:t>
            </a:r>
          </a:p>
        </c:rich>
      </c:tx>
      <c:layout/>
      <c:overlay val="0"/>
      <c:spPr>
        <a:noFill/>
        <a:ln>
          <a:noFill/>
        </a:ln>
      </c:spPr>
    </c:title>
    <c:autoTitleDeleted val="1"/>
    <c:view3D>
      <c:rotX val="30"/>
      <c:hPercent val="100"/>
      <c:rotY val="0"/>
      <c:depthPercent val="100"/>
      <c:rAngAx val="0"/>
      <c:perspective val="0"/>
    </c:view3D>
    <c:floor>
      <c:thickness val="0"/>
      <c:spPr>
        <a:ln>
          <a:noFill/>
        </a:ln>
      </c:spPr>
    </c:floor>
    <c:sideWall>
      <c:thickness val="0"/>
      <c:spPr>
        <a:ln>
          <a:noFill/>
        </a:ln>
      </c:spPr>
    </c:sideWall>
    <c:backWall>
      <c:thickness val="0"/>
      <c:spPr>
        <a:noFill/>
        <a:ln>
          <a:noFill/>
        </a:ln>
      </c:spPr>
    </c:backWall>
    <c:plotArea>
      <c:layout>
        <c:manualLayout>
          <c:layoutTarget val="inner"/>
          <c:xMode val="edge"/>
          <c:yMode val="edge"/>
          <c:x val="0.047141425"/>
          <c:y val="0.21194836"/>
          <c:w val="0.8004012"/>
          <c:h val="0.46832782"/>
        </c:manualLayout>
      </c:layout>
      <c:pie3DChart>
        <c:varyColors val="1"/>
        <c:ser>
          <c:idx val="0"/>
          <c:order val="0"/>
          <c:tx>
            <c:strRef>
              <c:f>'Sheet1 (7)'!$B$1</c:f>
              <c:strCache>
                <c:ptCount val="1"/>
                <c:pt idx="0">
                  <c:v/>
                </c:pt>
              </c:strCache>
            </c:strRef>
          </c:tx>
          <c:spPr>
            <a:solidFill>
              <a:srgbClr val="4F81BD"/>
            </a:solidFill>
          </c:spPr>
          <c:dPt>
            <c:idx val="0"/>
            <c:bubble3D val="0"/>
            <c:spPr>
              <a:solidFill>
                <a:srgbClr val="4F81BD"/>
              </a:solidFill>
              <a:ln w="25400">
                <a:solidFill>
                  <a:srgbClr val="FFFFFF"/>
                </a:solidFill>
                <a:prstDash val="solid"/>
              </a:ln>
            </c:spPr>
          </c:dPt>
          <c:dPt>
            <c:idx val="1"/>
            <c:bubble3D val="0"/>
            <c:spPr>
              <a:solidFill>
                <a:srgbClr val="C0504D"/>
              </a:solidFill>
              <a:ln w="25400">
                <a:solidFill>
                  <a:srgbClr val="FFFFFF"/>
                </a:solidFill>
                <a:prstDash val="solid"/>
              </a:ln>
            </c:spPr>
          </c:dPt>
          <c:dPt>
            <c:idx val="2"/>
            <c:bubble3D val="0"/>
            <c:spPr>
              <a:solidFill>
                <a:srgbClr val="9BBB59"/>
              </a:solidFill>
              <a:ln w="25400">
                <a:solidFill>
                  <a:srgbClr val="FFFFFF"/>
                </a:solidFill>
                <a:prstDash val="solid"/>
              </a:ln>
            </c:spPr>
          </c:dPt>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0%" sourceLinked="0"/>
            <c:dLblPos val="inEnd"/>
            <c:showLegendKey val="0"/>
            <c:showVal val="0"/>
            <c:showCatName val="0"/>
            <c:showSerName val="0"/>
            <c:showPercent val="1"/>
            <c:showBubbleSize val="0"/>
            <c:showLeaderLines val="1"/>
          </c:dLbls>
          <c:cat>
            <c:strRef>
              <c:f>'Sheet1 (7)'!$A$2:$A$4</c:f>
              <c:strCache>
                <c:ptCount val="3"/>
                <c:pt idx="0">
                  <c:v>因公出国（境）费支出</c:v>
                </c:pt>
                <c:pt idx="1">
                  <c:v>公务用车购置及运行维护费支出</c:v>
                </c:pt>
                <c:pt idx="2">
                  <c:v>公务接待费支出</c:v>
                </c:pt>
              </c:strCache>
            </c:strRef>
          </c:cat>
          <c:val>
            <c:numRef>
              <c:f>'Sheet1 (7)'!$B$2:$B$4</c:f>
              <c:numCache>
                <c:formatCode>0%</c:formatCode>
                <c:ptCount val="3"/>
                <c:pt idx="0">
                  <c:v>0.0</c:v>
                </c:pt>
                <c:pt idx="1">
                  <c:v>0.0</c:v>
                </c:pt>
                <c:pt idx="2">
                  <c:v>0.0</c:v>
                </c:pt>
              </c:numCache>
            </c:numRef>
          </c:val>
        </c:ser>
        <c:gapDepth val="150"/>
        <c:firstSliceAng val="0"/>
      </c:pie3DChart>
      <c:spPr>
        <a:noFill/>
        <a:ln>
          <a:noFill/>
        </a:ln>
      </c:spPr>
    </c:plotArea>
    <c:legend>
      <c:legendPos val="t"/>
      <c:layout>
        <c:manualLayout>
          <c:xMode val="edge"/>
          <c:yMode val="edge"/>
          <c:x val="0.23580742"/>
          <c:y val="0.72590816"/>
        </c:manualLayout>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docProps/app.xml><?xml version="1.0" encoding="utf-8"?>
<Properties xmlns="http://schemas.openxmlformats.org/officeDocument/2006/extended-properties">
  <Template>Normal.eit</Template>
  <TotalTime>6</TotalTime>
  <Application>Yozo_Office27021597764231179</Application>
  <Pages>16</Pages>
  <Words>4861</Words>
  <Characters>5431</Characters>
  <Lines>293</Lines>
  <Paragraphs>130</Paragraphs>
  <CharactersWithSpaces>5490</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32</cp:revision>
  <cp:lastPrinted>2025-08-09T01:34:00Z</cp:lastPrinted>
  <dcterms:created xsi:type="dcterms:W3CDTF">2020-08-11T17:49:00Z</dcterms:created>
  <dcterms:modified xsi:type="dcterms:W3CDTF">2025-09-11T10:23:32Z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2052-11.8.2.1131</vt:lpwstr>
  </property>
  <property fmtid="{D5CDD505-2E9C-101B-9397-08002B2CF9AE}" pid="3" name="ICV">
    <vt:lpwstr>04787F2533EB45DC91BCDE4AB213247F</vt:lpwstr>
  </property>
</Properties>
</file>