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hAnsi="Times New Roman"/>
        </w:rPr>
      </w:pPr>
      <w:bookmarkStart w:id="0" w:name="_Toc15396597"/>
      <w:bookmarkStart w:id="1" w:name="_Toc15377193"/>
      <w:bookmarkStart w:id="2" w:name="_Toc15378441"/>
      <w:bookmarkStart w:id="3" w:name="_Toc15377425"/>
      <w:bookmarkStart w:id="4" w:name="_Toc15396475"/>
      <w:bookmarkStart w:id="5" w:name="_Toc15306267"/>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77194"/>
      <w:bookmarkStart w:id="7" w:name="_Toc15378442"/>
      <w:bookmarkStart w:id="8" w:name="_Toc15396598"/>
      <w:bookmarkStart w:id="9" w:name="_Toc15396476"/>
      <w:bookmarkStart w:id="10" w:name="_Toc15377426"/>
      <w:bookmarkEnd w:id="0"/>
      <w:bookmarkEnd w:id="1"/>
      <w:bookmarkEnd w:id="2"/>
      <w:bookmarkEnd w:id="3"/>
      <w:bookmarkEnd w:id="4"/>
      <w:r>
        <w:rPr>
          <w:rFonts w:ascii="Times New Roman" w:eastAsia="方正小标宋简体" w:cs="Times New Roman" w:hAnsi="Times New Roman" w:hint="eastAsia"/>
          <w:color w:val="auto"/>
          <w:kern w:val="2"/>
          <w:sz w:val="44"/>
          <w:szCs w:val="44"/>
          <w:lang w:val="en-US" w:eastAsia="zh-CN" w:bidi="ar-SA"/>
          <w:highlight w:val="auto"/>
        </w:rPr>
        <w:t>2024年度四川省</w:t>
      </w:r>
      <w:bookmarkStart w:id="11" w:name="_Toc15306268"/>
      <w:bookmarkEnd w:id="5"/>
      <w:r>
        <w:rPr>
          <w:rFonts w:ascii="Times New Roman" w:eastAsia="方正小标宋简体" w:cs="Times New Roman" w:hAnsi="Times New Roman"/>
          <w:color w:val="auto"/>
          <w:kern w:val="2"/>
          <w:sz w:val="44"/>
          <w:szCs w:val="44"/>
          <w:lang w:val="en-US" w:eastAsia="zh-CN" w:bidi="ar-SA"/>
          <w:highlight w:val="auto"/>
        </w:rPr>
        <w:t>攀枝花市卫生健康委员会（本级）单位</w:t>
      </w:r>
      <w:r>
        <w:rPr>
          <w:rFonts w:ascii="Times New Roman" w:eastAsia="方正小标宋简体" w:cs="Times New Roman" w:hAnsi="Times New Roman" w:hint="eastAsia"/>
          <w:color w:val="auto"/>
          <w:kern w:val="2"/>
          <w:sz w:val="44"/>
          <w:szCs w:val="44"/>
          <w:lang w:val="en-US" w:eastAsia="zh-CN" w:bidi="ar-SA"/>
          <w:highlight w:val="auto"/>
        </w:rPr>
        <w:t>决算</w:t>
      </w:r>
      <w:bookmarkEnd w:id="6"/>
      <w:bookmarkEnd w:id="7"/>
      <w:bookmarkEnd w:id="8"/>
      <w:bookmarkEnd w:id="9"/>
      <w:bookmarkEnd w:id="10"/>
      <w:bookmarkEnd w:id="11"/>
      <w:r>
        <w:rPr>
          <w:rFonts w:ascii="Times New Roman" w:eastAsia="方正小标宋简体" w:cs="Times New Roman" w:hAnsi="Times New Roman"/>
          <w:color w:val="auto"/>
          <w:kern w:val="2"/>
          <w:sz w:val="44"/>
          <w:szCs w:val="44"/>
          <w:lang w:val="en-US" w:eastAsia="zh-CN" w:bidi="ar-SA"/>
          <w:highlight w:val="auto"/>
        </w:rPr>
        <w:t>公开文字说明</w:t>
      </w:r>
    </w:p>
    <w:p>
      <w:pPr>
        <w:widowControl/>
        <w:jc w:val="center"/>
        <w:rPr>
          <w:rFonts w:ascii="Times New Roman" w:eastAsia="黑体" w:hAnsi="Times New Roman"/>
          <w:color w:val="auto"/>
          <w:sz w:val="48"/>
          <w:szCs w:val="48"/>
          <w:highlight w:val="auto"/>
        </w:rPr>
      </w:pPr>
      <w:r>
        <w:rPr>
          <w:rFonts w:ascii="Times New Roman" w:eastAsia="方正小标宋简体" w:hAnsi="Times New Roman"/>
          <w:color w:val="auto"/>
          <w:sz w:val="36"/>
          <w:szCs w:val="36"/>
          <w:highlight w:val="auto"/>
        </w:rPr>
        <w:br w:type="page"/>
      </w: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3"/>
        <w:tabs>
          <w:tab w:val="right" w:leader="dot" w:pos="8296"/>
        </w:tabs>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w:t>
      </w:r>
      <w:r>
        <w:rPr>
          <w:rFonts w:ascii="Times New Roman" w:eastAsia="仿宋_GB2312" w:cs="仿宋_GB2312" w:hAnsi="Times New Roman"/>
          <w:color w:val="auto"/>
          <w:sz w:val="32"/>
          <w:szCs w:val="32"/>
          <w:lang w:val="en-US" w:eastAsia="zh-CN"/>
          <w:highlight w:val="auto"/>
        </w:rPr>
        <w:t>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color w:val="auto"/>
          <w:sz w:val="32"/>
          <w:szCs w:val="32"/>
          <w:lang w:val="en-US" w:eastAsia="zh-CN"/>
          <w:highlight w:val="auto"/>
        </w:rPr>
        <w:t>9</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color w:val="auto"/>
          <w:sz w:val="32"/>
          <w:szCs w:val="32"/>
          <w:lang w:val="en-US" w:eastAsia="zh-CN"/>
          <w:highlight w:val="auto"/>
        </w:rPr>
        <w:t>11</w:t>
      </w:r>
      <w:bookmarkStart w:id="12" w:name="_GoBack"/>
      <w:bookmarkEnd w:id="12"/>
      <w:r>
        <w:rPr>
          <w:rFonts w:ascii="Times New Roman" w:eastAsia="仿宋_GB2312" w:cs="仿宋_GB2312" w:hAnsi="Times New Roman" w:hint="eastAsia"/>
          <w:color w:val="auto"/>
          <w:sz w:val="32"/>
          <w:szCs w:val="32"/>
          <w:highlight w:val="auto"/>
        </w:rPr>
        <w:t>日</w:t>
      </w:r>
    </w:p>
    <w:p>
      <w:pPr>
        <w:rPr>
          <w:rFonts w:ascii="Times New Roman" w:hAnsi="Times New Roman"/>
          <w:color w:val="auto"/>
          <w:highlight w:val="auto"/>
        </w:rPr>
      </w:pPr>
    </w:p>
    <w:sdt>
      <w:sdtPr>
        <w:rPr>
          <w:rFonts w:ascii="宋体" w:eastAsia="宋体" w:cs="Times New Roman"/>
          <w:kern w:val="2"/>
          <w:sz w:val="21"/>
          <w:szCs w:val="24"/>
          <w:lang w:val="en-US" w:eastAsia="zh-CN" w:bidi="ar-SA"/>
        </w:rPr>
        <w:id w:val="-2076942976"/>
        <w15:color w:val="DBDBDB"/>
        <w:docPartObj>
          <w:docPartGallery w:val="Table of Contents"/>
          <w:docPartUnique/>
        </w:docPartObj>
      </w:sdtPr>
      <w:sdtEndPr>
        <w:rPr>
          <w:b/>
        </w:rPr>
      </w:sdtEndPr>
      <w:sdtContent>
        <w:bookmarkStart w:id="13" w:name="_Toc15396599" w:displacedByCustomXml="prev"/>
        <w:bookmarkStart w:id="14" w:name="_Toc15377196" w:displacedByCustomXml="prev"/>
        <w:p>
          <w:pPr>
            <w:spacing w:before="0" w:after="0" w:line="240" w:lineRule="auto"/>
            <w:ind w:left="0" w:right="0" w:firstLine="0"/>
            <w:jc w:val="center"/>
          </w:pPr>
        </w:p>
        <w:p>
          <w:pPr>
            <w:pStyle w:val="23"/>
            <w:tabs>
              <w:tab w:val="clear" w:pos="8296"/>
              <w:tab w:val="right" w:leader="dot" w:pos="8306"/>
            </w:tabs>
          </w:pPr>
          <w:r>
            <w:fldChar w:fldCharType="begin"/>
          </w:r>
          <w:r>
            <w:instrText xml:space="preserve">TOC \o "1-2" \h \u </w:instrText>
          </w:r>
          <w:r>
            <w:fldChar w:fldCharType="separate"/>
          </w:r>
          <w:r>
            <w:fldChar w:fldCharType="begin"/>
          </w:r>
          <w:r>
            <w:instrText xml:space="preserve"> HYPERLINK \l _Toc1336424616 </w:instrText>
          </w:r>
          <w:r>
            <w:fldChar w:fldCharType="separate"/>
          </w:r>
          <w:r>
            <w:rPr>
              <w:rFonts w:ascii="Times New Roman" w:eastAsia="方正小标宋简体" w:cs="方正小标宋简体" w:hAnsi="Times New Roman" w:hint="eastAsia"/>
              <w:highlight w:val="auto"/>
            </w:rPr>
            <w:t>第一部分</w:t>
          </w:r>
          <w:r>
            <w:rPr>
              <w:rFonts w:ascii="Times New Roman" w:eastAsia="方正小标宋简体" w:cs="方正小标宋简体" w:hAnsi="Times New Roman" w:hint="eastAsia"/>
              <w:lang w:val="en-US" w:eastAsia="zh-CN"/>
              <w:highlight w:val="auto"/>
            </w:rPr>
            <w:t xml:space="preserve"> </w:t>
          </w:r>
          <w:r>
            <w:rPr>
              <w:rFonts w:ascii="Times New Roman" w:eastAsia="方正小标宋简体" w:cs="方正小标宋简体" w:hAnsi="Times New Roman" w:hint="eastAsia"/>
              <w:highlight w:val="auto"/>
            </w:rPr>
            <w:t xml:space="preserve"> </w:t>
          </w:r>
          <w:r>
            <w:rPr>
              <w:rFonts w:ascii="Times New Roman" w:eastAsia="方正小标宋简体" w:cs="方正小标宋简体" w:hAnsi="Times New Roman" w:hint="eastAsia"/>
              <w:bCs w:val="0"/>
              <w:highlight w:val="auto"/>
            </w:rPr>
            <w:t>部门概况</w:t>
          </w:r>
          <w:r>
            <w:tab/>
          </w:r>
          <w:r>
            <w:fldChar w:fldCharType="begin"/>
          </w:r>
          <w:r>
            <w:instrText xml:space="preserve"> PAGEREF _Toc1336424616 \h </w:instrText>
          </w:r>
          <w:r>
            <w:fldChar w:fldCharType="separate"/>
          </w:r>
          <w:r>
            <w:t>- 3 -</w:t>
          </w:r>
          <w:r>
            <w:fldChar w:fldCharType="end"/>
          </w:r>
          <w:r>
            <w:fldChar w:fldCharType="end"/>
          </w:r>
        </w:p>
        <w:p>
          <w:pPr>
            <w:pStyle w:val="24"/>
            <w:tabs>
              <w:tab w:val="clear" w:pos="8296"/>
              <w:tab w:val="right" w:leader="dot" w:pos="8306"/>
            </w:tabs>
          </w:pPr>
          <w:r>
            <w:fldChar w:fldCharType="begin"/>
          </w:r>
          <w:r>
            <w:instrText xml:space="preserve"> HYPERLINK \l _Toc207938315 </w:instrText>
          </w:r>
          <w:r>
            <w:fldChar w:fldCharType="separate"/>
          </w:r>
          <w:r>
            <w:rPr>
              <w:rFonts w:ascii="Times New Roman" w:eastAsia="黑体" w:hAnsi="Times New Roman" w:hint="eastAsia"/>
              <w:highlight w:val="auto"/>
            </w:rPr>
            <w:t>一、</w:t>
          </w:r>
          <w:r>
            <w:rPr>
              <w:rFonts w:ascii="Times New Roman" w:eastAsia="黑体" w:hAnsi="Times New Roman" w:hint="eastAsia"/>
              <w:lang w:eastAsia="zh-CN"/>
              <w:highlight w:val="auto"/>
            </w:rPr>
            <w:t>部门职责</w:t>
          </w:r>
          <w:r>
            <w:tab/>
          </w:r>
          <w:r>
            <w:fldChar w:fldCharType="begin"/>
          </w:r>
          <w:r>
            <w:instrText xml:space="preserve"> PAGEREF _Toc207938315 \h </w:instrText>
          </w:r>
          <w:r>
            <w:fldChar w:fldCharType="separate"/>
          </w:r>
          <w:r>
            <w:t>- 3 -</w:t>
          </w:r>
          <w:r>
            <w:fldChar w:fldCharType="end"/>
          </w:r>
          <w:r>
            <w:fldChar w:fldCharType="end"/>
          </w:r>
        </w:p>
        <w:p>
          <w:pPr>
            <w:pStyle w:val="24"/>
            <w:tabs>
              <w:tab w:val="clear" w:pos="8296"/>
              <w:tab w:val="right" w:leader="dot" w:pos="8306"/>
            </w:tabs>
          </w:pPr>
          <w:r>
            <w:fldChar w:fldCharType="begin"/>
          </w:r>
          <w:r>
            <w:instrText xml:space="preserve"> HYPERLINK \l _Toc406484804 </w:instrText>
          </w:r>
          <w:r>
            <w:fldChar w:fldCharType="separate"/>
          </w:r>
          <w:r>
            <w:rPr>
              <w:rFonts w:ascii="Times New Roman" w:eastAsia="黑体" w:hAnsi="Times New Roman" w:hint="eastAsia"/>
              <w:highlight w:val="auto"/>
            </w:rPr>
            <w:t>二、机</w:t>
          </w:r>
          <w:r>
            <w:rPr>
              <w:rFonts w:ascii="Times New Roman" w:eastAsia="黑体" w:hAnsi="Times New Roman" w:hint="eastAsia"/>
              <w:bCs w:val="0"/>
              <w:highlight w:val="auto"/>
            </w:rPr>
            <w:t>构设置</w:t>
          </w:r>
          <w:r>
            <w:tab/>
          </w:r>
          <w:r>
            <w:fldChar w:fldCharType="begin"/>
          </w:r>
          <w:r>
            <w:instrText xml:space="preserve"> PAGEREF _Toc406484804 \h </w:instrText>
          </w:r>
          <w:r>
            <w:fldChar w:fldCharType="separate"/>
          </w:r>
          <w:r>
            <w:t>- 6 -</w:t>
          </w:r>
          <w:r>
            <w:fldChar w:fldCharType="end"/>
          </w:r>
          <w:r>
            <w:fldChar w:fldCharType="end"/>
          </w:r>
        </w:p>
        <w:p>
          <w:pPr>
            <w:pStyle w:val="23"/>
            <w:tabs>
              <w:tab w:val="clear" w:pos="8296"/>
              <w:tab w:val="right" w:leader="dot" w:pos="8306"/>
            </w:tabs>
          </w:pPr>
          <w:r>
            <w:fldChar w:fldCharType="begin"/>
          </w:r>
          <w:r>
            <w:instrText xml:space="preserve"> HYPERLINK \l _Toc872598082 </w:instrText>
          </w:r>
          <w:r>
            <w:fldChar w:fldCharType="separate"/>
          </w:r>
          <w:r>
            <w:rPr>
              <w:rFonts w:ascii="Times New Roman" w:eastAsia="方正小标宋简体" w:cs="方正小标宋简体" w:hAnsi="Times New Roman" w:hint="eastAsia"/>
              <w:highlight w:val="auto"/>
            </w:rPr>
            <w:t>第二部分</w:t>
          </w:r>
          <w:r>
            <w:rPr>
              <w:rFonts w:ascii="Times New Roman" w:eastAsia="方正小标宋简体" w:cs="方正小标宋简体" w:hAnsi="Times New Roman" w:hint="eastAsia"/>
              <w:lang w:val="en-US" w:eastAsia="zh-CN"/>
              <w:highlight w:val="auto"/>
            </w:rPr>
            <w:t xml:space="preserve"> </w:t>
          </w:r>
          <w:r>
            <w:rPr>
              <w:rFonts w:ascii="Times New Roman" w:eastAsia="方正小标宋简体" w:cs="方正小标宋简体" w:hAnsi="Times New Roman" w:hint="eastAsia"/>
              <w:highlight w:val="auto"/>
            </w:rPr>
            <w:t xml:space="preserve"> </w:t>
          </w:r>
          <w:r>
            <w:rPr>
              <w:rFonts w:ascii="Times New Roman" w:eastAsia="方正小标宋简体" w:cs="方正小标宋简体" w:hAnsi="Times New Roman" w:hint="eastAsia"/>
              <w:lang w:val="en-US" w:eastAsia="zh-CN"/>
              <w:highlight w:val="auto"/>
            </w:rPr>
            <w:t>2024年度</w:t>
          </w:r>
          <w:r>
            <w:rPr>
              <w:rFonts w:ascii="Times New Roman" w:eastAsia="方正小标宋简体" w:cs="方正小标宋简体" w:hAnsi="Times New Roman" w:hint="eastAsia"/>
              <w:highlight w:val="auto"/>
            </w:rPr>
            <w:t>部门决算情况说明</w:t>
          </w:r>
          <w:r>
            <w:tab/>
          </w:r>
          <w:r>
            <w:fldChar w:fldCharType="begin"/>
          </w:r>
          <w:r>
            <w:instrText xml:space="preserve"> PAGEREF _Toc872598082 \h </w:instrText>
          </w:r>
          <w:r>
            <w:fldChar w:fldCharType="separate"/>
          </w:r>
          <w:r>
            <w:t>- 7 -</w:t>
          </w:r>
          <w:r>
            <w:fldChar w:fldCharType="end"/>
          </w:r>
          <w:r>
            <w:fldChar w:fldCharType="end"/>
          </w:r>
        </w:p>
        <w:p>
          <w:pPr>
            <w:pStyle w:val="24"/>
            <w:tabs>
              <w:tab w:val="clear" w:pos="8296"/>
              <w:tab w:val="right" w:leader="dot" w:pos="8306"/>
            </w:tabs>
          </w:pPr>
          <w:r>
            <w:fldChar w:fldCharType="begin"/>
          </w:r>
          <w:r>
            <w:instrText xml:space="preserve"> HYPERLINK \l _Toc1488658707 </w:instrText>
          </w:r>
          <w:r>
            <w:fldChar w:fldCharType="separate"/>
          </w:r>
          <w:r>
            <w:rPr>
              <w:rFonts w:ascii="Times New Roman" w:eastAsia="黑体" w:hAnsi="Times New Roman" w:hint="eastAsia"/>
              <w:szCs w:val="32"/>
              <w:lang w:eastAsia="zh-CN"/>
              <w:highlight w:val="auto"/>
            </w:rPr>
            <w:t>一、</w:t>
          </w:r>
          <w:r>
            <w:rPr>
              <w:rFonts w:ascii="Times New Roman" w:eastAsia="黑体" w:hAnsi="Times New Roman" w:hint="eastAsia"/>
              <w:szCs w:val="32"/>
              <w:highlight w:val="auto"/>
            </w:rPr>
            <w:t>收</w:t>
          </w:r>
          <w:r>
            <w:rPr>
              <w:rFonts w:ascii="Times New Roman" w:eastAsia="黑体" w:hAnsi="Times New Roman" w:hint="eastAsia"/>
              <w:highlight w:val="auto"/>
            </w:rPr>
            <w:t>入支出决算总体情况说明</w:t>
          </w:r>
          <w:r>
            <w:tab/>
          </w:r>
          <w:r>
            <w:fldChar w:fldCharType="begin"/>
          </w:r>
          <w:r>
            <w:instrText xml:space="preserve"> PAGEREF _Toc1488658707 \h </w:instrText>
          </w:r>
          <w:r>
            <w:fldChar w:fldCharType="separate"/>
          </w:r>
          <w:r>
            <w:t>- 7 -</w:t>
          </w:r>
          <w:r>
            <w:fldChar w:fldCharType="end"/>
          </w:r>
          <w:r>
            <w:fldChar w:fldCharType="end"/>
          </w:r>
        </w:p>
        <w:p>
          <w:pPr>
            <w:pStyle w:val="24"/>
            <w:tabs>
              <w:tab w:val="clear" w:pos="8296"/>
              <w:tab w:val="right" w:leader="dot" w:pos="8306"/>
            </w:tabs>
          </w:pPr>
          <w:r>
            <w:fldChar w:fldCharType="begin"/>
          </w:r>
          <w:r>
            <w:instrText xml:space="preserve"> HYPERLINK \l _Toc392129602 </w:instrText>
          </w:r>
          <w:r>
            <w:fldChar w:fldCharType="separate"/>
          </w:r>
          <w:r>
            <w:rPr>
              <w:rFonts w:ascii="Times New Roman" w:eastAsia="黑体" w:hAnsi="Times New Roman" w:hint="eastAsia"/>
              <w:szCs w:val="32"/>
              <w:lang w:eastAsia="zh-CN"/>
              <w:highlight w:val="auto"/>
            </w:rPr>
            <w:t>二、收入决算情况说明</w:t>
          </w:r>
          <w:r>
            <w:tab/>
          </w:r>
          <w:r>
            <w:fldChar w:fldCharType="begin"/>
          </w:r>
          <w:r>
            <w:instrText xml:space="preserve"> PAGEREF _Toc392129602 \h </w:instrText>
          </w:r>
          <w:r>
            <w:fldChar w:fldCharType="separate"/>
          </w:r>
          <w:r>
            <w:t>- 7 -</w:t>
          </w:r>
          <w:r>
            <w:fldChar w:fldCharType="end"/>
          </w:r>
          <w:r>
            <w:fldChar w:fldCharType="end"/>
          </w:r>
        </w:p>
        <w:p>
          <w:pPr>
            <w:pStyle w:val="24"/>
            <w:tabs>
              <w:tab w:val="clear" w:pos="8296"/>
              <w:tab w:val="right" w:leader="dot" w:pos="8306"/>
            </w:tabs>
          </w:pPr>
          <w:r>
            <w:fldChar w:fldCharType="begin"/>
          </w:r>
          <w:r>
            <w:instrText xml:space="preserve"> HYPERLINK \l _Toc1150556814 </w:instrText>
          </w:r>
          <w:r>
            <w:fldChar w:fldCharType="separate"/>
          </w:r>
          <w:r>
            <w:rPr>
              <w:rFonts w:ascii="Times New Roman" w:eastAsia="黑体" w:hAnsi="Times New Roman" w:hint="eastAsia"/>
              <w:szCs w:val="32"/>
              <w:lang w:eastAsia="zh-CN"/>
              <w:highlight w:val="auto"/>
            </w:rPr>
            <w:t>三、</w:t>
          </w:r>
          <w:r>
            <w:rPr>
              <w:rFonts w:ascii="Times New Roman" w:eastAsia="黑体" w:hAnsi="Times New Roman" w:hint="eastAsia"/>
              <w:szCs w:val="32"/>
              <w:highlight w:val="auto"/>
            </w:rPr>
            <w:t>支</w:t>
          </w:r>
          <w:r>
            <w:rPr>
              <w:rFonts w:ascii="Times New Roman" w:eastAsia="黑体" w:hAnsi="Times New Roman" w:hint="eastAsia"/>
              <w:highlight w:val="auto"/>
            </w:rPr>
            <w:t>出决算情况说明</w:t>
          </w:r>
          <w:r>
            <w:tab/>
          </w:r>
          <w:r>
            <w:fldChar w:fldCharType="begin"/>
          </w:r>
          <w:r>
            <w:instrText xml:space="preserve"> PAGEREF _Toc1150556814 \h </w:instrText>
          </w:r>
          <w:r>
            <w:fldChar w:fldCharType="separate"/>
          </w:r>
          <w:r>
            <w:t>- 8 -</w:t>
          </w:r>
          <w:r>
            <w:fldChar w:fldCharType="end"/>
          </w:r>
          <w:r>
            <w:fldChar w:fldCharType="end"/>
          </w:r>
        </w:p>
        <w:p>
          <w:pPr>
            <w:pStyle w:val="24"/>
            <w:tabs>
              <w:tab w:val="clear" w:pos="8296"/>
              <w:tab w:val="right" w:leader="dot" w:pos="8306"/>
            </w:tabs>
          </w:pPr>
          <w:r>
            <w:fldChar w:fldCharType="begin"/>
          </w:r>
          <w:r>
            <w:instrText xml:space="preserve"> HYPERLINK \l _Toc838131225 </w:instrText>
          </w:r>
          <w:r>
            <w:fldChar w:fldCharType="separate"/>
          </w:r>
          <w:r>
            <w:rPr>
              <w:rFonts w:ascii="Times New Roman" w:eastAsia="黑体" w:hAnsi="Times New Roman" w:hint="eastAsia"/>
              <w:szCs w:val="32"/>
              <w:highlight w:val="auto"/>
            </w:rPr>
            <w:t>四、财</w:t>
          </w:r>
          <w:r>
            <w:rPr>
              <w:rFonts w:ascii="Times New Roman" w:eastAsia="黑体" w:hAnsi="Times New Roman" w:hint="eastAsia"/>
              <w:highlight w:val="auto"/>
            </w:rPr>
            <w:t>政拨款收入支出决算总体情况说明</w:t>
          </w:r>
          <w:r>
            <w:tab/>
          </w:r>
          <w:r>
            <w:fldChar w:fldCharType="begin"/>
          </w:r>
          <w:r>
            <w:instrText xml:space="preserve"> PAGEREF _Toc838131225 \h </w:instrText>
          </w:r>
          <w:r>
            <w:fldChar w:fldCharType="separate"/>
          </w:r>
          <w:r>
            <w:t>- 9 -</w:t>
          </w:r>
          <w:r>
            <w:fldChar w:fldCharType="end"/>
          </w:r>
          <w:r>
            <w:fldChar w:fldCharType="end"/>
          </w:r>
        </w:p>
        <w:p>
          <w:pPr>
            <w:pStyle w:val="24"/>
            <w:tabs>
              <w:tab w:val="clear" w:pos="8296"/>
              <w:tab w:val="right" w:leader="dot" w:pos="8306"/>
            </w:tabs>
          </w:pPr>
          <w:r>
            <w:fldChar w:fldCharType="begin"/>
          </w:r>
          <w:r>
            <w:instrText xml:space="preserve"> HYPERLINK \l _Toc1982787523 </w:instrText>
          </w:r>
          <w:r>
            <w:fldChar w:fldCharType="separate"/>
          </w:r>
          <w:r>
            <w:rPr>
              <w:rFonts w:ascii="Times New Roman" w:eastAsia="黑体" w:hAnsi="Times New Roman" w:hint="eastAsia"/>
              <w:szCs w:val="32"/>
              <w:highlight w:val="auto"/>
            </w:rPr>
            <w:t>五、一</w:t>
          </w:r>
          <w:r>
            <w:rPr>
              <w:rFonts w:ascii="Times New Roman" w:eastAsia="黑体" w:hAnsi="Times New Roman" w:hint="eastAsia"/>
              <w:highlight w:val="auto"/>
            </w:rPr>
            <w:t>般公共预算财政拨款支出决算情况说明</w:t>
          </w:r>
          <w:r>
            <w:tab/>
          </w:r>
          <w:r>
            <w:fldChar w:fldCharType="begin"/>
          </w:r>
          <w:r>
            <w:instrText xml:space="preserve"> PAGEREF _Toc1982787523 \h </w:instrText>
          </w:r>
          <w:r>
            <w:fldChar w:fldCharType="separate"/>
          </w:r>
          <w:r>
            <w:t>- 10 -</w:t>
          </w:r>
          <w:r>
            <w:fldChar w:fldCharType="end"/>
          </w:r>
          <w:r>
            <w:fldChar w:fldCharType="end"/>
          </w:r>
        </w:p>
        <w:p>
          <w:pPr>
            <w:pStyle w:val="24"/>
            <w:tabs>
              <w:tab w:val="clear" w:pos="8296"/>
              <w:tab w:val="right" w:leader="dot" w:pos="8306"/>
            </w:tabs>
          </w:pPr>
          <w:r>
            <w:fldChar w:fldCharType="begin"/>
          </w:r>
          <w:r>
            <w:instrText xml:space="preserve"> HYPERLINK \l _Toc1392842121 </w:instrText>
          </w:r>
          <w:r>
            <w:fldChar w:fldCharType="separate"/>
          </w:r>
          <w:r>
            <w:rPr>
              <w:rFonts w:ascii="Times New Roman" w:eastAsia="黑体" w:hAnsi="Times New Roman" w:hint="eastAsia"/>
              <w:szCs w:val="32"/>
              <w:highlight w:val="auto"/>
            </w:rPr>
            <w:t>六、一</w:t>
          </w:r>
          <w:r>
            <w:rPr>
              <w:rFonts w:ascii="Times New Roman" w:eastAsia="黑体" w:hAnsi="Times New Roman" w:hint="eastAsia"/>
              <w:highlight w:val="auto"/>
            </w:rPr>
            <w:t>般公共预算财政拨款基本支出决算情况说明</w:t>
          </w:r>
          <w:r>
            <w:tab/>
          </w:r>
          <w:r>
            <w:fldChar w:fldCharType="begin"/>
          </w:r>
          <w:r>
            <w:instrText xml:space="preserve"> PAGEREF _Toc1392842121 \h </w:instrText>
          </w:r>
          <w:r>
            <w:fldChar w:fldCharType="separate"/>
          </w:r>
          <w:r>
            <w:t>- 14 -</w:t>
          </w:r>
          <w:r>
            <w:fldChar w:fldCharType="end"/>
          </w:r>
          <w:r>
            <w:fldChar w:fldCharType="end"/>
          </w:r>
        </w:p>
        <w:p>
          <w:pPr>
            <w:pStyle w:val="24"/>
            <w:tabs>
              <w:tab w:val="clear" w:pos="8296"/>
              <w:tab w:val="right" w:leader="dot" w:pos="8306"/>
            </w:tabs>
          </w:pPr>
          <w:r>
            <w:fldChar w:fldCharType="begin"/>
          </w:r>
          <w:r>
            <w:instrText xml:space="preserve"> HYPERLINK \l _Toc714235004 </w:instrText>
          </w:r>
          <w:r>
            <w:fldChar w:fldCharType="separate"/>
          </w:r>
          <w:r>
            <w:rPr>
              <w:rFonts w:ascii="Times New Roman" w:eastAsia="黑体" w:hAnsi="Times New Roman" w:hint="eastAsia"/>
              <w:szCs w:val="32"/>
              <w:highlight w:val="auto"/>
            </w:rPr>
            <w:t>七、</w:t>
          </w:r>
          <w:r>
            <w:rPr>
              <w:rFonts w:ascii="Times New Roman" w:eastAsia="黑体" w:hAnsi="Times New Roman" w:hint="eastAsia"/>
              <w:highlight w:val="auto"/>
            </w:rPr>
            <w:t>财政拨款“三公”经费支出决算情况说明</w:t>
          </w:r>
          <w:r>
            <w:tab/>
          </w:r>
          <w:r>
            <w:fldChar w:fldCharType="begin"/>
          </w:r>
          <w:r>
            <w:instrText xml:space="preserve"> PAGEREF _Toc714235004 \h </w:instrText>
          </w:r>
          <w:r>
            <w:fldChar w:fldCharType="separate"/>
          </w:r>
          <w:r>
            <w:t>- 15 -</w:t>
          </w:r>
          <w:r>
            <w:fldChar w:fldCharType="end"/>
          </w:r>
          <w:r>
            <w:fldChar w:fldCharType="end"/>
          </w:r>
        </w:p>
        <w:p>
          <w:pPr>
            <w:pStyle w:val="24"/>
            <w:tabs>
              <w:tab w:val="clear" w:pos="8296"/>
              <w:tab w:val="right" w:leader="dot" w:pos="8306"/>
            </w:tabs>
          </w:pPr>
          <w:r>
            <w:fldChar w:fldCharType="begin"/>
          </w:r>
          <w:r>
            <w:instrText xml:space="preserve"> HYPERLINK \l _Toc628998357 </w:instrText>
          </w:r>
          <w:r>
            <w:fldChar w:fldCharType="separate"/>
          </w:r>
          <w:r>
            <w:rPr>
              <w:rFonts w:ascii="Times New Roman" w:eastAsia="黑体" w:hAnsi="Times New Roman" w:hint="eastAsia"/>
              <w:szCs w:val="32"/>
              <w:highlight w:val="auto"/>
            </w:rPr>
            <w:t>八、</w:t>
          </w:r>
          <w:r>
            <w:rPr>
              <w:rFonts w:ascii="Times New Roman" w:eastAsia="黑体" w:hAnsi="Times New Roman" w:hint="eastAsia"/>
              <w:highlight w:val="auto"/>
            </w:rPr>
            <w:t>政府性基金预算支出决算情况说明</w:t>
          </w:r>
          <w:r>
            <w:tab/>
          </w:r>
          <w:r>
            <w:fldChar w:fldCharType="begin"/>
          </w:r>
          <w:r>
            <w:instrText xml:space="preserve"> PAGEREF _Toc628998357 \h </w:instrText>
          </w:r>
          <w:r>
            <w:fldChar w:fldCharType="separate"/>
          </w:r>
          <w:r>
            <w:t>- 17 -</w:t>
          </w:r>
          <w:r>
            <w:fldChar w:fldCharType="end"/>
          </w:r>
          <w:r>
            <w:fldChar w:fldCharType="end"/>
          </w:r>
        </w:p>
        <w:p>
          <w:pPr>
            <w:pStyle w:val="24"/>
            <w:tabs>
              <w:tab w:val="clear" w:pos="8296"/>
              <w:tab w:val="right" w:leader="dot" w:pos="8306"/>
            </w:tabs>
          </w:pPr>
          <w:r>
            <w:fldChar w:fldCharType="begin"/>
          </w:r>
          <w:r>
            <w:instrText xml:space="preserve"> HYPERLINK \l _Toc307451339 </w:instrText>
          </w:r>
          <w:r>
            <w:fldChar w:fldCharType="separate"/>
          </w:r>
          <w:r>
            <w:rPr>
              <w:rFonts w:ascii="Times New Roman" w:eastAsia="黑体" w:hAnsi="Times New Roman" w:hint="eastAsia"/>
              <w:lang w:eastAsia="zh-CN"/>
              <w:highlight w:val="auto"/>
            </w:rPr>
            <w:t>九、</w:t>
          </w:r>
          <w:r>
            <w:rPr>
              <w:rFonts w:ascii="Times New Roman" w:eastAsia="黑体" w:hAnsi="Times New Roman" w:hint="eastAsia"/>
              <w:highlight w:val="auto"/>
            </w:rPr>
            <w:t>国有资本经营预算支出决算情况说明</w:t>
          </w:r>
          <w:r>
            <w:tab/>
          </w:r>
          <w:r>
            <w:fldChar w:fldCharType="begin"/>
          </w:r>
          <w:r>
            <w:instrText xml:space="preserve"> PAGEREF _Toc307451339 \h </w:instrText>
          </w:r>
          <w:r>
            <w:fldChar w:fldCharType="separate"/>
          </w:r>
          <w:r>
            <w:t>- 17 -</w:t>
          </w:r>
          <w:r>
            <w:fldChar w:fldCharType="end"/>
          </w:r>
          <w:r>
            <w:fldChar w:fldCharType="end"/>
          </w:r>
        </w:p>
        <w:p>
          <w:pPr>
            <w:pStyle w:val="24"/>
            <w:tabs>
              <w:tab w:val="clear" w:pos="8296"/>
              <w:tab w:val="right" w:leader="dot" w:pos="8306"/>
            </w:tabs>
          </w:pPr>
          <w:r>
            <w:fldChar w:fldCharType="begin"/>
          </w:r>
          <w:r>
            <w:instrText xml:space="preserve"> HYPERLINK \l _Toc2005376269 </w:instrText>
          </w:r>
          <w:r>
            <w:fldChar w:fldCharType="separate"/>
          </w:r>
          <w:r>
            <w:rPr>
              <w:rFonts w:ascii="Times New Roman" w:eastAsia="黑体" w:hAnsi="Times New Roman" w:hint="eastAsia"/>
              <w:lang w:eastAsia="zh-CN"/>
              <w:highlight w:val="auto"/>
            </w:rPr>
            <w:t>十、</w:t>
          </w:r>
          <w:r>
            <w:rPr>
              <w:rFonts w:ascii="Times New Roman" w:eastAsia="黑体" w:hAnsi="Times New Roman" w:hint="eastAsia"/>
              <w:highlight w:val="auto"/>
            </w:rPr>
            <w:t>其他重要事项的情况说明</w:t>
          </w:r>
          <w:r>
            <w:tab/>
          </w:r>
          <w:r>
            <w:fldChar w:fldCharType="begin"/>
          </w:r>
          <w:r>
            <w:instrText xml:space="preserve"> PAGEREF _Toc2005376269 \h </w:instrText>
          </w:r>
          <w:r>
            <w:fldChar w:fldCharType="separate"/>
          </w:r>
          <w:r>
            <w:t>- 18 -</w:t>
          </w:r>
          <w:r>
            <w:fldChar w:fldCharType="end"/>
          </w:r>
          <w:r>
            <w:fldChar w:fldCharType="end"/>
          </w:r>
        </w:p>
        <w:p>
          <w:pPr>
            <w:pStyle w:val="23"/>
            <w:tabs>
              <w:tab w:val="clear" w:pos="8296"/>
              <w:tab w:val="right" w:leader="dot" w:pos="8306"/>
            </w:tabs>
          </w:pPr>
          <w:r>
            <w:fldChar w:fldCharType="begin"/>
          </w:r>
          <w:r>
            <w:instrText xml:space="preserve"> HYPERLINK \l _Toc234793058 </w:instrText>
          </w:r>
          <w:r>
            <w:fldChar w:fldCharType="separate"/>
          </w:r>
          <w:r>
            <w:rPr>
              <w:rFonts w:ascii="Times New Roman" w:eastAsia="黑体" w:hAnsi="Times New Roman" w:hint="eastAsia"/>
              <w:szCs w:val="44"/>
              <w:highlight w:val="auto"/>
            </w:rPr>
            <w:t>第</w:t>
          </w:r>
          <w:r>
            <w:rPr>
              <w:rFonts w:eastAsia="黑体" w:hint="eastAsia"/>
              <w:szCs w:val="44"/>
              <w:lang w:eastAsia="zh-CN"/>
              <w:highlight w:val="auto"/>
            </w:rPr>
            <w:t>三</w:t>
          </w:r>
          <w:r>
            <w:rPr>
              <w:rFonts w:ascii="Times New Roman" w:eastAsia="黑体" w:hAnsi="Times New Roman" w:hint="eastAsia"/>
              <w:szCs w:val="44"/>
              <w:highlight w:val="auto"/>
            </w:rPr>
            <w:t>部分</w:t>
          </w:r>
          <w:r>
            <w:rPr>
              <w:rFonts w:ascii="Times New Roman" w:eastAsia="黑体" w:hAnsi="Times New Roman" w:hint="eastAsia"/>
              <w:szCs w:val="44"/>
              <w:lang w:val="en-US" w:eastAsia="zh-CN"/>
              <w:highlight w:val="auto"/>
            </w:rPr>
            <w:t xml:space="preserve"> </w:t>
          </w:r>
          <w:r>
            <w:rPr>
              <w:rFonts w:eastAsia="黑体" w:hint="eastAsia"/>
              <w:szCs w:val="44"/>
              <w:lang w:val="en-US" w:eastAsia="zh-CN"/>
              <w:highlight w:val="auto"/>
            </w:rPr>
            <w:t xml:space="preserve"> </w:t>
          </w:r>
          <w:r>
            <w:rPr>
              <w:rFonts w:ascii="Times New Roman" w:eastAsia="黑体" w:hAnsi="Times New Roman" w:hint="eastAsia"/>
              <w:szCs w:val="44"/>
              <w:highlight w:val="auto"/>
            </w:rPr>
            <w:t>名词解释</w:t>
          </w:r>
          <w:r>
            <w:tab/>
          </w:r>
          <w:r>
            <w:fldChar w:fldCharType="begin"/>
          </w:r>
          <w:r>
            <w:instrText xml:space="preserve"> PAGEREF _Toc234793058 \h </w:instrText>
          </w:r>
          <w:r>
            <w:fldChar w:fldCharType="separate"/>
          </w:r>
          <w:r>
            <w:t>- 19 -</w:t>
          </w:r>
          <w:r>
            <w:fldChar w:fldCharType="end"/>
          </w:r>
          <w:r>
            <w:fldChar w:fldCharType="end"/>
          </w:r>
        </w:p>
        <w:p>
          <w:pPr>
            <w:pStyle w:val="23"/>
            <w:tabs>
              <w:tab w:val="clear" w:pos="8296"/>
              <w:tab w:val="right" w:leader="dot" w:pos="8306"/>
            </w:tabs>
          </w:pPr>
          <w:r>
            <w:fldChar w:fldCharType="begin"/>
          </w:r>
          <w:r>
            <w:instrText xml:space="preserve"> HYPERLINK \l _Toc1633170161 </w:instrText>
          </w:r>
          <w:r>
            <w:fldChar w:fldCharType="separate"/>
          </w:r>
          <w:r>
            <w:rPr>
              <w:rFonts w:ascii="Times New Roman" w:eastAsia="黑体" w:hAnsi="Times New Roman" w:hint="eastAsia"/>
              <w:szCs w:val="44"/>
              <w:highlight w:val="auto"/>
            </w:rPr>
            <w:t>第四部分</w:t>
          </w:r>
          <w:r>
            <w:rPr>
              <w:rFonts w:ascii="Times New Roman" w:eastAsia="黑体" w:hAnsi="Times New Roman" w:hint="eastAsia"/>
              <w:szCs w:val="44"/>
              <w:lang w:val="en-US" w:eastAsia="zh-CN"/>
              <w:highlight w:val="auto"/>
            </w:rPr>
            <w:t xml:space="preserve"> </w:t>
          </w:r>
          <w:r>
            <w:rPr>
              <w:rFonts w:ascii="Times New Roman" w:eastAsia="黑体" w:hAnsi="Times New Roman" w:hint="eastAsia"/>
              <w:szCs w:val="44"/>
              <w:highlight w:val="auto"/>
            </w:rPr>
            <w:t xml:space="preserve"> 附件</w:t>
          </w:r>
          <w:r>
            <w:tab/>
          </w:r>
          <w:r>
            <w:fldChar w:fldCharType="begin"/>
          </w:r>
          <w:r>
            <w:instrText xml:space="preserve"> PAGEREF _Toc1633170161 \h </w:instrText>
          </w:r>
          <w:r>
            <w:fldChar w:fldCharType="separate"/>
          </w:r>
          <w:r>
            <w:t>- 24 -</w:t>
          </w:r>
          <w:r>
            <w:fldChar w:fldCharType="end"/>
          </w:r>
          <w:r>
            <w:fldChar w:fldCharType="end"/>
          </w:r>
        </w:p>
        <w:p>
          <w:pPr>
            <w:pStyle w:val="23"/>
            <w:tabs>
              <w:tab w:val="clear" w:pos="8296"/>
              <w:tab w:val="right" w:leader="dot" w:pos="8306"/>
            </w:tabs>
          </w:pPr>
          <w:r>
            <w:fldChar w:fldCharType="begin"/>
          </w:r>
          <w:r>
            <w:instrText xml:space="preserve"> HYPERLINK \l _Toc2070325222 </w:instrText>
          </w:r>
          <w:r>
            <w:fldChar w:fldCharType="separate"/>
          </w:r>
          <w:r>
            <w:rPr>
              <w:rFonts w:ascii="Times New Roman" w:eastAsia="黑体" w:hAnsi="Times New Roman" w:hint="eastAsia"/>
              <w:szCs w:val="44"/>
              <w:highlight w:val="auto"/>
            </w:rPr>
            <w:t>第</w:t>
          </w:r>
          <w:r>
            <w:rPr>
              <w:rFonts w:ascii="Times New Roman" w:eastAsia="黑体" w:hAnsi="Times New Roman" w:hint="eastAsia"/>
              <w:highlight w:val="auto"/>
            </w:rPr>
            <w:t>五部分</w:t>
          </w:r>
          <w:r>
            <w:rPr>
              <w:rFonts w:eastAsia="黑体" w:hint="eastAsia"/>
              <w:lang w:val="en-US"/>
              <w:highlight w:val="auto"/>
            </w:rPr>
            <w:t xml:space="preserve"> </w:t>
          </w:r>
          <w:r>
            <w:rPr>
              <w:rFonts w:ascii="Times New Roman" w:eastAsia="黑体" w:hAnsi="Times New Roman" w:hint="eastAsia"/>
              <w:highlight w:val="auto"/>
            </w:rPr>
            <w:t xml:space="preserve"> 附表</w:t>
          </w:r>
          <w:r>
            <w:tab/>
          </w:r>
          <w:r>
            <w:fldChar w:fldCharType="begin"/>
          </w:r>
          <w:r>
            <w:instrText xml:space="preserve"> PAGEREF _Toc2070325222 \h </w:instrText>
          </w:r>
          <w:r>
            <w:fldChar w:fldCharType="separate"/>
          </w:r>
          <w:r>
            <w:t>- 25 -</w:t>
          </w:r>
          <w:r>
            <w:fldChar w:fldCharType="end"/>
          </w:r>
          <w:r>
            <w:fldChar w:fldCharType="end"/>
          </w:r>
        </w:p>
        <w:p>
          <w:pPr>
            <w:rPr>
              <w:b/>
            </w:rPr>
          </w:pPr>
          <w:r>
            <w:fldChar w:fldCharType="end"/>
          </w:r>
        </w:p>
      </w:sdtContent>
    </w:sdt>
    <w:p>
      <w:pPr>
        <w:rPr>
          <w:b/>
        </w:rPr>
      </w:pPr>
    </w:p>
    <w:p>
      <w:pPr>
        <w:keepNext w:val="0"/>
        <w:keepLines w:val="0"/>
        <w:pageBreakBefore w:val="0"/>
        <w:widowControl/>
        <w:kinsoku/>
        <w:wordWrap/>
        <w:overflowPunct/>
        <w:topLinePunct w:val="0"/>
        <w:autoSpaceDE/>
        <w:autoSpaceDN/>
        <w:bidi w:val="0"/>
        <w:spacing w:line="560" w:lineRule="exact"/>
        <w:jc w:val="left"/>
        <w:textAlignment w:val="auto"/>
        <w:outlineLvl w:val="9"/>
        <w:rPr>
          <w:rFonts w:ascii="Times New Roman" w:eastAsia="仿宋_GB2312" w:cs="仿宋_GB2312" w:hAnsi="Times New Roman" w:hint="eastAsia"/>
          <w:bCs/>
          <w:color w:val="auto"/>
          <w:kern w:val="44"/>
          <w:sz w:val="32"/>
          <w:szCs w:val="32"/>
          <w:highlight w:val="auto"/>
        </w:rPr>
      </w:pPr>
      <w:r>
        <w:rPr>
          <w:rFonts w:ascii="Times New Roman" w:eastAsia="仿宋_GB2312" w:cs="仿宋_GB2312" w:hAnsi="Times New Roman" w:hint="eastAsia"/>
          <w:b/>
          <w:color w:val="auto"/>
          <w:sz w:val="32"/>
          <w:szCs w:val="32"/>
          <w:highlight w:val="auto"/>
        </w:rPr>
        <w:br w:type="page"/>
      </w:r>
    </w:p>
    <w:p>
      <w:pPr>
        <w:pStyle w:val="1"/>
        <w:jc w:val="center"/>
        <w:rPr>
          <w:rStyle w:val="1Char"/>
          <w:rFonts w:ascii="Times New Roman" w:eastAsia="方正小标宋简体" w:cs="方正小标宋简体" w:hAnsi="Times New Roman" w:hint="eastAsia"/>
          <w:b/>
          <w:bCs w:val="0"/>
          <w:color w:val="auto"/>
          <w:highlight w:val="auto"/>
        </w:rPr>
      </w:pPr>
      <w:bookmarkStart w:id="15" w:name="_Toc1336424616"/>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ascii="Times New Roman" w:eastAsia="方正小标宋简体" w:cs="方正小标宋简体" w:hAnsi="Times New Roman" w:hint="eastAsia"/>
          <w:b w:val="0"/>
          <w:bCs w:val="0"/>
          <w:color w:val="auto"/>
          <w:highlight w:val="auto"/>
        </w:rPr>
        <w:t>部门概况</w:t>
      </w:r>
      <w:bookmarkEnd w:id="13"/>
      <w:bookmarkEnd w:id="14"/>
      <w:bookmarkEnd w:id="15"/>
    </w:p>
    <w:p>
      <w:pPr>
        <w:widowControl/>
        <w:jc w:val="left"/>
        <w:rPr>
          <w:rFonts w:ascii="Times New Roman" w:eastAsia="黑体" w:hAnsi="Times New Roman"/>
          <w:color w:val="auto"/>
          <w:sz w:val="32"/>
          <w:szCs w:val="32"/>
          <w:highlight w:val="auto"/>
        </w:rPr>
      </w:pPr>
    </w:p>
    <w:p>
      <w:pPr>
        <w:pStyle w:val="2"/>
        <w:ind w:firstLineChars="200" w:firstLine="640"/>
        <w:rPr>
          <w:rStyle w:val="2Char"/>
          <w:rFonts w:ascii="Times New Roman" w:eastAsia="黑体" w:hAnsi="Times New Roman" w:hint="eastAsia"/>
          <w:b w:val="0"/>
          <w:bCs w:val="0"/>
          <w:color w:val="auto"/>
          <w:lang w:eastAsia="zh-CN"/>
          <w:highlight w:val="auto"/>
        </w:rPr>
      </w:pPr>
      <w:bookmarkStart w:id="16" w:name="_Toc15377197"/>
      <w:bookmarkStart w:id="17" w:name="_Toc15396600"/>
      <w:bookmarkStart w:id="18" w:name="_Toc207938315"/>
      <w:r>
        <w:rPr>
          <w:rFonts w:ascii="Times New Roman" w:eastAsia="黑体" w:hAnsi="Times New Roman" w:hint="eastAsia"/>
          <w:b w:val="0"/>
          <w:color w:val="auto"/>
          <w:highlight w:val="auto"/>
        </w:rPr>
        <w:t>一、</w:t>
      </w:r>
      <w:bookmarkEnd w:id="16"/>
      <w:bookmarkEnd w:id="17"/>
      <w:r>
        <w:rPr>
          <w:rFonts w:ascii="Times New Roman" w:eastAsia="黑体" w:hAnsi="Times New Roman" w:hint="eastAsia"/>
          <w:b w:val="0"/>
          <w:color w:val="auto"/>
          <w:lang w:eastAsia="zh-CN"/>
          <w:highlight w:val="auto"/>
        </w:rPr>
        <w:t>部门职责</w:t>
      </w:r>
      <w:bookmarkEnd w:id="18"/>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19" w:name="_Toc22641"/>
      <w:bookmarkStart w:id="20" w:name="_Toc15377200"/>
      <w:bookmarkStart w:id="21" w:name="_Toc15396601"/>
      <w:r>
        <w:rPr>
          <w:rFonts w:ascii="Times New Roman" w:eastAsia="仿宋_GB2312" w:hAnsi="Times New Roman"/>
          <w:color w:val="auto"/>
          <w:kern w:val="2"/>
          <w:sz w:val="32"/>
          <w:szCs w:val="32"/>
          <w:vertAlign w:val="baseline"/>
          <w:lang w:val="en-US" w:eastAsia="zh-CN" w:bidi="ar-SA"/>
        </w:rPr>
        <w:t>攀枝花市卫生健康委员会是政府工作部门，根据《攀枝花市人民政府办公室关于印发攀枝花市卫生健康委员会主要职责内设机构和人员编制规定的通知》（攀委办〔2019〕34号）、《中共攀枝花市委机构编制委员会办公室关于调整市卫生健康委员会有关机构编制的通知》（攀编办〔2024〕21号）、《中共攀枝花市委机构编制委员会关于设立攀枝花市中医药发展服务中心的批复》（攀编发〔2022〕22号），主要职责如下：</w:t>
      </w:r>
      <w:bookmarkEnd w:id="19"/>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2" w:name="_Toc9041"/>
      <w:r>
        <w:rPr>
          <w:rFonts w:ascii="Times New Roman" w:eastAsia="仿宋_GB2312" w:hAnsi="Times New Roman"/>
          <w:color w:val="auto"/>
          <w:kern w:val="2"/>
          <w:sz w:val="32"/>
          <w:szCs w:val="32"/>
          <w:vertAlign w:val="baseline"/>
          <w:lang w:val="en-US" w:eastAsia="zh-CN" w:bidi="ar-SA"/>
        </w:rPr>
        <w:t>1.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22"/>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3" w:name="_Toc10714"/>
      <w:r>
        <w:rPr>
          <w:rFonts w:ascii="Times New Roman" w:eastAsia="仿宋_GB2312" w:hAnsi="Times New Roman"/>
          <w:color w:val="auto"/>
          <w:kern w:val="2"/>
          <w:sz w:val="32"/>
          <w:szCs w:val="32"/>
          <w:vertAlign w:val="baseline"/>
          <w:lang w:val="en-US" w:eastAsia="zh-CN" w:bidi="ar-SA"/>
        </w:rPr>
        <w:t>2.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23"/>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24" w:name="_Toc8244"/>
      <w:r>
        <w:rPr>
          <w:rFonts w:ascii="Times New Roman" w:eastAsia="仿宋_GB2312" w:hAnsi="Times New Roman"/>
          <w:color w:val="auto"/>
          <w:kern w:val="2"/>
          <w:sz w:val="32"/>
          <w:szCs w:val="32"/>
          <w:vertAlign w:val="baseline"/>
          <w:lang w:val="en-US" w:eastAsia="zh-CN" w:bidi="ar-SA"/>
        </w:rPr>
        <w:t>3.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24"/>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5" w:name="_Toc11817"/>
      <w:r>
        <w:rPr>
          <w:rFonts w:ascii="Times New Roman" w:eastAsia="仿宋_GB2312" w:hAnsi="Times New Roman"/>
          <w:color w:val="auto"/>
          <w:kern w:val="2"/>
          <w:sz w:val="32"/>
          <w:szCs w:val="32"/>
          <w:vertAlign w:val="baseline"/>
          <w:lang w:val="en-US" w:eastAsia="zh-CN" w:bidi="ar-SA"/>
        </w:rPr>
        <w:t>4.贯彻落实国家药物政策和国家基本药物制度。开展药械使用监测、临床综合评价和短缺药品预警，组织执行国家药典和国家基本药物目录，制定基本药物使用的政策措施。</w:t>
      </w:r>
      <w:bookmarkEnd w:id="25"/>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6" w:name="_Toc26452"/>
      <w:r>
        <w:rPr>
          <w:rFonts w:ascii="Times New Roman" w:eastAsia="仿宋_GB2312" w:hAnsi="Times New Roman"/>
          <w:color w:val="auto"/>
          <w:kern w:val="2"/>
          <w:sz w:val="32"/>
          <w:szCs w:val="32"/>
          <w:vertAlign w:val="baseline"/>
          <w:lang w:val="en-US" w:eastAsia="zh-CN" w:bidi="ar-SA"/>
        </w:rPr>
        <w:t>5.组织实施食品安全风险监测，开展食品安全企业标准备案，组织开展食品安全事故流行病学调查。</w:t>
      </w:r>
      <w:bookmarkEnd w:id="26"/>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7" w:name="_Toc11261"/>
      <w:r>
        <w:rPr>
          <w:rFonts w:ascii="Times New Roman" w:eastAsia="仿宋_GB2312" w:hAnsi="Times New Roman"/>
          <w:color w:val="auto"/>
          <w:kern w:val="2"/>
          <w:sz w:val="32"/>
          <w:szCs w:val="32"/>
          <w:vertAlign w:val="baseline"/>
          <w:lang w:val="en-US" w:eastAsia="zh-CN" w:bidi="ar-SA"/>
        </w:rPr>
        <w:t>6.负责职责范围内的职业卫生、放射卫生、环境卫生、学校卫生、公共场所卫生、饮用水卫生等公共卫生的监督管理。负责传染病防治监督，健全卫生健康综合监管体系。</w:t>
      </w:r>
      <w:bookmarkEnd w:id="27"/>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8" w:name="_Toc5684"/>
      <w:r>
        <w:rPr>
          <w:rFonts w:ascii="Times New Roman" w:eastAsia="仿宋_GB2312" w:hAnsi="Times New Roman"/>
          <w:color w:val="auto"/>
          <w:kern w:val="2"/>
          <w:sz w:val="32"/>
          <w:szCs w:val="32"/>
          <w:vertAlign w:val="baseline"/>
          <w:lang w:val="en-US" w:eastAsia="zh-CN" w:bidi="ar-SA"/>
        </w:rPr>
        <w:t>7.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28"/>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29" w:name="_Toc21740"/>
      <w:r>
        <w:rPr>
          <w:rFonts w:ascii="Times New Roman" w:eastAsia="仿宋_GB2312" w:hAnsi="Times New Roman"/>
          <w:color w:val="auto"/>
          <w:kern w:val="2"/>
          <w:sz w:val="32"/>
          <w:szCs w:val="32"/>
          <w:vertAlign w:val="baseline"/>
          <w:lang w:val="en-US" w:eastAsia="zh-CN" w:bidi="ar-SA"/>
        </w:rPr>
        <w:t>8.</w:t>
      </w:r>
      <w:bookmarkEnd w:id="29"/>
      <w:r>
        <w:rPr>
          <w:rFonts w:ascii="Times New Roman" w:eastAsia="仿宋_GB2312" w:hAnsi="Times New Roman"/>
          <w:color w:val="auto"/>
          <w:kern w:val="2"/>
          <w:sz w:val="32"/>
          <w:szCs w:val="32"/>
          <w:vertAlign w:val="baseline"/>
          <w:lang w:val="en-US" w:eastAsia="zh-CN" w:bidi="ar-SA"/>
        </w:rPr>
        <w:t>负责全市中医药传承与发展研究、健康服务标准应用、中医药适宜技术推广、交流合作、信息服务等事务性工作。协助开展全市中医药产业发展规划和建设指导工作，提供中医药产业发展标准规范，组织开展中医药人才培养、培训项目实施。负责全市中医药产业统计调查、中医药服务监测、医改监测、数据质控、挖掘、分析、发布等。负责市中医药学会的事务性工作。负责全市中医药行业资格考试、科研教学、评审评价等事务性工作。</w:t>
      </w:r>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0" w:name="_Toc28379"/>
      <w:r>
        <w:rPr>
          <w:rFonts w:ascii="Times New Roman" w:eastAsia="仿宋_GB2312" w:hAnsi="Times New Roman"/>
          <w:color w:val="auto"/>
          <w:kern w:val="2"/>
          <w:sz w:val="32"/>
          <w:szCs w:val="32"/>
          <w:vertAlign w:val="baseline"/>
          <w:lang w:val="en-US" w:eastAsia="zh-CN" w:bidi="ar-SA"/>
        </w:rPr>
        <w:t>9.负责全市计划生育管理和服务工作，开展人口监测预警，研究提出人口与家庭发展相关政策建议，执行计划生育政策。指导市计划生育协会的业务工作。</w:t>
      </w:r>
      <w:bookmarkEnd w:id="30"/>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1" w:name="_Toc29755"/>
      <w:r>
        <w:rPr>
          <w:rFonts w:ascii="Times New Roman" w:eastAsia="仿宋_GB2312" w:hAnsi="Times New Roman"/>
          <w:color w:val="auto"/>
          <w:kern w:val="2"/>
          <w:sz w:val="32"/>
          <w:szCs w:val="32"/>
          <w:vertAlign w:val="baseline"/>
          <w:lang w:val="en-US" w:eastAsia="zh-CN" w:bidi="ar-SA"/>
        </w:rPr>
        <w:t>10.指导县（区）卫生健康工作。指导基层医疗卫生、妇幼健康服务体系和基层卫生队伍建设。推进卫生健康科技创新发展。</w:t>
      </w:r>
      <w:bookmarkEnd w:id="31"/>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2" w:name="_Toc10822"/>
      <w:r>
        <w:rPr>
          <w:rFonts w:ascii="Times New Roman" w:eastAsia="仿宋_GB2312" w:hAnsi="Times New Roman"/>
          <w:color w:val="auto"/>
          <w:kern w:val="2"/>
          <w:sz w:val="32"/>
          <w:szCs w:val="32"/>
          <w:vertAlign w:val="baseline"/>
          <w:lang w:val="en-US" w:eastAsia="zh-CN" w:bidi="ar-SA"/>
        </w:rPr>
        <w:t>11.负责市级确定的保健对象医疗保健工作，负责市级有关部门（单位）离休干部医疗管理工作。负责重要会议与重大活动的医疗卫生保障工作。</w:t>
      </w:r>
      <w:bookmarkEnd w:id="32"/>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33" w:name="_Toc13971"/>
      <w:r>
        <w:rPr>
          <w:rFonts w:ascii="Times New Roman" w:eastAsia="仿宋_GB2312" w:hAnsi="Times New Roman"/>
          <w:color w:val="auto"/>
          <w:kern w:val="2"/>
          <w:sz w:val="32"/>
          <w:szCs w:val="32"/>
          <w:vertAlign w:val="baseline"/>
          <w:lang w:val="en-US" w:eastAsia="zh-CN" w:bidi="ar-SA"/>
        </w:rPr>
        <w:t>12.依法依规履行卫生健康行业安全生产监管职责，负责职责范围内的生态环境保护、审批服务便民化等工作。</w:t>
      </w:r>
      <w:bookmarkEnd w:id="33"/>
    </w:p>
    <w:p>
      <w:pPr>
        <w:pStyle w:val="25"/>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0" w:firstLine="640"/>
        <w:outlineLvl w:val="2"/>
        <w:rPr>
          <w:rFonts w:ascii="Times New Roman" w:eastAsia="仿宋_GB2312" w:hAnsi="Times New Roman"/>
          <w:color w:val="auto"/>
          <w:kern w:val="2"/>
          <w:sz w:val="32"/>
          <w:szCs w:val="32"/>
          <w:vertAlign w:val="baseline"/>
          <w:lang w:val="en-US" w:eastAsia="zh-CN" w:bidi="ar-SA"/>
        </w:rPr>
      </w:pPr>
      <w:bookmarkStart w:id="34" w:name="_Toc17299"/>
      <w:r>
        <w:rPr>
          <w:rFonts w:ascii="Times New Roman" w:eastAsia="仿宋_GB2312" w:hAnsi="Times New Roman"/>
          <w:color w:val="auto"/>
          <w:kern w:val="2"/>
          <w:sz w:val="32"/>
          <w:szCs w:val="32"/>
          <w:vertAlign w:val="baseline"/>
          <w:lang w:val="en-US" w:eastAsia="zh-CN" w:bidi="ar-SA"/>
        </w:rPr>
        <w:t>13.完成市委、市政府交办的其他任务。</w:t>
      </w:r>
      <w:bookmarkEnd w:id="34"/>
    </w:p>
    <w:p>
      <w:pPr>
        <w:pStyle w:val="25"/>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0" w:firstLine="640"/>
        <w:outlineLvl w:val="2"/>
        <w:rPr>
          <w:rFonts w:ascii="Times New Roman" w:eastAsia="仿宋_GB2312" w:hAnsi="Times New Roman"/>
          <w:kern w:val="2"/>
          <w:sz w:val="32"/>
          <w:szCs w:val="32"/>
        </w:rPr>
      </w:pPr>
      <w:r>
        <w:rPr>
          <w:rFonts w:ascii="Times New Roman" w:eastAsia="仿宋_GB2312" w:hAnsi="Times New Roman"/>
          <w:color w:val="auto"/>
          <w:kern w:val="2"/>
          <w:sz w:val="32"/>
          <w:szCs w:val="32"/>
          <w:vertAlign w:val="baseline"/>
          <w:lang w:val="en-US" w:eastAsia="zh-CN" w:bidi="ar-SA"/>
        </w:rPr>
        <w:t>14.职能转变。市卫生健康委进一步转变职能，坚持党对卫生健康工作的集中统一领导，贯彻新时代卫生与健康工作方针，全面推进健康中国、健康四川、健康攀枝花建设，把保障人民健康放在优先发展的战略位置，弘扬伟大抗疫精神，认真总结固化疫情防控中经过实践检验的经验和模式，着力提高应对重大突发公共卫生事件的能力和水平，建立健全平战结合的重大疫情防控救治体系，织牢公共卫生防护网。</w:t>
      </w:r>
    </w:p>
    <w:p>
      <w:pPr>
        <w:pStyle w:val="2"/>
        <w:ind w:firstLineChars="200" w:firstLine="640"/>
        <w:rPr>
          <w:rStyle w:val="2Char"/>
          <w:rFonts w:ascii="Times New Roman" w:hAnsi="Times New Roman"/>
          <w:b w:val="0"/>
          <w:bCs w:val="0"/>
          <w:color w:val="auto"/>
          <w:highlight w:val="auto"/>
        </w:rPr>
      </w:pPr>
      <w:bookmarkStart w:id="35" w:name="_Toc406484804"/>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20"/>
      <w:bookmarkEnd w:id="21"/>
      <w:bookmarkEnd w:id="35"/>
    </w:p>
    <w:p>
      <w:pPr>
        <w:ind w:firstLineChars="250" w:firstLine="800"/>
        <w:rPr>
          <w:rFonts w:ascii="Times New Roman" w:eastAsia="仿宋_GB2312" w:cs="仿宋_GB2312" w:hAnsi="Times New Roman" w:hint="eastAsia"/>
          <w:color w:val="auto"/>
          <w:sz w:val="32"/>
          <w:szCs w:val="32"/>
          <w:highlight w:val="auto"/>
        </w:rPr>
      </w:pPr>
      <w:r>
        <w:rPr>
          <w:rFonts w:ascii="仿宋_GB2312" w:eastAsia="仿宋_GB2312" w:cs="仿宋_GB2312" w:hint="eastAsia"/>
          <w:color w:val="auto"/>
          <w:sz w:val="32"/>
          <w:szCs w:val="32"/>
          <w:highlight w:val="auto"/>
        </w:rPr>
        <w:t>四川省攀枝花市卫生健康委员会（本级）</w:t>
      </w:r>
      <w:r>
        <w:rPr>
          <w:rFonts w:ascii="Times New Roman" w:eastAsia="仿宋_GB2312" w:cs="仿宋_GB2312" w:hAnsi="Times New Roman" w:hint="eastAsia"/>
          <w:color w:val="auto"/>
          <w:sz w:val="32"/>
          <w:szCs w:val="32"/>
          <w:highlight w:val="auto"/>
        </w:rPr>
        <w:t>下属二级</w:t>
      </w:r>
      <w:r>
        <w:rPr>
          <w:rFonts w:ascii="Times New Roman" w:eastAsia="仿宋_GB2312" w:cs="仿宋_GB2312" w:hAnsi="Times New Roman" w:hint="eastAsia"/>
          <w:color w:val="auto"/>
          <w:sz w:val="32"/>
          <w:szCs w:val="32"/>
          <w:lang w:eastAsia="zh-CN"/>
          <w:highlight w:val="auto"/>
        </w:rPr>
        <w:t>预算</w:t>
      </w:r>
      <w:r>
        <w:rPr>
          <w:rFonts w:ascii="Times New Roman" w:eastAsia="仿宋_GB2312" w:cs="仿宋_GB2312" w:hAnsi="Times New Roman" w:hint="eastAsia"/>
          <w:color w:val="auto"/>
          <w:sz w:val="32"/>
          <w:szCs w:val="32"/>
          <w:highlight w:val="auto"/>
        </w:rPr>
        <w:t>单位</w:t>
      </w:r>
      <w:r>
        <w:rPr>
          <w:rFonts w:ascii="Times New Roman" w:eastAsia="仿宋_GB2312" w:cs="仿宋_GB2312" w:hAnsi="Times New Roman"/>
          <w:color w:val="auto"/>
          <w:sz w:val="32"/>
          <w:szCs w:val="32"/>
          <w:highlight w:val="auto"/>
        </w:rPr>
        <w:t>0</w:t>
      </w:r>
      <w:r>
        <w:rPr>
          <w:rFonts w:ascii="Times New Roman" w:eastAsia="仿宋_GB2312" w:cs="仿宋_GB2312" w:hAnsi="Times New Roman" w:hint="eastAsia"/>
          <w:color w:val="auto"/>
          <w:sz w:val="32"/>
          <w:szCs w:val="32"/>
          <w:highlight w:val="auto"/>
        </w:rPr>
        <w:t>个，其中行政单位</w:t>
      </w:r>
      <w:r>
        <w:rPr>
          <w:rFonts w:ascii="Times New Roman" w:eastAsia="仿宋_GB2312" w:cs="仿宋_GB2312" w:hAnsi="Times New Roman"/>
          <w:color w:val="auto"/>
          <w:sz w:val="32"/>
          <w:szCs w:val="32"/>
          <w:highlight w:val="auto"/>
        </w:rPr>
        <w:t>0</w:t>
      </w:r>
      <w:r>
        <w:rPr>
          <w:rFonts w:ascii="Times New Roman" w:eastAsia="仿宋_GB2312" w:cs="仿宋_GB2312" w:hAnsi="Times New Roman" w:hint="eastAsia"/>
          <w:color w:val="auto"/>
          <w:sz w:val="32"/>
          <w:szCs w:val="32"/>
          <w:highlight w:val="auto"/>
        </w:rPr>
        <w:t>个，参照公务员法管理的事业单位</w:t>
      </w:r>
      <w:r>
        <w:rPr>
          <w:rFonts w:ascii="Times New Roman" w:eastAsia="仿宋_GB2312" w:cs="仿宋_GB2312" w:hAnsi="Times New Roman"/>
          <w:bCs/>
          <w:color w:val="auto"/>
          <w:sz w:val="32"/>
          <w:szCs w:val="32"/>
          <w:highlight w:val="auto"/>
        </w:rPr>
        <w:t>0</w:t>
      </w:r>
      <w:r>
        <w:rPr>
          <w:rFonts w:ascii="Times New Roman" w:eastAsia="仿宋_GB2312" w:cs="仿宋_GB2312" w:hAnsi="Times New Roman" w:hint="eastAsia"/>
          <w:color w:val="auto"/>
          <w:sz w:val="32"/>
          <w:szCs w:val="32"/>
          <w:highlight w:val="auto"/>
        </w:rPr>
        <w:t>个，其他事业单位</w:t>
      </w:r>
      <w:r>
        <w:rPr>
          <w:rFonts w:ascii="Times New Roman" w:eastAsia="仿宋_GB2312" w:cs="仿宋_GB2312" w:hAnsi="Times New Roman"/>
          <w:color w:val="auto"/>
          <w:sz w:val="32"/>
          <w:szCs w:val="32"/>
          <w:highlight w:val="auto"/>
        </w:rPr>
        <w:t>0</w:t>
      </w:r>
      <w:r>
        <w:rPr>
          <w:rFonts w:ascii="Times New Roman" w:eastAsia="仿宋_GB2312" w:cs="仿宋_GB2312" w:hAnsi="Times New Roman" w:hint="eastAsia"/>
          <w:color w:val="auto"/>
          <w:sz w:val="32"/>
          <w:szCs w:val="32"/>
          <w:highlight w:val="auto"/>
        </w:rPr>
        <w:t>个。</w:t>
      </w:r>
    </w:p>
    <w:p>
      <w:pPr>
        <w:pStyle w:val="18"/>
        <w:adjustRightInd w:val="0"/>
        <w:snapToGrid w:val="0"/>
        <w:spacing w:beforeLines="0" w:before="93" w:line="600" w:lineRule="exact"/>
        <w:ind w:firstLineChars="208" w:firstLine="666"/>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纳入</w:t>
      </w:r>
      <w:r>
        <w:rPr>
          <w:sz w:val="32"/>
          <w:szCs w:val="32"/>
        </w:rPr>
        <w:t>四川省攀枝花市卫生健康委员会（本级）</w:t>
      </w:r>
      <w:r>
        <w:rPr>
          <w:rFonts w:ascii="Times New Roman" w:eastAsia="仿宋_GB2312" w:cs="仿宋_GB2312" w:hAnsi="Times New Roman" w:hint="eastAsia"/>
          <w:color w:val="auto"/>
          <w:sz w:val="32"/>
          <w:szCs w:val="32"/>
          <w:lang w:eastAsia="zh-CN"/>
          <w:highlight w:val="auto"/>
        </w:rPr>
        <w:t>2024年度</w:t>
      </w:r>
      <w:r>
        <w:rPr>
          <w:rFonts w:ascii="Times New Roman" w:eastAsia="仿宋_GB2312" w:cs="仿宋_GB2312" w:hAnsi="Times New Roman" w:hint="eastAsia"/>
          <w:color w:val="auto"/>
          <w:sz w:val="32"/>
          <w:szCs w:val="32"/>
          <w:highlight w:val="auto"/>
        </w:rPr>
        <w:t>部门决算编制范围的二级预算</w:t>
      </w:r>
      <w:r>
        <w:rPr>
          <w:rFonts w:ascii="Times New Roman" w:eastAsia="仿宋_GB2312" w:cs="仿宋_GB2312" w:hAnsi="Times New Roman"/>
          <w:color w:val="auto"/>
          <w:sz w:val="32"/>
          <w:szCs w:val="32"/>
          <w:highlight w:val="auto"/>
        </w:rPr>
        <w:t>单位</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color w:val="auto"/>
          <w:sz w:val="32"/>
          <w:szCs w:val="32"/>
          <w:highlight w:val="auto"/>
        </w:rPr>
        <w:t>无。</w:t>
      </w:r>
    </w:p>
    <w:p>
      <w:pPr>
        <w:pStyle w:val="1"/>
        <w:jc w:val="center"/>
        <w:outlineLvl w:val="9"/>
        <w:rPr>
          <w:rFonts w:ascii="Times New Roman" w:eastAsia="仿宋_GB2312" w:cs="仿宋_GB2312" w:hAnsi="Times New Roman"/>
          <w:color w:val="auto"/>
          <w:sz w:val="32"/>
          <w:szCs w:val="32"/>
          <w:highlight w:val="auto"/>
        </w:rPr>
      </w:pPr>
      <w:bookmarkStart w:id="36" w:name="_Toc15396602"/>
      <w:bookmarkStart w:id="37" w:name="_Toc15377204"/>
    </w:p>
    <w:p>
      <w:pPr>
        <w:pStyle w:val="1"/>
        <w:jc w:val="center"/>
        <w:outlineLvl w:val="9"/>
        <w:rPr>
          <w:rFonts w:ascii="Times New Roman" w:eastAsia="仿宋_GB2312" w:cs="仿宋_GB2312" w:hAnsi="Times New Roman"/>
          <w:color w:val="auto"/>
          <w:sz w:val="32"/>
          <w:szCs w:val="32"/>
          <w:highlight w:val="auto"/>
        </w:rPr>
      </w:pPr>
    </w:p>
    <w:p/>
    <w:p>
      <w:pPr>
        <w:pStyle w:val="15"/>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
        <w:jc w:val="center"/>
        <w:rPr>
          <w:rFonts w:ascii="Times New Roman" w:eastAsia="方正小标宋简体" w:cs="方正小标宋简体" w:hAnsi="Times New Roman" w:hint="eastAsia"/>
          <w:b w:val="0"/>
          <w:color w:val="auto"/>
          <w:highlight w:val="auto"/>
        </w:rPr>
      </w:pPr>
      <w:bookmarkStart w:id="38" w:name="_Toc872598082"/>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ascii="Times New Roman" w:eastAsia="方正小标宋简体" w:cs="方正小标宋简体" w:hAnsi="Times New Roman" w:hint="eastAsia"/>
          <w:b w:val="0"/>
          <w:color w:val="auto"/>
          <w:highlight w:val="auto"/>
        </w:rPr>
        <w:t>部门决算情况说明</w:t>
      </w:r>
      <w:bookmarkEnd w:id="36"/>
      <w:bookmarkEnd w:id="37"/>
      <w:bookmarkEnd w:id="38"/>
    </w:p>
    <w:p>
      <w:pPr>
        <w:rPr>
          <w:rFonts w:ascii="Times New Roman" w:hAnsi="Times New Roman"/>
          <w:color w:val="auto"/>
          <w:highlight w:val="auto"/>
        </w:rPr>
      </w:pP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39" w:name="_Toc15377205"/>
      <w:bookmarkStart w:id="40" w:name="_Toc15396603"/>
      <w:bookmarkStart w:id="41" w:name="_Toc1488658707"/>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39"/>
      <w:bookmarkEnd w:id="40"/>
      <w:bookmarkEnd w:id="41"/>
    </w:p>
    <w:p>
      <w:pPr>
        <w:pStyle w:val="18"/>
        <w:bidi w:val="0"/>
        <w:ind w:firstLineChars="200" w:firstLine="640"/>
        <w:rPr>
          <w:rFonts w:ascii="Times New Roman" w:eastAsia="仿宋_GB2312" w:cs="Times New Roman" w:hAnsi="Times New Roman"/>
          <w:sz w:val="32"/>
          <w:szCs w:val="32"/>
          <w:lang w:eastAsia="zh-CN"/>
        </w:rPr>
      </w:pPr>
      <w:r>
        <w:rPr>
          <w:rFonts w:ascii="Times New Roman" w:eastAsia="仿宋_GB2312" w:cs="Times New Roman" w:hAnsi="Times New Roman"/>
          <w:sz w:val="32"/>
          <w:szCs w:val="32"/>
          <w:lang w:eastAsia="zh-CN"/>
        </w:rPr>
        <w:t>2024年度收入</w:t>
      </w:r>
      <w:r>
        <w:rPr>
          <w:rFonts w:ascii="Times New Roman" w:eastAsia="仿宋_GB2312" w:cs="Times New Roman" w:hAnsi="Times New Roman"/>
          <w:sz w:val="32"/>
          <w:szCs w:val="32"/>
        </w:rPr>
        <w:t>、</w:t>
      </w:r>
      <w:r>
        <w:rPr>
          <w:rFonts w:ascii="Times New Roman" w:eastAsia="仿宋_GB2312" w:cs="Times New Roman" w:hAnsi="Times New Roman"/>
          <w:sz w:val="32"/>
          <w:szCs w:val="32"/>
          <w:lang w:eastAsia="zh-CN"/>
        </w:rPr>
        <w:t>支出</w:t>
      </w:r>
      <w:r>
        <w:rPr>
          <w:rFonts w:ascii="Times New Roman" w:eastAsia="仿宋_GB2312" w:cs="Times New Roman" w:hAnsi="Times New Roman"/>
          <w:sz w:val="32"/>
          <w:szCs w:val="32"/>
        </w:rPr>
        <w:t>总计</w:t>
      </w:r>
      <w:r>
        <w:rPr>
          <w:rFonts w:ascii="Times New Roman" w:eastAsia="仿宋_GB2312" w:cs="Times New Roman" w:hAnsi="Times New Roman"/>
          <w:sz w:val="32"/>
          <w:szCs w:val="32"/>
          <w:lang w:eastAsia="zh-CN"/>
        </w:rPr>
        <w:t>均为</w:t>
      </w:r>
      <w:r>
        <w:rPr>
          <w:rFonts w:ascii="Times New Roman" w:eastAsia="仿宋_GB2312" w:cs="Times New Roman" w:hAnsi="Times New Roman"/>
          <w:sz w:val="32"/>
          <w:szCs w:val="32"/>
        </w:rPr>
        <w:t>31398.41万元。与</w:t>
      </w:r>
      <w:r>
        <w:rPr>
          <w:rFonts w:ascii="Times New Roman" w:eastAsia="仿宋_GB2312" w:cs="Times New Roman" w:hAnsi="Times New Roman"/>
          <w:sz w:val="32"/>
          <w:szCs w:val="32"/>
          <w:lang w:eastAsia="zh-CN"/>
        </w:rPr>
        <w:t>202</w:t>
      </w:r>
      <w:r>
        <w:rPr>
          <w:rFonts w:ascii="Times New Roman" w:eastAsia="仿宋_GB2312" w:cs="Times New Roman" w:hAnsi="Times New Roman"/>
          <w:sz w:val="32"/>
          <w:szCs w:val="32"/>
          <w:lang w:val="en-US" w:eastAsia="zh-CN"/>
        </w:rPr>
        <w:t>3</w:t>
      </w:r>
      <w:r>
        <w:rPr>
          <w:rFonts w:ascii="Times New Roman" w:eastAsia="仿宋_GB2312" w:cs="Times New Roman" w:hAnsi="Times New Roman"/>
          <w:sz w:val="32"/>
          <w:szCs w:val="32"/>
        </w:rPr>
        <w:t>年</w:t>
      </w:r>
      <w:r>
        <w:rPr>
          <w:rFonts w:ascii="Times New Roman" w:eastAsia="仿宋_GB2312" w:cs="Times New Roman" w:hAnsi="Times New Roman"/>
          <w:sz w:val="32"/>
          <w:szCs w:val="32"/>
          <w:lang w:eastAsia="zh-CN"/>
        </w:rPr>
        <w:t>度</w:t>
      </w:r>
      <w:r>
        <w:rPr>
          <w:rFonts w:ascii="Times New Roman" w:eastAsia="仿宋_GB2312" w:cs="Times New Roman" w:hAnsi="Times New Roman"/>
          <w:sz w:val="32"/>
          <w:szCs w:val="32"/>
        </w:rPr>
        <w:t>相比，</w:t>
      </w:r>
      <w:r>
        <w:rPr>
          <w:rFonts w:ascii="Times New Roman" w:eastAsia="仿宋_GB2312" w:cs="Times New Roman" w:hAnsi="Times New Roman"/>
          <w:sz w:val="32"/>
          <w:szCs w:val="32"/>
          <w:lang w:eastAsia="zh-CN"/>
        </w:rPr>
        <w:t>收入</w:t>
      </w:r>
      <w:r>
        <w:rPr>
          <w:rFonts w:ascii="Times New Roman" w:eastAsia="仿宋_GB2312" w:cs="Times New Roman" w:hAnsi="Times New Roman"/>
          <w:sz w:val="32"/>
          <w:szCs w:val="32"/>
        </w:rPr>
        <w:t>、</w:t>
      </w:r>
      <w:r>
        <w:rPr>
          <w:rFonts w:ascii="Times New Roman" w:eastAsia="仿宋_GB2312" w:cs="Times New Roman" w:hAnsi="Times New Roman"/>
          <w:sz w:val="32"/>
          <w:szCs w:val="32"/>
          <w:lang w:eastAsia="zh-CN"/>
        </w:rPr>
        <w:t>支出</w:t>
      </w:r>
      <w:r>
        <w:rPr>
          <w:rFonts w:ascii="Times New Roman" w:eastAsia="仿宋_GB2312" w:cs="Times New Roman" w:hAnsi="Times New Roman"/>
          <w:sz w:val="32"/>
          <w:szCs w:val="32"/>
        </w:rPr>
        <w:t>总计各增加27718.51万元，增长753.24%。主要变动原因是政府性基金预算财政拨款增加。</w:t>
      </w:r>
    </w:p>
    <w:p>
      <w:pPr>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eastAsia="仿宋_GB2312" w:cs="仿宋_GB2312" w:hAnsi="Times New Roman" w:hint="eastAsia"/>
          <w:color w:val="auto"/>
          <w:sz w:val="32"/>
          <w:szCs w:val="32"/>
          <w:lang w:eastAsia="zh-CN"/>
          <w:highlight w:val="auto"/>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w:t>
      </w:r>
    </w:p>
    <w:p>
      <w:pPr>
        <w:keepNext w:val="0"/>
        <w:keepLines w:val="0"/>
        <w:pageBreakBefore w:val="0"/>
        <w:widowControl w:val="0"/>
        <w:kinsoku/>
        <w:wordWrap/>
        <w:overflowPunct/>
        <w:topLinePunct w:val="0"/>
        <w:autoSpaceDE/>
        <w:autoSpaceDN/>
        <w:bidi w:val="0"/>
        <w:adjustRightInd/>
        <w:snapToGrid/>
        <w:textAlignment w:val="auto"/>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18" behindDoc="0" locked="0" layoutInCell="1" hidden="0" allowOverlap="1">
            <wp:simplePos x="0" y="0"/>
            <wp:positionH relativeFrom="column">
              <wp:posOffset>33655</wp:posOffset>
            </wp:positionH>
            <wp:positionV relativeFrom="paragraph">
              <wp:posOffset>74930</wp:posOffset>
            </wp:positionV>
            <wp:extent cx="5256530" cy="2988310"/>
            <wp:effectExtent l="0" t="0" r="0" b="0"/>
            <wp:wrapNone/>
            <wp:docPr id="1" name="图表 1"/>
            <wp:cNvGraphicFramePr>
              <a:graphicFrameLocks noChangeAspect="0"/>
            </wp:cNvGraphicFramePr>
            <a:graphic>
              <a:graphicData uri="http://schemas.openxmlformats.org/drawingml/2006/chart">
                <c:chart xmlns:c="http://schemas.openxmlformats.org/drawingml/2006/chart" r:id="rId3"/>
              </a:graphicData>
            </a:graphic>
          </wp:anchor>
        </w:drawing>
      </w:r>
    </w:p>
    <w:p>
      <w:pPr>
        <w:pStyle w:val="15"/>
        <w:keepNext w:val="0"/>
        <w:keepLines w:val="0"/>
        <w:pageBreakBefore w:val="0"/>
        <w:widowControl w:val="0"/>
        <w:bidi w:val="0"/>
        <w:adjustRightInd/>
        <w:snapToGrid w:val="0"/>
        <w:contextualSpacing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rPr>
          <w:rFonts w:hint="eastAsia"/>
        </w:rPr>
      </w:pP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42" w:name="_Toc15396604"/>
      <w:bookmarkStart w:id="43" w:name="_Toc15377206"/>
      <w:bookmarkStart w:id="44" w:name="_Toc392129602"/>
      <w:r>
        <w:rPr>
          <w:rFonts w:ascii="Times New Roman" w:eastAsia="黑体" w:hAnsi="Times New Roman" w:hint="eastAsia"/>
          <w:color w:val="auto"/>
          <w:sz w:val="32"/>
          <w:szCs w:val="32"/>
          <w:lang w:eastAsia="zh-CN"/>
          <w:highlight w:val="auto"/>
        </w:rPr>
        <w:t>二、收入决算情况说明</w:t>
      </w:r>
      <w:bookmarkEnd w:id="42"/>
      <w:bookmarkEnd w:id="43"/>
      <w:bookmarkEnd w:id="44"/>
    </w:p>
    <w:p>
      <w:pPr>
        <w:pStyle w:val="18"/>
        <w:bidi w:val="0"/>
        <w:ind w:firstLineChars="200" w:firstLine="640"/>
        <w:rPr>
          <w:rFonts w:ascii="Times New Roman" w:eastAsia="仿宋_GB2312" w:cs="Times New Roman" w:hAnsi="Times New Roman"/>
          <w:sz w:val="32"/>
          <w:szCs w:val="32"/>
          <w:lang w:eastAsia="zh-CN"/>
        </w:rPr>
      </w:pPr>
      <w:r>
        <w:rPr>
          <w:rFonts w:ascii="Times New Roman" w:eastAsia="仿宋_GB2312" w:cs="Times New Roman" w:hAnsi="Times New Roman"/>
          <w:sz w:val="32"/>
          <w:szCs w:val="32"/>
          <w:lang w:eastAsia="zh-CN"/>
        </w:rPr>
        <w:t>2024年度本年收入合计</w:t>
      </w:r>
      <w:r>
        <w:rPr>
          <w:rFonts w:ascii="Times New Roman" w:eastAsia="仿宋_GB2312" w:cs="Times New Roman" w:hAnsi="Times New Roman"/>
          <w:sz w:val="32"/>
          <w:szCs w:val="32"/>
        </w:rPr>
        <w:t>31398.41万元，其中：一般公共预算财政拨款收入2189.41</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6.97</w:t>
      </w:r>
      <w:r>
        <w:rPr>
          <w:rFonts w:ascii="Times New Roman" w:eastAsia="仿宋_GB2312" w:cs="Times New Roman" w:hAnsi="Times New Roman"/>
          <w:sz w:val="32"/>
          <w:szCs w:val="32"/>
          <w:lang w:eastAsia="zh-CN"/>
        </w:rPr>
        <w:t>%；政府性基金预算财政拨款收入</w:t>
      </w:r>
      <w:r>
        <w:rPr>
          <w:rFonts w:ascii="Times New Roman" w:eastAsia="仿宋_GB2312" w:cs="Times New Roman" w:hAnsi="Times New Roman"/>
          <w:sz w:val="32"/>
          <w:szCs w:val="32"/>
        </w:rPr>
        <w:t>29209</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93.02%</w:t>
      </w:r>
      <w:r>
        <w:rPr>
          <w:rFonts w:ascii="Times New Roman" w:eastAsia="仿宋_GB2312" w:cs="Times New Roman" w:hAnsi="Times New Roman"/>
          <w:sz w:val="32"/>
          <w:szCs w:val="32"/>
          <w:lang w:eastAsia="zh-CN"/>
        </w:rPr>
        <w:t>%；国有资本经营预算财政拨款收入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%；上级补助收入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%；事业收入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%；经营收入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%；附属单位上缴收入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%；其他收入</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w:t>
      </w:r>
    </w:p>
    <w:p>
      <w:pPr>
        <w:jc w:val="center"/>
        <w:rPr>
          <w:rFonts w:ascii="Times New Roman" w:eastAsia="仿宋_GB2312" w:cs="仿宋_GB2312" w:hAnsi="Times New Roman" w:hint="eastAsia"/>
          <w:color w:val="auto"/>
          <w:sz w:val="32"/>
          <w:szCs w:val="32"/>
          <w:lang w:eastAsia="zh-CN"/>
          <w:highlight w:val="auto"/>
        </w:rPr>
      </w:pPr>
    </w:p>
    <w:p>
      <w:pPr>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收入决算结构图</w:t>
      </w:r>
    </w:p>
    <w:p>
      <w:pP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0" behindDoc="0" locked="0" layoutInCell="1" hidden="0" allowOverlap="1">
            <wp:simplePos x="0" y="0"/>
            <wp:positionH relativeFrom="column">
              <wp:posOffset>14604</wp:posOffset>
            </wp:positionH>
            <wp:positionV relativeFrom="paragraph">
              <wp:posOffset>163195</wp:posOffset>
            </wp:positionV>
            <wp:extent cx="5256530" cy="2988310"/>
            <wp:effectExtent l="0" t="0" r="0" b="0"/>
            <wp:wrapNone/>
            <wp:docPr id="2" name="图表 2"/>
            <wp:cNvGraphicFramePr>
              <a:graphicFrameLocks noChangeAspect="0"/>
            </wp:cNvGraphicFramePr>
            <a:graphic>
              <a:graphicData uri="http://schemas.openxmlformats.org/drawingml/2006/chart">
                <c:chart xmlns:c="http://schemas.openxmlformats.org/drawingml/2006/chart" r:id="rId4"/>
              </a:graphicData>
            </a:graphic>
          </wp:anchor>
        </w:drawing>
      </w:r>
    </w:p>
    <w:p>
      <w:pPr>
        <w:pStyle w:val="15"/>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0" w:firstLine="0"/>
        <w:textAlignment w:val="auto"/>
        <w:outlineLvl w:val="9"/>
        <w:rPr>
          <w:rFonts w:ascii="Times New Roman" w:eastAsia="黑体" w:hAnsi="Times New Roman" w:hint="eastAsia"/>
          <w:color w:val="auto"/>
          <w:sz w:val="32"/>
          <w:szCs w:val="32"/>
          <w:lang w:eastAsia="zh-CN"/>
          <w:highlight w:val="auto"/>
        </w:rPr>
      </w:pPr>
      <w:bookmarkStart w:id="45" w:name="_Toc15377207"/>
      <w:bookmarkStart w:id="46" w:name="_Toc15396605"/>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47" w:name="_Toc1150556814"/>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45"/>
      <w:bookmarkEnd w:id="46"/>
      <w:bookmarkEnd w:id="47"/>
    </w:p>
    <w:p>
      <w:pPr>
        <w:pStyle w:val="18"/>
        <w:bidi w:val="0"/>
        <w:ind w:firstLineChars="200" w:firstLine="640"/>
        <w:rPr>
          <w:rFonts w:ascii="Times New Roman" w:eastAsia="仿宋_GB2312" w:cs="Times New Roman" w:hAnsi="Times New Roman"/>
          <w:sz w:val="32"/>
          <w:szCs w:val="32"/>
          <w:lang w:eastAsia="zh-CN"/>
        </w:rPr>
      </w:pPr>
      <w:r>
        <w:rPr>
          <w:rFonts w:ascii="Times New Roman" w:eastAsia="仿宋_GB2312" w:cs="Times New Roman" w:hAnsi="Times New Roman"/>
          <w:sz w:val="32"/>
          <w:szCs w:val="32"/>
          <w:lang w:eastAsia="zh-CN"/>
        </w:rPr>
        <w:t>2024年度本年支出合计</w:t>
      </w:r>
      <w:r>
        <w:rPr>
          <w:rFonts w:ascii="Times New Roman" w:eastAsia="仿宋_GB2312" w:cs="Times New Roman" w:hAnsi="Times New Roman"/>
          <w:sz w:val="32"/>
          <w:szCs w:val="32"/>
        </w:rPr>
        <w:t>31398.41</w:t>
      </w:r>
      <w:r>
        <w:rPr>
          <w:rFonts w:ascii="Times New Roman" w:eastAsia="仿宋_GB2312" w:cs="Times New Roman" w:hAnsi="Times New Roman"/>
          <w:sz w:val="32"/>
          <w:szCs w:val="32"/>
          <w:lang w:eastAsia="zh-CN"/>
        </w:rPr>
        <w:t>万元，其中：基本支出</w:t>
      </w:r>
      <w:r>
        <w:rPr>
          <w:rFonts w:ascii="Times New Roman" w:eastAsia="仿宋_GB2312" w:cs="Times New Roman" w:hAnsi="Times New Roman"/>
          <w:sz w:val="32"/>
          <w:szCs w:val="32"/>
        </w:rPr>
        <w:t>1537.68</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4.89</w:t>
      </w:r>
      <w:r>
        <w:rPr>
          <w:rFonts w:ascii="Times New Roman" w:eastAsia="仿宋_GB2312" w:cs="Times New Roman" w:hAnsi="Times New Roman"/>
          <w:sz w:val="32"/>
          <w:szCs w:val="32"/>
          <w:lang w:eastAsia="zh-CN"/>
        </w:rPr>
        <w:t>%；项目支出</w:t>
      </w:r>
      <w:r>
        <w:rPr>
          <w:rFonts w:ascii="Times New Roman" w:eastAsia="仿宋_GB2312" w:cs="Times New Roman" w:hAnsi="Times New Roman"/>
          <w:sz w:val="32"/>
          <w:szCs w:val="32"/>
        </w:rPr>
        <w:t>29860.73</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95.1</w:t>
      </w:r>
      <w:r>
        <w:rPr>
          <w:rFonts w:ascii="Times New Roman" w:eastAsia="仿宋_GB2312" w:cs="Times New Roman" w:hAnsi="Times New Roman"/>
          <w:sz w:val="32"/>
          <w:szCs w:val="32"/>
          <w:lang w:eastAsia="zh-CN"/>
        </w:rPr>
        <w:t>%；上缴上级支出</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%；经营支出</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%；对附属单位补助支出</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万元，占</w:t>
      </w:r>
      <w:r>
        <w:rPr>
          <w:rFonts w:ascii="Times New Roman" w:eastAsia="仿宋_GB2312" w:cs="Times New Roman" w:hAnsi="Times New Roman"/>
          <w:sz w:val="32"/>
          <w:szCs w:val="32"/>
        </w:rPr>
        <w:t>0%</w:t>
      </w:r>
      <w:r>
        <w:rPr>
          <w:rFonts w:ascii="Times New Roman" w:eastAsia="仿宋_GB2312" w:cs="Times New Roman" w:hAnsi="Times New Roman"/>
          <w:sz w:val="32"/>
          <w:szCs w:val="32"/>
          <w:lang w:eastAsia="zh-CN"/>
        </w:rPr>
        <w:t>。</w:t>
      </w: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0" w:firstLine="0"/>
        <w:jc w:val="left"/>
        <w:textAlignment w:val="auto"/>
        <w:outlineLvl w:val="9"/>
        <w:rPr>
          <w:rFonts w:ascii="仿宋_GB2312" w:eastAsia="仿宋_GB2312" w:cs="仿宋_GB2312" w:hint="eastAsia"/>
          <w:color w:val="auto"/>
          <w:sz w:val="32"/>
          <w:szCs w:val="32"/>
          <w:lang w:eastAsia="zh-CN"/>
          <w:highlight w:val="auto"/>
        </w:rPr>
      </w:pP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0" w:firstLine="0"/>
        <w:jc w:val="left"/>
        <w:textAlignment w:val="auto"/>
        <w:outlineLvl w:val="9"/>
        <w:rPr>
          <w:rFonts w:ascii="仿宋_GB2312" w:eastAsia="仿宋_GB2312" w:cs="仿宋_GB2312" w:hint="eastAsia"/>
          <w:color w:val="auto"/>
          <w:sz w:val="32"/>
          <w:szCs w:val="32"/>
          <w:lang w:eastAsia="zh-CN"/>
          <w:highlight w:val="auto"/>
        </w:rPr>
      </w:pPr>
    </w:p>
    <w:p>
      <w:pPr>
        <w:pStyle w:val="33"/>
        <w:keepNext w:val="0"/>
        <w:keepLines w:val="0"/>
        <w:pageBreakBefore w:val="0"/>
        <w:widowControl w:val="0"/>
        <w:kinsoku/>
        <w:wordWrap/>
        <w:overflowPunct/>
        <w:topLinePunct w:val="0"/>
        <w:autoSpaceDE/>
        <w:autoSpaceDN/>
        <w:bidi w:val="0"/>
        <w:adjustRightInd/>
        <w:snapToGrid/>
        <w:spacing w:line="600" w:lineRule="exact"/>
        <w:ind w:left="0" w:firstLineChars="0" w:firstLine="0"/>
        <w:jc w:val="left"/>
        <w:textAlignment w:val="auto"/>
        <w:outlineLvl w:val="9"/>
        <w:rPr>
          <w:rFonts w:ascii="仿宋_GB2312" w:eastAsia="仿宋_GB2312" w:cs="仿宋_GB2312" w:hint="eastAsia"/>
          <w:color w:val="auto"/>
          <w:sz w:val="32"/>
          <w:szCs w:val="32"/>
          <w:lang w:eastAsia="zh-CN"/>
          <w:highlight w:val="auto"/>
        </w:rPr>
      </w:pPr>
    </w:p>
    <w:p>
      <w:pPr>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支出决算结构图</w:t>
      </w:r>
    </w:p>
    <w:p>
      <w:pP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2" behindDoc="0" locked="0" layoutInCell="1" hidden="0" allowOverlap="1">
            <wp:simplePos x="0" y="0"/>
            <wp:positionH relativeFrom="column">
              <wp:posOffset>14604</wp:posOffset>
            </wp:positionH>
            <wp:positionV relativeFrom="paragraph">
              <wp:posOffset>78105</wp:posOffset>
            </wp:positionV>
            <wp:extent cx="5256530" cy="2988310"/>
            <wp:effectExtent l="0" t="0" r="0" b="0"/>
            <wp:wrapNone/>
            <wp:docPr id="3" name="图表 3"/>
            <wp:cNvGraphicFramePr>
              <a:graphicFrameLocks noChangeAspect="0"/>
            </wp:cNvGraphicFramePr>
            <a:graphic>
              <a:graphicData uri="http://schemas.openxmlformats.org/drawingml/2006/chart">
                <c:chart xmlns:c="http://schemas.openxmlformats.org/drawingml/2006/chart" r:id="rId5"/>
              </a:graphicData>
            </a:graphic>
          </wp:anchor>
        </w:drawing>
      </w:r>
    </w:p>
    <w:p>
      <w:pPr>
        <w:pStyle w:val="15"/>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ind w:leftChars="0" w:left="0" w:firstLineChars="0" w:firstLine="0"/>
        <w:rPr>
          <w:rFonts w:ascii="Times New Roman" w:eastAsia="仿宋_GB2312" w:cs="仿宋_GB2312" w:hAnsi="Times New Roman" w:hint="eastAsia"/>
          <w:color w:val="auto"/>
          <w:sz w:val="32"/>
          <w:szCs w:val="32"/>
          <w:lang w:eastAsia="zh-CN"/>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48" w:name="_Toc15396606"/>
      <w:bookmarkStart w:id="49" w:name="_Toc15377208"/>
      <w:bookmarkStart w:id="50" w:name="_Toc838131225"/>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48"/>
      <w:bookmarkEnd w:id="49"/>
      <w:bookmarkEnd w:id="50"/>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31398.41</w:t>
      </w:r>
      <w:r>
        <w:rPr>
          <w:rFonts w:ascii="Times New Roman" w:eastAsia="仿宋_GB2312" w:cs="仿宋_GB2312" w:hAnsi="Times New Roman" w:hint="eastAsia"/>
          <w:color w:val="auto"/>
          <w:kern w:val="2"/>
          <w:sz w:val="32"/>
          <w:szCs w:val="32"/>
          <w:lang w:val="en-US" w:eastAsia="zh-CN" w:bidi="ar-SA"/>
          <w:highlight w:val="auto"/>
        </w:rPr>
        <w:t>万元。与2023年度相比，财政拨款收入总计、支出总计各增加</w:t>
      </w:r>
      <w:r>
        <w:rPr>
          <w:rFonts w:ascii="Times New Roman" w:eastAsia="仿宋_GB2312" w:cs="仿宋_GB2312" w:hAnsi="Times New Roman"/>
          <w:color w:val="auto"/>
          <w:sz w:val="32"/>
          <w:szCs w:val="32"/>
          <w:highlight w:val="auto"/>
        </w:rPr>
        <w:t>27718.51</w:t>
      </w:r>
      <w:r>
        <w:rPr>
          <w:rFonts w:ascii="Times New Roman" w:eastAsia="仿宋_GB2312" w:cs="仿宋_GB2312" w:hAnsi="Times New Roman" w:hint="eastAsia"/>
          <w:color w:val="auto"/>
          <w:kern w:val="2"/>
          <w:sz w:val="32"/>
          <w:szCs w:val="32"/>
          <w:lang w:val="en-US" w:eastAsia="zh-CN" w:bidi="ar-SA"/>
          <w:highlight w:val="auto"/>
        </w:rPr>
        <w:t>万元，增长</w:t>
      </w:r>
      <w:r>
        <w:rPr>
          <w:rFonts w:ascii="Times New Roman" w:eastAsia="仿宋_GB2312" w:cs="仿宋_GB2312" w:hAnsi="Times New Roman"/>
          <w:color w:val="auto"/>
          <w:sz w:val="32"/>
          <w:szCs w:val="32"/>
          <w:highlight w:val="auto"/>
        </w:rPr>
        <w:t>753.24</w:t>
      </w:r>
      <w:r>
        <w:rPr>
          <w:rFonts w:ascii="Times New Roman" w:eastAsia="仿宋_GB2312" w:cs="仿宋_GB2312" w:hAnsi="Times New Roman" w:hint="eastAsia"/>
          <w:color w:val="auto"/>
          <w:kern w:val="2"/>
          <w:sz w:val="32"/>
          <w:szCs w:val="32"/>
          <w:lang w:val="en-US" w:eastAsia="zh-CN" w:bidi="ar-SA"/>
          <w:highlight w:val="auto"/>
        </w:rPr>
        <w:t>%。主要变动原因是</w:t>
      </w:r>
      <w:r>
        <w:rPr>
          <w:rFonts w:ascii="Times New Roman" w:eastAsia="仿宋_GB2312" w:cs="仿宋_GB2312" w:hAnsi="Times New Roman"/>
          <w:color w:val="auto"/>
          <w:sz w:val="32"/>
          <w:szCs w:val="32"/>
          <w:highlight w:val="auto"/>
        </w:rPr>
        <w:t>政府性基金预算财政拨款增加</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财政拨款收、支决算总计变动情况</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4" behindDoc="0" locked="0" layoutInCell="1" hidden="0" allowOverlap="1">
            <wp:simplePos x="0" y="0"/>
            <wp:positionH relativeFrom="column">
              <wp:posOffset>114300</wp:posOffset>
            </wp:positionH>
            <wp:positionV relativeFrom="paragraph">
              <wp:posOffset>158115</wp:posOffset>
            </wp:positionV>
            <wp:extent cx="5132705" cy="2903220"/>
            <wp:effectExtent l="0" t="0" r="0" b="0"/>
            <wp:wrapNone/>
            <wp:docPr id="4" name="图表 4"/>
            <wp:cNvGraphicFramePr>
              <a:graphicFrameLocks noChangeAspect="0"/>
            </wp:cNvGraphicFramePr>
            <a:graphic>
              <a:graphicData uri="http://schemas.openxmlformats.org/drawingml/2006/chart">
                <c:chart xmlns:c="http://schemas.openxmlformats.org/drawingml/2006/chart" r:id="rId6"/>
              </a:graphicData>
            </a:graphic>
          </wp:anchor>
        </w:drawing>
      </w:r>
    </w:p>
    <w:p>
      <w:pPr>
        <w:pStyle w:val="15"/>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51" w:name="_Toc15396607"/>
      <w:bookmarkStart w:id="52" w:name="_Toc15377209"/>
      <w:bookmarkStart w:id="53" w:name="_Toc1982787523"/>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51"/>
      <w:bookmarkEnd w:id="52"/>
      <w:bookmarkEnd w:id="53"/>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54"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54"/>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2189.41</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6.97</w:t>
      </w:r>
      <w:r>
        <w:rPr>
          <w:rFonts w:ascii="仿宋_GB2312" w:eastAsia="仿宋_GB2312" w:cs="仿宋_GB2312" w:hint="eastAsia"/>
          <w:color w:val="auto"/>
          <w:kern w:val="2"/>
          <w:sz w:val="32"/>
          <w:szCs w:val="32"/>
          <w:lang w:val="en-US" w:eastAsia="zh-CN" w:bidi="ar-SA"/>
          <w:highlight w:val="auto"/>
        </w:rPr>
        <w:t>%。与2023年度相比，一般公共预算财政拨款支出减少1490.49万元，下降40.50%。主要变动原因是项目支出减少。</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一般公共预算财政拨款支出决算变动情况</w:t>
      </w:r>
      <w:r>
        <w:rPr>
          <w:rFonts w:eastAsia="仿宋_GB2312" w:cs="仿宋_GB2312" w:hint="eastAsia"/>
          <w:color w:val="auto"/>
          <w:kern w:val="2"/>
          <w:sz w:val="32"/>
          <w:szCs w:val="32"/>
          <w:lang w:val="en-US" w:eastAsia="zh-CN" w:bidi="ar-SA"/>
          <w:highlight w:val="auto"/>
        </w:rPr>
        <w:t>图</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6" behindDoc="0" locked="0" layoutInCell="1" hidden="0" allowOverlap="1">
            <wp:simplePos x="0" y="0"/>
            <wp:positionH relativeFrom="column">
              <wp:posOffset>87630</wp:posOffset>
            </wp:positionH>
            <wp:positionV relativeFrom="paragraph">
              <wp:posOffset>264160</wp:posOffset>
            </wp:positionV>
            <wp:extent cx="5256530" cy="2988310"/>
            <wp:effectExtent l="0" t="0" r="0" b="0"/>
            <wp:wrapNone/>
            <wp:docPr id="5" name="图表 5"/>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15"/>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55" w:name="_Toc15377211"/>
      <w:r>
        <w:rPr>
          <w:rFonts w:ascii="Times New Roman" w:eastAsia="楷体_GB2312" w:cs="楷体_GB2312" w:hAnsi="Times New Roman" w:hint="eastAsia"/>
          <w:b/>
          <w:color w:val="auto"/>
          <w:sz w:val="32"/>
          <w:szCs w:val="32"/>
          <w:highlight w:val="auto"/>
        </w:rPr>
        <w:t>（二）一般公共预算财政拨款支出决算结构情况</w:t>
      </w:r>
      <w:bookmarkEnd w:id="55"/>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2189.41</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w:t>
      </w:r>
      <w:r>
        <w:rPr>
          <w:rFonts w:eastAsia="仿宋_GB2312" w:cs="仿宋_GB2312" w:hint="eastAsia"/>
          <w:color w:val="auto"/>
          <w:kern w:val="2"/>
          <w:sz w:val="32"/>
          <w:szCs w:val="32"/>
          <w:lang w:val="en-US" w:eastAsia="zh-CN" w:bidi="ar-SA"/>
          <w:highlight w:val="auto"/>
        </w:rPr>
        <w:t>4.53</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0.21</w:t>
      </w:r>
      <w:r>
        <w:rPr>
          <w:rFonts w:ascii="Times New Roman" w:eastAsia="仿宋_GB2312" w:cs="仿宋_GB2312" w:hAnsi="Times New Roman" w:hint="eastAsia"/>
          <w:color w:val="auto"/>
          <w:kern w:val="2"/>
          <w:sz w:val="32"/>
          <w:szCs w:val="32"/>
          <w:lang w:val="en-US" w:eastAsia="zh-CN" w:bidi="ar-SA"/>
          <w:highlight w:val="auto"/>
        </w:rPr>
        <w:t>%；社会保障和就业支出</w:t>
      </w:r>
      <w:r>
        <w:rPr>
          <w:rFonts w:eastAsia="仿宋_GB2312" w:cs="仿宋_GB2312" w:hint="eastAsia"/>
          <w:color w:val="auto"/>
          <w:kern w:val="2"/>
          <w:sz w:val="32"/>
          <w:szCs w:val="32"/>
          <w:lang w:val="en-US" w:eastAsia="zh-CN" w:bidi="ar-SA"/>
          <w:highlight w:val="auto"/>
        </w:rPr>
        <w:t>452.68</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20.68</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1633.30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74.60</w:t>
      </w:r>
      <w:r>
        <w:rPr>
          <w:rFonts w:ascii="Times New Roman" w:eastAsia="仿宋_GB2312" w:cs="仿宋_GB2312" w:hAnsi="Times New Roman" w:hint="eastAsia"/>
          <w:color w:val="auto"/>
          <w:kern w:val="2"/>
          <w:sz w:val="32"/>
          <w:szCs w:val="32"/>
          <w:lang w:val="en-US" w:eastAsia="zh-CN" w:bidi="ar-SA"/>
          <w:highlight w:val="auto"/>
        </w:rPr>
        <w:t>%；住房保障支出</w:t>
      </w:r>
      <w:r>
        <w:rPr>
          <w:rFonts w:eastAsia="仿宋_GB2312" w:cs="仿宋_GB2312" w:hint="eastAsia"/>
          <w:color w:val="auto"/>
          <w:kern w:val="2"/>
          <w:sz w:val="32"/>
          <w:szCs w:val="32"/>
          <w:lang w:val="en-US" w:eastAsia="zh-CN" w:bidi="ar-SA"/>
          <w:highlight w:val="auto"/>
        </w:rPr>
        <w:t>98.90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4.52</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一般公共预算财政拨款支出决算结构</w:t>
      </w:r>
      <w:r>
        <w:rPr>
          <w:rFonts w:eastAsia="仿宋_GB2312" w:cs="仿宋_GB2312" w:hint="eastAsia"/>
          <w:color w:val="auto"/>
          <w:kern w:val="2"/>
          <w:sz w:val="32"/>
          <w:szCs w:val="32"/>
          <w:lang w:val="en-US" w:eastAsia="zh-CN" w:bidi="ar-SA"/>
          <w:highlight w:val="auto"/>
        </w:rPr>
        <w:t>图</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8" behindDoc="0" locked="0" layoutInCell="1" hidden="0" allowOverlap="1">
            <wp:simplePos x="0" y="0"/>
            <wp:positionH relativeFrom="column">
              <wp:posOffset>52705</wp:posOffset>
            </wp:positionH>
            <wp:positionV relativeFrom="paragraph">
              <wp:posOffset>263525</wp:posOffset>
            </wp:positionV>
            <wp:extent cx="5256530" cy="2988310"/>
            <wp:effectExtent l="0" t="0" r="0" b="0"/>
            <wp:wrapNone/>
            <wp:docPr id="6" name="图表 6"/>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15"/>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9"/>
        <w:rPr>
          <w:rFonts w:ascii="Times New Roman" w:eastAsia="楷体_GB2312" w:cs="楷体_GB2312" w:hAnsi="Times New Roman" w:hint="eastAsia"/>
          <w:b/>
          <w:color w:val="auto"/>
          <w:sz w:val="32"/>
          <w:szCs w:val="32"/>
          <w:highlight w:val="auto"/>
        </w:rPr>
      </w:pPr>
      <w:bookmarkStart w:id="56" w:name="_Toc15377212"/>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（三）一般公共预算财政拨款支出决算具体情况</w:t>
      </w:r>
      <w:bookmarkEnd w:id="56"/>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57" w:name="_Toc15377444"/>
      <w:bookmarkStart w:id="58" w:name="_Toc15377213"/>
      <w:bookmarkStart w:id="59" w:name="_Toc15378460"/>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2189.41</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完成预算**%。其中：</w:t>
      </w:r>
      <w:bookmarkEnd w:id="57"/>
      <w:bookmarkEnd w:id="58"/>
      <w:bookmarkEnd w:id="59"/>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pPr>
      <w:r>
        <w:rPr>
          <w:rStyle w:val="26"/>
          <w:rFonts w:ascii="Times New Roman" w:eastAsia="仿宋" w:cs="Times New Roman" w:hAnsi="Times New Roman"/>
          <w:b/>
          <w:bCs/>
          <w:caps w:val="0"/>
          <w:smallCaps w:val="0"/>
          <w:snapToGrid/>
          <w:color w:val="auto"/>
          <w:kern w:val="2"/>
          <w:sz w:val="32"/>
          <w:szCs w:val="32"/>
          <w:vertAlign w:val="baseline"/>
          <w:lang w:val="en-US" w:eastAsia="zh-CN"/>
        </w:rPr>
        <w:t>1.</w:t>
      </w:r>
      <w:r>
        <w:rPr>
          <w:rStyle w:val="26"/>
          <w:rFonts w:ascii="Times New Roman" w:eastAsia="仿宋" w:cs="Times New Roman" w:hAnsi="Times New Roman" w:hint="eastAsia"/>
          <w:b/>
          <w:bCs/>
          <w:caps w:val="0"/>
          <w:smallCaps w:val="0"/>
          <w:snapToGrid/>
          <w:color w:val="auto"/>
          <w:kern w:val="2"/>
          <w:sz w:val="32"/>
          <w:szCs w:val="32"/>
          <w:vertAlign w:val="baseline"/>
          <w:lang w:val="en-US" w:eastAsia="zh-CN"/>
        </w:rPr>
        <w:t>一般公共服务（类）纪检监察事务（款）派驻派出机构（项）</w:t>
      </w:r>
      <w:r>
        <w:rPr>
          <w:rStyle w:val="26"/>
          <w:rFonts w:ascii="Times New Roman" w:eastAsia="仿宋" w:cs="Times New Roman" w:hAnsi="Times New Roman"/>
          <w:b/>
          <w:bCs/>
          <w:caps w:val="0"/>
          <w:smallCaps w:val="0"/>
          <w:snapToGrid/>
          <w:color w:val="auto"/>
          <w:kern w:val="2"/>
          <w:sz w:val="32"/>
          <w:szCs w:val="32"/>
          <w:vertAlign w:val="baseline"/>
          <w:lang w:val="en-US" w:eastAsia="zh-CN"/>
        </w:rPr>
        <w:t>:</w:t>
      </w:r>
      <w:r>
        <w:rPr>
          <w:rStyle w:val="26"/>
          <w:rFonts w:ascii="Times New Roman" w:eastAsia="仿宋" w:cs="Times New Roman" w:hAnsi="Times New Roman"/>
          <w:b w:val="0"/>
          <w:bCs/>
          <w:caps w:val="0"/>
          <w:smallCaps w:val="0"/>
          <w:snapToGrid/>
          <w:color w:val="auto"/>
          <w:kern w:val="2"/>
          <w:sz w:val="32"/>
          <w:szCs w:val="32"/>
          <w:vertAlign w:val="baseline"/>
          <w:lang w:val="en-US" w:eastAsia="zh-CN"/>
        </w:rPr>
        <w:t xml:space="preserve"> </w:t>
      </w:r>
      <w:r>
        <w:rPr>
          <w:rStyle w:val="26"/>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支出决算为2.20万元，完成预算</w:t>
      </w:r>
      <w:r>
        <w:rPr>
          <w:rStyle w:val="26"/>
          <w:rFonts w:ascii="Times New Roman" w:eastAsia="仿宋" w:cs="Times New Roman" w:hAnsi="Times New Roman"/>
          <w:b w:val="0"/>
          <w:bCs/>
          <w:caps w:val="0"/>
          <w:smallCaps w:val="0"/>
          <w:snapToGrid/>
          <w:color w:val="auto"/>
          <w:kern w:val="2"/>
          <w:sz w:val="32"/>
          <w:szCs w:val="32"/>
          <w:vertAlign w:val="baseline"/>
          <w:lang w:val="en-US" w:eastAsia="zh-CN"/>
        </w:rPr>
        <w:t>100%</w:t>
      </w:r>
      <w:r>
        <w:rPr>
          <w:rStyle w:val="26"/>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pPr>
      <w:r>
        <w:rPr>
          <w:rFonts w:ascii="Times New Roman" w:eastAsia="仿宋" w:cs="Times New Roman" w:hAnsi="Times New Roman"/>
          <w:b/>
          <w:bCs/>
          <w:caps w:val="0"/>
          <w:smallCaps w:val="0"/>
          <w:snapToGrid/>
          <w:color w:val="auto"/>
          <w:kern w:val="2"/>
          <w:sz w:val="32"/>
          <w:szCs w:val="32"/>
          <w:vertAlign w:val="baseline"/>
          <w:lang w:val="en-US" w:eastAsia="zh-CN"/>
        </w:rPr>
        <w:t>2.</w:t>
      </w:r>
      <w:r>
        <w:rPr>
          <w:rFonts w:ascii="Times New Roman" w:eastAsia="仿宋" w:cs="Times New Roman" w:hAnsi="Times New Roman" w:hint="eastAsia"/>
          <w:b/>
          <w:bCs/>
          <w:caps w:val="0"/>
          <w:smallCaps w:val="0"/>
          <w:snapToGrid/>
          <w:color w:val="auto"/>
          <w:kern w:val="2"/>
          <w:sz w:val="32"/>
          <w:szCs w:val="32"/>
          <w:vertAlign w:val="baseline"/>
          <w:lang w:val="en-US" w:eastAsia="zh-CN"/>
        </w:rPr>
        <w:t>一般公共服务（类）组织事务（款）其他组织事务支出（项）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b w:val="0"/>
          <w:bCs/>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支出决算为2.33万元，完成预算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pPr>
      <w:r>
        <w:rPr>
          <w:rFonts w:ascii="Times New Roman" w:eastAsia="仿宋" w:cs="Times New Roman" w:hAnsi="Times New Roman"/>
          <w:b/>
          <w:bCs/>
          <w:caps w:val="0"/>
          <w:smallCaps w:val="0"/>
          <w:snapToGrid/>
          <w:color w:val="auto"/>
          <w:kern w:val="2"/>
          <w:sz w:val="32"/>
          <w:szCs w:val="32"/>
          <w:vertAlign w:val="baseline"/>
          <w:lang w:val="en-US" w:eastAsia="zh-CN"/>
        </w:rPr>
        <w:t>3.</w:t>
      </w:r>
      <w:r>
        <w:rPr>
          <w:rFonts w:ascii="Times New Roman" w:eastAsia="仿宋" w:cs="Times New Roman" w:hAnsi="Times New Roman" w:hint="eastAsia"/>
          <w:b/>
          <w:bCs/>
          <w:caps w:val="0"/>
          <w:smallCaps w:val="0"/>
          <w:snapToGrid/>
          <w:color w:val="auto"/>
          <w:kern w:val="2"/>
          <w:sz w:val="32"/>
          <w:szCs w:val="32"/>
          <w:vertAlign w:val="baseline"/>
          <w:lang w:val="en-US" w:eastAsia="zh-CN"/>
        </w:rPr>
        <w:t>社会保障和就业（类）人力资源和社会保障管理事务（款）其他人力资源和社会保障管理事务支出（项）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b w:val="0"/>
          <w:bCs/>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支出决算为89.68万元，完成预算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pPr>
      <w:r>
        <w:rPr>
          <w:rFonts w:ascii="Times New Roman" w:eastAsia="仿宋" w:cs="Times New Roman" w:hAnsi="Times New Roman"/>
          <w:b/>
          <w:bCs/>
          <w:caps w:val="0"/>
          <w:smallCaps w:val="0"/>
          <w:snapToGrid w:val="0"/>
          <w:color w:val="auto"/>
          <w:kern w:val="2"/>
          <w:sz w:val="32"/>
          <w:szCs w:val="32"/>
          <w:vertAlign w:val="baseline"/>
          <w:lang w:val="en-US" w:eastAsia="zh-CN"/>
        </w:rPr>
        <w:t>4.</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社会保障和就业（类）行政事业单位养老支出（款）行政单位离退休（项）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b w:val="0"/>
          <w:bCs/>
          <w:caps w:val="0"/>
          <w:smallCaps w:val="0"/>
          <w:snapToGrid w:val="0"/>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支出决算为173.21万元，完成预算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5.</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社会保障和就业（类）行政事业单位养老支出（款）机关事业单位基本养老保险缴费支出（项）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b w:val="0"/>
          <w:bCs/>
          <w:caps w:val="0"/>
          <w:smallCaps w:val="0"/>
          <w:snapToGrid w:val="0"/>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支出决算为117.99万元，完成预算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6.</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社会保障和就业（类）行政事业单位养老支出（款）机关事业单位职业年金缴费支出（项）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b w:val="0"/>
          <w:bCs/>
          <w:caps w:val="0"/>
          <w:smallCaps w:val="0"/>
          <w:snapToGrid w:val="0"/>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支出决算为33.42万元，完成预算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宋体" w:cs="Times New Roman" w:hAnsi="Times New Roman"/>
          <w:caps w:val="0"/>
          <w:smallCaps w:val="0"/>
          <w:color w:val="auto"/>
          <w:sz w:val="18"/>
          <w:szCs w:val="18"/>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7.</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社会保障和就业（类）抚恤（款）死亡抚恤（项）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b w:val="0"/>
          <w:bCs/>
          <w:caps w:val="0"/>
          <w:smallCaps w:val="0"/>
          <w:snapToGrid w:val="0"/>
          <w:color w:val="auto"/>
          <w:kern w:val="2"/>
          <w:sz w:val="32"/>
          <w:szCs w:val="32"/>
          <w:vertAlign w:val="baseline"/>
          <w:lang w:val="en-US" w:eastAsia="zh-CN"/>
        </w:rPr>
        <w:t xml:space="preserve"> </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支出决算为38.37万元，完成预算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bCs/>
          <w:caps w:val="0"/>
          <w:smallCaps w:val="0"/>
          <w:color w:val="auto"/>
          <w:sz w:val="32"/>
          <w:szCs w:val="32"/>
          <w:vertAlign w:val="baseline"/>
        </w:rPr>
      </w:pPr>
      <w:r>
        <w:rPr>
          <w:rFonts w:ascii="Times New Roman" w:eastAsia="仿宋" w:cs="Times New Roman" w:hAnsi="Times New Roman"/>
          <w:b/>
          <w:bCs/>
          <w:caps w:val="0"/>
          <w:smallCaps w:val="0"/>
          <w:snapToGrid/>
          <w:color w:val="auto"/>
          <w:kern w:val="2"/>
          <w:sz w:val="32"/>
          <w:szCs w:val="32"/>
          <w:vertAlign w:val="baseline"/>
          <w:lang w:val="en-US" w:eastAsia="zh-CN"/>
        </w:rPr>
        <w:t>8.</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（类）卫生健康管理事务（款）行政运行（项）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支出决算为982万元，完成预算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宋体" w:cs="Times New Roman" w:hAnsi="Times New Roman"/>
          <w:caps w:val="0"/>
          <w:smallCaps w:val="0"/>
          <w:color w:val="auto"/>
          <w:sz w:val="21"/>
          <w:szCs w:val="21"/>
          <w:vertAlign w:val="baseline"/>
        </w:rPr>
      </w:pPr>
      <w:r>
        <w:rPr>
          <w:rFonts w:ascii="Times New Roman" w:eastAsia="仿宋" w:cs="Times New Roman" w:hAnsi="Times New Roman"/>
          <w:b/>
          <w:bCs/>
          <w:caps w:val="0"/>
          <w:smallCaps w:val="0"/>
          <w:snapToGrid/>
          <w:color w:val="auto"/>
          <w:kern w:val="2"/>
          <w:sz w:val="32"/>
          <w:szCs w:val="32"/>
          <w:vertAlign w:val="baseline"/>
          <w:lang w:val="en-US" w:eastAsia="zh-CN"/>
        </w:rPr>
        <w:t>9.</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（类）卫生健康管理事务（款）一般行政管理事务（项）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支出决算为9.31万元，完成预算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宋体" w:cs="Times New Roman" w:hAnsi="Times New Roman"/>
          <w:caps w:val="0"/>
          <w:smallCaps w:val="0"/>
          <w:color w:val="auto"/>
          <w:sz w:val="21"/>
          <w:szCs w:val="21"/>
          <w:vertAlign w:val="baseline"/>
        </w:rPr>
      </w:pPr>
      <w:r>
        <w:rPr>
          <w:rFonts w:eastAsia="仿宋" w:cs="Times New Roman" w:hint="eastAsia"/>
          <w:b/>
          <w:bCs/>
          <w:caps w:val="0"/>
          <w:smallCaps w:val="0"/>
          <w:snapToGrid/>
          <w:color w:val="auto"/>
          <w:kern w:val="2"/>
          <w:sz w:val="32"/>
          <w:szCs w:val="32"/>
          <w:vertAlign w:val="baseline"/>
          <w:lang w:val="en-US" w:eastAsia="zh-CN"/>
        </w:rPr>
        <w:t>10</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（类）卫生健康管理事务（款）</w:t>
      </w:r>
      <w:r>
        <w:rPr>
          <w:rFonts w:eastAsia="仿宋" w:cs="Times New Roman" w:hint="eastAsia"/>
          <w:b/>
          <w:bCs/>
          <w:caps w:val="0"/>
          <w:smallCaps w:val="0"/>
          <w:snapToGrid/>
          <w:color w:val="auto"/>
          <w:kern w:val="2"/>
          <w:sz w:val="32"/>
          <w:szCs w:val="32"/>
          <w:vertAlign w:val="baseline"/>
          <w:lang w:val="en-US" w:eastAsia="zh-CN"/>
        </w:rPr>
        <w:t>机关服务</w:t>
      </w:r>
      <w:r>
        <w:rPr>
          <w:rFonts w:ascii="Times New Roman" w:eastAsia="仿宋" w:cs="Times New Roman" w:hAnsi="Times New Roman" w:hint="eastAsia"/>
          <w:b/>
          <w:bCs/>
          <w:caps w:val="0"/>
          <w:smallCaps w:val="0"/>
          <w:snapToGrid/>
          <w:color w:val="auto"/>
          <w:kern w:val="2"/>
          <w:sz w:val="32"/>
          <w:szCs w:val="32"/>
          <w:vertAlign w:val="baseline"/>
          <w:lang w:val="en-US" w:eastAsia="zh-CN"/>
        </w:rPr>
        <w:t>（项）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w:t>
      </w:r>
      <w:r>
        <w:rPr>
          <w:rFonts w:eastAsia="仿宋" w:cs="Times New Roman" w:hint="eastAsia"/>
          <w:b w:val="0"/>
          <w:bCs/>
          <w:caps w:val="0"/>
          <w:smallCaps w:val="0"/>
          <w:snapToGrid/>
          <w:color w:val="auto"/>
          <w:kern w:val="2"/>
          <w:sz w:val="32"/>
          <w:szCs w:val="32"/>
          <w:vertAlign w:val="baseline"/>
          <w:lang w:val="en-US" w:eastAsia="zh-CN"/>
        </w:rPr>
        <w:t>8.88</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bCs/>
          <w:caps w:val="0"/>
          <w:smallCaps w:val="0"/>
          <w:snapToGrid/>
          <w:color w:val="auto"/>
          <w:kern w:val="2"/>
          <w:sz w:val="32"/>
          <w:szCs w:val="32"/>
          <w:vertAlign w:val="baseline"/>
          <w:lang w:val="en-US" w:eastAsia="zh-CN"/>
        </w:rPr>
      </w:pP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宋体" w:cs="Times New Roman" w:hAnsi="Times New Roman"/>
          <w:caps w:val="0"/>
          <w:smallCaps w:val="0"/>
          <w:color w:val="auto"/>
          <w:sz w:val="21"/>
          <w:szCs w:val="21"/>
          <w:vertAlign w:val="baseline"/>
        </w:rPr>
      </w:pPr>
      <w:r>
        <w:rPr>
          <w:rFonts w:ascii="Times New Roman" w:eastAsia="仿宋" w:cs="Times New Roman" w:hAnsi="Times New Roman" w:hint="eastAsia"/>
          <w:b/>
          <w:bCs/>
          <w:caps w:val="0"/>
          <w:smallCaps w:val="0"/>
          <w:snapToGrid/>
          <w:color w:val="auto"/>
          <w:kern w:val="2"/>
          <w:sz w:val="32"/>
          <w:szCs w:val="32"/>
          <w:vertAlign w:val="baseline"/>
          <w:lang w:val="en-US" w:eastAsia="zh-CN"/>
        </w:rPr>
        <w:t>11</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（类）卫生健康管理事务（款）其他卫生健康管理事务支出（项）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支出决算为1.48万元，完成预算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caps w:val="0"/>
          <w:smallCaps w:val="0"/>
          <w:snapToGrid/>
          <w:color w:val="auto"/>
          <w:sz w:val="32"/>
          <w:szCs w:val="32"/>
          <w:vertAlign w:val="baseline"/>
        </w:rPr>
      </w:pPr>
      <w:r>
        <w:rPr>
          <w:rFonts w:ascii="Times New Roman" w:eastAsia="仿宋" w:cs="Times New Roman" w:hAnsi="Times New Roman"/>
          <w:b/>
          <w:bCs/>
          <w:caps w:val="0"/>
          <w:smallCaps w:val="0"/>
          <w:snapToGrid/>
          <w:color w:val="auto"/>
          <w:kern w:val="2"/>
          <w:sz w:val="32"/>
          <w:szCs w:val="32"/>
          <w:vertAlign w:val="baseline"/>
          <w:lang w:val="en-US" w:eastAsia="zh-CN"/>
        </w:rPr>
        <w:t>1</w:t>
      </w:r>
      <w:r>
        <w:rPr>
          <w:rFonts w:ascii="Times New Roman" w:eastAsia="仿宋" w:cs="Times New Roman" w:hAnsi="Times New Roman" w:hint="eastAsia"/>
          <w:b/>
          <w:bCs/>
          <w:caps w:val="0"/>
          <w:smallCaps w:val="0"/>
          <w:snapToGrid/>
          <w:color w:val="auto"/>
          <w:kern w:val="2"/>
          <w:sz w:val="32"/>
          <w:szCs w:val="32"/>
          <w:vertAlign w:val="baseline"/>
          <w:lang w:val="en-US" w:eastAsia="zh-CN"/>
        </w:rPr>
        <w:t>2</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（类）公立医院（款）其他公立医院支出（项）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支出决算为125.98万元，完成预算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caps w:val="0"/>
          <w:smallCaps w:val="0"/>
          <w:snapToGrid/>
          <w:color w:val="auto"/>
          <w:sz w:val="32"/>
          <w:szCs w:val="32"/>
          <w:vertAlign w:val="baseline"/>
        </w:rPr>
      </w:pPr>
      <w:r>
        <w:rPr>
          <w:rFonts w:ascii="Times New Roman" w:eastAsia="仿宋" w:cs="Times New Roman" w:hAnsi="Times New Roman"/>
          <w:b/>
          <w:bCs/>
          <w:caps w:val="0"/>
          <w:smallCaps w:val="0"/>
          <w:snapToGrid/>
          <w:color w:val="auto"/>
          <w:kern w:val="2"/>
          <w:sz w:val="32"/>
          <w:szCs w:val="32"/>
          <w:vertAlign w:val="baseline"/>
          <w:lang w:val="en-US" w:eastAsia="zh-CN"/>
        </w:rPr>
        <w:t>1</w:t>
      </w:r>
      <w:r>
        <w:rPr>
          <w:rFonts w:ascii="Times New Roman" w:eastAsia="仿宋" w:cs="Times New Roman" w:hAnsi="Times New Roman" w:hint="eastAsia"/>
          <w:b/>
          <w:bCs/>
          <w:caps w:val="0"/>
          <w:smallCaps w:val="0"/>
          <w:snapToGrid/>
          <w:color w:val="auto"/>
          <w:kern w:val="2"/>
          <w:sz w:val="32"/>
          <w:szCs w:val="32"/>
          <w:vertAlign w:val="baseline"/>
          <w:lang w:val="en-US" w:eastAsia="zh-CN"/>
        </w:rPr>
        <w:t>3</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（类）公共卫生（款）基本公共卫生服务（项）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支出决算为21.59万元，完成预算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caps w:val="0"/>
          <w:smallCaps w:val="0"/>
          <w:snapToGrid/>
          <w:color w:val="auto"/>
          <w:sz w:val="32"/>
          <w:szCs w:val="32"/>
          <w:vertAlign w:val="baseline"/>
        </w:rPr>
      </w:pPr>
      <w:r>
        <w:rPr>
          <w:rFonts w:ascii="Times New Roman" w:eastAsia="仿宋" w:cs="Times New Roman" w:hAnsi="Times New Roman"/>
          <w:b/>
          <w:bCs/>
          <w:caps w:val="0"/>
          <w:smallCaps w:val="0"/>
          <w:snapToGrid/>
          <w:color w:val="auto"/>
          <w:kern w:val="2"/>
          <w:sz w:val="32"/>
          <w:szCs w:val="32"/>
          <w:vertAlign w:val="baseline"/>
          <w:lang w:val="en-US" w:eastAsia="zh-CN"/>
        </w:rPr>
        <w:t>1</w:t>
      </w:r>
      <w:r>
        <w:rPr>
          <w:rFonts w:ascii="Times New Roman" w:eastAsia="仿宋" w:cs="Times New Roman" w:hAnsi="Times New Roman" w:hint="eastAsia"/>
          <w:b/>
          <w:bCs/>
          <w:caps w:val="0"/>
          <w:smallCaps w:val="0"/>
          <w:snapToGrid/>
          <w:color w:val="auto"/>
          <w:kern w:val="2"/>
          <w:sz w:val="32"/>
          <w:szCs w:val="32"/>
          <w:vertAlign w:val="baseline"/>
          <w:lang w:val="en-US" w:eastAsia="zh-CN"/>
        </w:rPr>
        <w:t>4</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color w:val="auto"/>
          <w:kern w:val="2"/>
          <w:sz w:val="32"/>
          <w:szCs w:val="32"/>
          <w:vertAlign w:val="baseline"/>
          <w:lang w:val="en-US" w:eastAsia="zh-CN"/>
        </w:rPr>
        <w:t>（类）公共卫生（款）重大公共卫生服务（项）</w:t>
      </w:r>
      <w:r>
        <w:rPr>
          <w:rFonts w:ascii="Times New Roman" w:eastAsia="仿宋" w:cs="Times New Roman" w:hAnsi="Times New Roman"/>
          <w:b/>
          <w:bCs/>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支出决算为34.2万元，完成预算</w:t>
      </w:r>
      <w:r>
        <w:rPr>
          <w:rFonts w:ascii="Times New Roman" w:eastAsia="仿宋" w:cs="Times New Roman" w:hAnsi="Times New Roman"/>
          <w:b w:val="0"/>
          <w:bCs/>
          <w:caps w:val="0"/>
          <w:smallCaps w:val="0"/>
          <w:snapToGrid/>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宋体" w:cs="Times New Roman" w:hAnsi="Times New Roman"/>
          <w:caps w:val="0"/>
          <w:smallCaps w:val="0"/>
          <w:color w:val="auto"/>
          <w:sz w:val="18"/>
          <w:szCs w:val="18"/>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1</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5</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（类）公共卫生（款）其他公共卫生服务（项）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支出决算为8.86万元，完成预算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16.</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（类）计划生育事务（款）其他计划生育事务支出（项）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支出决算为1.86万元，完成预算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17.</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（类）行政事业单位医疗（款）行政单位医疗（项）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支出决算为66.91万元，完成预算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bCs/>
          <w:caps w:val="0"/>
          <w:smallCaps w:val="0"/>
          <w:snapToGrid w:val="0"/>
          <w:color w:val="auto"/>
          <w:kern w:val="2"/>
          <w:sz w:val="32"/>
          <w:szCs w:val="32"/>
          <w:vertAlign w:val="baseline"/>
          <w:lang w:val="en-US" w:eastAsia="zh-CN"/>
        </w:rPr>
      </w:pPr>
      <w:r>
        <w:rPr>
          <w:rFonts w:ascii="Times New Roman" w:eastAsia="仿宋" w:cs="Times New Roman" w:hAnsi="Times New Roman"/>
          <w:b/>
          <w:bCs/>
          <w:caps w:val="0"/>
          <w:smallCaps w:val="0"/>
          <w:snapToGrid w:val="0"/>
          <w:color w:val="auto"/>
          <w:kern w:val="2"/>
          <w:sz w:val="32"/>
          <w:szCs w:val="32"/>
          <w:vertAlign w:val="baseline"/>
          <w:lang w:val="en-US" w:eastAsia="zh-CN"/>
        </w:rPr>
        <w:t>1</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8</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（类）行政事业单位医疗（款）事业单位医疗（项）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支出决算为0.72万元，完成预算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1</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9</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（类）行政事业单位医疗（款）公务员医疗补助（项）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支出决算为6.8万元，完成预算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hint="eastAsia"/>
          <w:b/>
          <w:bCs/>
          <w:caps w:val="0"/>
          <w:smallCaps w:val="0"/>
          <w:snapToGrid w:val="0"/>
          <w:color w:val="auto"/>
          <w:kern w:val="2"/>
          <w:sz w:val="32"/>
          <w:szCs w:val="32"/>
          <w:vertAlign w:val="baseline"/>
          <w:lang w:val="en-US" w:eastAsia="zh-CN"/>
        </w:rPr>
        <w:t>20</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（类）行政事业单位医疗（款）其他行政事业单位医疗支出（项）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支出决算为8.26万元，完成预算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rPr>
      </w:pPr>
      <w:r>
        <w:rPr>
          <w:rFonts w:ascii="Times New Roman" w:eastAsia="仿宋" w:cs="Times New Roman" w:hAnsi="Times New Roman"/>
          <w:b/>
          <w:bCs/>
          <w:caps w:val="0"/>
          <w:smallCaps w:val="0"/>
          <w:snapToGrid w:val="0"/>
          <w:color w:val="auto"/>
          <w:kern w:val="2"/>
          <w:sz w:val="32"/>
          <w:szCs w:val="32"/>
          <w:vertAlign w:val="baseline"/>
          <w:lang w:val="en-US" w:eastAsia="zh-CN"/>
        </w:rPr>
        <w:t>2</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1</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卫生健康</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（类）其他卫生健康支出（款）其他卫生健康支出（项）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支出决算为356.44万元，完成预算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 w:cs="Times New Roman" w:hAnsi="Times New Roman"/>
          <w:b/>
          <w:bCs/>
          <w:caps w:val="0"/>
          <w:smallCaps w:val="0"/>
          <w:snapToGrid w:val="0"/>
          <w:color w:val="auto"/>
          <w:kern w:val="2"/>
          <w:sz w:val="32"/>
          <w:szCs w:val="32"/>
          <w:vertAlign w:val="baseline"/>
          <w:lang w:val="en-US" w:eastAsia="zh-CN"/>
        </w:rPr>
        <w:t>22.</w:t>
      </w:r>
      <w:r>
        <w:rPr>
          <w:rFonts w:ascii="Times New Roman" w:eastAsia="仿宋" w:cs="Times New Roman" w:hAnsi="Times New Roman" w:hint="eastAsia"/>
          <w:b/>
          <w:bCs/>
          <w:caps w:val="0"/>
          <w:smallCaps w:val="0"/>
          <w:color w:val="auto"/>
          <w:kern w:val="2"/>
          <w:sz w:val="32"/>
          <w:szCs w:val="32"/>
          <w:vertAlign w:val="baseline"/>
          <w:lang w:val="en-US" w:eastAsia="zh-CN"/>
        </w:rPr>
        <w:t>住房保障支出</w:t>
      </w:r>
      <w:r>
        <w:rPr>
          <w:rFonts w:ascii="Times New Roman" w:eastAsia="仿宋" w:cs="Times New Roman" w:hAnsi="Times New Roman" w:hint="eastAsia"/>
          <w:b/>
          <w:bCs/>
          <w:caps w:val="0"/>
          <w:smallCaps w:val="0"/>
          <w:snapToGrid w:val="0"/>
          <w:color w:val="auto"/>
          <w:kern w:val="2"/>
          <w:sz w:val="32"/>
          <w:szCs w:val="32"/>
          <w:vertAlign w:val="baseline"/>
          <w:lang w:val="en-US" w:eastAsia="zh-CN"/>
        </w:rPr>
        <w:t>（类）住房改革支出（款）住房公积金（项）</w:t>
      </w:r>
      <w:r>
        <w:rPr>
          <w:rFonts w:ascii="Times New Roman" w:eastAsia="仿宋" w:cs="Times New Roman" w:hAnsi="Times New Roman"/>
          <w:b/>
          <w:bCs/>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支出决算为98.90万元，完成预算</w:t>
      </w:r>
      <w:r>
        <w:rPr>
          <w:rFonts w:ascii="Times New Roman" w:eastAsia="仿宋" w:cs="Times New Roman" w:hAnsi="Times New Roman"/>
          <w:b w:val="0"/>
          <w:bCs/>
          <w:caps w:val="0"/>
          <w:smallCaps w:val="0"/>
          <w:snapToGrid w:val="0"/>
          <w:color w:val="auto"/>
          <w:kern w:val="2"/>
          <w:sz w:val="32"/>
          <w:szCs w:val="32"/>
          <w:vertAlign w:val="baseline"/>
          <w:lang w:val="en-US" w:eastAsia="zh-CN"/>
        </w:rPr>
        <w:t>100%</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，决算数等于预算数。</w:t>
      </w:r>
    </w:p>
    <w:p>
      <w:pPr>
        <w:tabs>
          <w:tab w:val="right" w:pos="8306"/>
        </w:tabs>
        <w:spacing w:line="600" w:lineRule="exact"/>
        <w:ind w:firstLine="640"/>
        <w:outlineLvl w:val="1"/>
        <w:rPr>
          <w:rStyle w:val="2Char"/>
          <w:rFonts w:ascii="Times New Roman" w:hAnsi="Times New Roman"/>
          <w:color w:val="auto"/>
          <w:highlight w:val="auto"/>
        </w:rPr>
      </w:pPr>
      <w:bookmarkStart w:id="60" w:name="_Toc15396608"/>
      <w:bookmarkStart w:id="61" w:name="_Toc15377214"/>
      <w:bookmarkStart w:id="62" w:name="_Toc1392842121"/>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60"/>
      <w:bookmarkEnd w:id="61"/>
      <w:bookmarkEnd w:id="62"/>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1537.68</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1372.32</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元，主要包括：基本工资</w:t>
      </w:r>
      <w:r>
        <w:rPr>
          <w:rFonts w:eastAsia="仿宋_GB2312" w:cs="仿宋_GB2312" w:hint="eastAsia"/>
          <w:color w:val="auto"/>
          <w:kern w:val="2"/>
          <w:sz w:val="32"/>
          <w:szCs w:val="32"/>
          <w:lang w:val="en-US" w:eastAsia="zh-CN" w:bidi="ar-SA"/>
          <w:highlight w:val="auto"/>
        </w:rPr>
        <w:t>252.46万元</w:t>
      </w:r>
      <w:r>
        <w:rPr>
          <w:rFonts w:ascii="Times New Roman" w:eastAsia="仿宋_GB2312" w:cs="仿宋_GB2312" w:hAnsi="Times New Roman" w:hint="eastAsia"/>
          <w:color w:val="auto"/>
          <w:kern w:val="2"/>
          <w:sz w:val="32"/>
          <w:szCs w:val="32"/>
          <w:lang w:val="en-US" w:eastAsia="zh-CN" w:bidi="ar-SA"/>
          <w:highlight w:val="auto"/>
        </w:rPr>
        <w:t>、津贴补贴</w:t>
      </w:r>
      <w:r>
        <w:rPr>
          <w:rFonts w:eastAsia="仿宋_GB2312" w:cs="仿宋_GB2312" w:hint="eastAsia"/>
          <w:color w:val="auto"/>
          <w:kern w:val="2"/>
          <w:sz w:val="32"/>
          <w:szCs w:val="32"/>
          <w:lang w:val="en-US" w:eastAsia="zh-CN" w:bidi="ar-SA"/>
          <w:highlight w:val="auto"/>
        </w:rPr>
        <w:t>218.34万元</w:t>
      </w:r>
      <w:r>
        <w:rPr>
          <w:rFonts w:ascii="Times New Roman" w:eastAsia="仿宋_GB2312" w:cs="仿宋_GB2312" w:hAnsi="Times New Roman" w:hint="eastAsia"/>
          <w:color w:val="auto"/>
          <w:kern w:val="2"/>
          <w:sz w:val="32"/>
          <w:szCs w:val="32"/>
          <w:lang w:val="en-US" w:eastAsia="zh-CN" w:bidi="ar-SA"/>
          <w:highlight w:val="auto"/>
        </w:rPr>
        <w:t>、奖金</w:t>
      </w:r>
      <w:r>
        <w:rPr>
          <w:rFonts w:eastAsia="仿宋_GB2312" w:cs="仿宋_GB2312" w:hint="eastAsia"/>
          <w:color w:val="auto"/>
          <w:kern w:val="2"/>
          <w:sz w:val="32"/>
          <w:szCs w:val="32"/>
          <w:lang w:val="en-US" w:eastAsia="zh-CN" w:bidi="ar-SA"/>
          <w:highlight w:val="auto"/>
        </w:rPr>
        <w:t>330.27万元</w:t>
      </w:r>
      <w:r>
        <w:rPr>
          <w:rFonts w:ascii="Times New Roman" w:eastAsia="仿宋_GB2312" w:cs="仿宋_GB2312" w:hAnsi="Times New Roman" w:hint="eastAsia"/>
          <w:color w:val="auto"/>
          <w:kern w:val="2"/>
          <w:sz w:val="32"/>
          <w:szCs w:val="32"/>
          <w:lang w:val="en-US" w:eastAsia="zh-CN" w:bidi="ar-SA"/>
          <w:highlight w:val="auto"/>
        </w:rPr>
        <w:t>、绩效工资</w:t>
      </w:r>
      <w:r>
        <w:rPr>
          <w:rFonts w:eastAsia="仿宋_GB2312" w:cs="仿宋_GB2312" w:hint="eastAsia"/>
          <w:color w:val="auto"/>
          <w:kern w:val="2"/>
          <w:sz w:val="32"/>
          <w:szCs w:val="32"/>
          <w:lang w:val="en-US" w:eastAsia="zh-CN" w:bidi="ar-SA"/>
          <w:highlight w:val="auto"/>
        </w:rPr>
        <w:t>5.22万元</w:t>
      </w:r>
      <w:r>
        <w:rPr>
          <w:rFonts w:ascii="Times New Roman" w:eastAsia="仿宋_GB2312" w:cs="仿宋_GB2312" w:hAnsi="Times New Roman" w:hint="eastAsia"/>
          <w:color w:val="auto"/>
          <w:kern w:val="2"/>
          <w:sz w:val="32"/>
          <w:szCs w:val="32"/>
          <w:lang w:val="en-US" w:eastAsia="zh-CN" w:bidi="ar-SA"/>
          <w:highlight w:val="auto"/>
        </w:rPr>
        <w:t>、机关事业单位基本养老保险缴费</w:t>
      </w:r>
      <w:r>
        <w:rPr>
          <w:rFonts w:eastAsia="仿宋_GB2312" w:cs="仿宋_GB2312" w:hint="eastAsia"/>
          <w:color w:val="auto"/>
          <w:kern w:val="2"/>
          <w:sz w:val="32"/>
          <w:szCs w:val="32"/>
          <w:lang w:val="en-US" w:eastAsia="zh-CN" w:bidi="ar-SA"/>
          <w:highlight w:val="auto"/>
        </w:rPr>
        <w:t>117.99万元</w:t>
      </w:r>
      <w:r>
        <w:rPr>
          <w:rFonts w:ascii="Times New Roman" w:eastAsia="仿宋_GB2312" w:cs="仿宋_GB2312" w:hAnsi="Times New Roman" w:hint="eastAsia"/>
          <w:color w:val="auto"/>
          <w:kern w:val="2"/>
          <w:sz w:val="32"/>
          <w:szCs w:val="32"/>
          <w:lang w:val="en-US" w:eastAsia="zh-CN" w:bidi="ar-SA"/>
          <w:highlight w:val="auto"/>
        </w:rPr>
        <w:t>、职业年金缴费</w:t>
      </w:r>
      <w:r>
        <w:rPr>
          <w:rFonts w:eastAsia="仿宋_GB2312" w:cs="仿宋_GB2312" w:hint="eastAsia"/>
          <w:color w:val="auto"/>
          <w:kern w:val="2"/>
          <w:sz w:val="32"/>
          <w:szCs w:val="32"/>
          <w:lang w:val="en-US" w:eastAsia="zh-CN" w:bidi="ar-SA"/>
          <w:highlight w:val="auto"/>
        </w:rPr>
        <w:t>33.42万元</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职工基本医疗保险缴费67.64万元、公务员医疗补助缴费15.06万元、</w:t>
      </w:r>
      <w:r>
        <w:rPr>
          <w:rFonts w:ascii="Times New Roman" w:eastAsia="仿宋_GB2312" w:cs="仿宋_GB2312" w:hAnsi="Times New Roman" w:hint="eastAsia"/>
          <w:color w:val="auto"/>
          <w:kern w:val="2"/>
          <w:sz w:val="32"/>
          <w:szCs w:val="32"/>
          <w:lang w:val="en-US" w:eastAsia="zh-CN" w:bidi="ar-SA"/>
          <w:highlight w:val="auto"/>
        </w:rPr>
        <w:t>其他社会保障缴费</w:t>
      </w:r>
      <w:r>
        <w:rPr>
          <w:rFonts w:eastAsia="仿宋_GB2312" w:cs="仿宋_GB2312" w:hint="eastAsia"/>
          <w:color w:val="auto"/>
          <w:kern w:val="2"/>
          <w:sz w:val="32"/>
          <w:szCs w:val="32"/>
          <w:lang w:val="en-US" w:eastAsia="zh-CN" w:bidi="ar-SA"/>
          <w:highlight w:val="auto"/>
        </w:rPr>
        <w:t>2.36万元</w:t>
      </w:r>
      <w:r>
        <w:rPr>
          <w:rFonts w:ascii="Times New Roman" w:eastAsia="仿宋_GB2312" w:cs="仿宋_GB2312" w:hAnsi="Times New Roman" w:hint="eastAsia"/>
          <w:color w:val="auto"/>
          <w:kern w:val="2"/>
          <w:sz w:val="32"/>
          <w:szCs w:val="32"/>
          <w:lang w:val="en-US" w:eastAsia="zh-CN" w:bidi="ar-SA"/>
          <w:highlight w:val="auto"/>
        </w:rPr>
        <w:t>、住房公积金</w:t>
      </w:r>
      <w:r>
        <w:rPr>
          <w:rFonts w:eastAsia="仿宋_GB2312" w:cs="仿宋_GB2312" w:hint="eastAsia"/>
          <w:color w:val="auto"/>
          <w:kern w:val="2"/>
          <w:sz w:val="32"/>
          <w:szCs w:val="32"/>
          <w:lang w:val="en-US" w:eastAsia="zh-CN" w:bidi="ar-SA"/>
          <w:highlight w:val="auto"/>
        </w:rPr>
        <w:t>98.90万元</w:t>
      </w:r>
      <w:r>
        <w:rPr>
          <w:rFonts w:ascii="Times New Roman" w:eastAsia="仿宋_GB2312" w:cs="仿宋_GB2312" w:hAnsi="Times New Roman" w:hint="eastAsia"/>
          <w:color w:val="auto"/>
          <w:kern w:val="2"/>
          <w:sz w:val="32"/>
          <w:szCs w:val="32"/>
          <w:lang w:val="en-US" w:eastAsia="zh-CN" w:bidi="ar-SA"/>
          <w:highlight w:val="auto"/>
        </w:rPr>
        <w:t>、其他工资福利支出</w:t>
      </w:r>
      <w:r>
        <w:rPr>
          <w:rFonts w:eastAsia="仿宋_GB2312" w:cs="仿宋_GB2312" w:hint="eastAsia"/>
          <w:color w:val="auto"/>
          <w:kern w:val="2"/>
          <w:sz w:val="32"/>
          <w:szCs w:val="32"/>
          <w:lang w:val="en-US" w:eastAsia="zh-CN" w:bidi="ar-SA"/>
          <w:highlight w:val="auto"/>
        </w:rPr>
        <w:t>23.97万元</w:t>
      </w:r>
      <w:r>
        <w:rPr>
          <w:rFonts w:ascii="Times New Roman" w:eastAsia="仿宋_GB2312" w:cs="仿宋_GB2312" w:hAnsi="Times New Roman" w:hint="eastAsia"/>
          <w:color w:val="auto"/>
          <w:kern w:val="2"/>
          <w:sz w:val="32"/>
          <w:szCs w:val="32"/>
          <w:lang w:val="en-US" w:eastAsia="zh-CN" w:bidi="ar-SA"/>
          <w:highlight w:val="auto"/>
        </w:rPr>
        <w:t>、抚恤金</w:t>
      </w:r>
      <w:r>
        <w:rPr>
          <w:rFonts w:eastAsia="仿宋_GB2312" w:cs="仿宋_GB2312" w:hint="eastAsia"/>
          <w:color w:val="auto"/>
          <w:kern w:val="2"/>
          <w:sz w:val="32"/>
          <w:szCs w:val="32"/>
          <w:lang w:val="en-US" w:eastAsia="zh-CN" w:bidi="ar-SA"/>
          <w:highlight w:val="auto"/>
        </w:rPr>
        <w:t>38.37万元</w:t>
      </w:r>
      <w:r>
        <w:rPr>
          <w:rFonts w:ascii="Times New Roman" w:eastAsia="仿宋_GB2312" w:cs="仿宋_GB2312" w:hAnsi="Times New Roman" w:hint="eastAsia"/>
          <w:color w:val="auto"/>
          <w:kern w:val="2"/>
          <w:sz w:val="32"/>
          <w:szCs w:val="32"/>
          <w:lang w:val="en-US" w:eastAsia="zh-CN" w:bidi="ar-SA"/>
          <w:highlight w:val="auto"/>
        </w:rPr>
        <w:t>、生活补助</w:t>
      </w:r>
      <w:r>
        <w:rPr>
          <w:rFonts w:eastAsia="仿宋_GB2312" w:cs="仿宋_GB2312" w:hint="eastAsia"/>
          <w:color w:val="auto"/>
          <w:kern w:val="2"/>
          <w:sz w:val="32"/>
          <w:szCs w:val="32"/>
          <w:lang w:val="en-US" w:eastAsia="zh-CN" w:bidi="ar-SA"/>
          <w:highlight w:val="auto"/>
        </w:rPr>
        <w:t>159.92万元</w:t>
      </w:r>
      <w:r>
        <w:rPr>
          <w:rFonts w:ascii="Times New Roman" w:eastAsia="仿宋_GB2312" w:cs="仿宋_GB2312" w:hAnsi="Times New Roman" w:hint="eastAsia"/>
          <w:color w:val="auto"/>
          <w:kern w:val="2"/>
          <w:sz w:val="32"/>
          <w:szCs w:val="32"/>
          <w:lang w:val="en-US" w:eastAsia="zh-CN" w:bidi="ar-SA"/>
          <w:highlight w:val="auto"/>
        </w:rPr>
        <w:t>、医疗费补助</w:t>
      </w:r>
      <w:r>
        <w:rPr>
          <w:rFonts w:eastAsia="仿宋_GB2312" w:cs="仿宋_GB2312" w:hint="eastAsia"/>
          <w:color w:val="auto"/>
          <w:kern w:val="2"/>
          <w:sz w:val="32"/>
          <w:szCs w:val="32"/>
          <w:lang w:val="en-US" w:eastAsia="zh-CN" w:bidi="ar-SA"/>
          <w:highlight w:val="auto"/>
        </w:rPr>
        <w:t>8.31万元</w:t>
      </w:r>
      <w:r>
        <w:rPr>
          <w:rFonts w:ascii="Times New Roman" w:eastAsia="仿宋_GB2312" w:cs="仿宋_GB2312" w:hAnsi="Times New Roman" w:hint="eastAsia"/>
          <w:color w:val="auto"/>
          <w:kern w:val="2"/>
          <w:sz w:val="32"/>
          <w:szCs w:val="32"/>
          <w:lang w:val="en-US" w:eastAsia="zh-CN" w:bidi="ar-SA"/>
          <w:highlight w:val="auto"/>
        </w:rPr>
        <w:t>、奖励金</w:t>
      </w:r>
      <w:r>
        <w:rPr>
          <w:rFonts w:eastAsia="仿宋_GB2312" w:cs="仿宋_GB2312" w:hint="eastAsia"/>
          <w:color w:val="auto"/>
          <w:kern w:val="2"/>
          <w:sz w:val="32"/>
          <w:szCs w:val="32"/>
          <w:lang w:val="en-US" w:eastAsia="zh-CN" w:bidi="ar-SA"/>
          <w:highlight w:val="auto"/>
        </w:rPr>
        <w:t>0.08万元等。</w:t>
      </w:r>
    </w:p>
    <w:p>
      <w:pPr>
        <w:spacing w:line="600" w:lineRule="exact"/>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公用经费</w:t>
      </w:r>
      <w:r>
        <w:rPr>
          <w:rFonts w:ascii="仿宋_GB2312" w:eastAsia="仿宋_GB2312" w:cs="仿宋_GB2312" w:hint="eastAsia"/>
          <w:sz w:val="32"/>
          <w:szCs w:val="32"/>
        </w:rPr>
        <w:t>165.36</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元，主要包括：办公费</w:t>
      </w:r>
      <w:r>
        <w:rPr>
          <w:rFonts w:eastAsia="仿宋_GB2312" w:cs="仿宋_GB2312" w:hint="eastAsia"/>
          <w:color w:val="auto"/>
          <w:kern w:val="2"/>
          <w:sz w:val="32"/>
          <w:szCs w:val="32"/>
          <w:lang w:val="en-US" w:eastAsia="zh-CN" w:bidi="ar-SA"/>
          <w:highlight w:val="auto"/>
        </w:rPr>
        <w:t>21.29万元</w:t>
      </w:r>
      <w:r>
        <w:rPr>
          <w:rFonts w:ascii="Times New Roman" w:eastAsia="仿宋_GB2312" w:cs="仿宋_GB2312" w:hAnsi="Times New Roman" w:hint="eastAsia"/>
          <w:color w:val="auto"/>
          <w:kern w:val="2"/>
          <w:sz w:val="32"/>
          <w:szCs w:val="32"/>
          <w:lang w:val="en-US" w:eastAsia="zh-CN" w:bidi="ar-SA"/>
          <w:highlight w:val="auto"/>
        </w:rPr>
        <w:t>、水费</w:t>
      </w:r>
      <w:r>
        <w:rPr>
          <w:rFonts w:eastAsia="仿宋_GB2312" w:cs="仿宋_GB2312" w:hint="eastAsia"/>
          <w:color w:val="auto"/>
          <w:kern w:val="2"/>
          <w:sz w:val="32"/>
          <w:szCs w:val="32"/>
          <w:lang w:val="en-US" w:eastAsia="zh-CN" w:bidi="ar-SA"/>
          <w:highlight w:val="auto"/>
        </w:rPr>
        <w:t>0.32万元</w:t>
      </w:r>
      <w:r>
        <w:rPr>
          <w:rFonts w:ascii="Times New Roman" w:eastAsia="仿宋_GB2312" w:cs="仿宋_GB2312" w:hAnsi="Times New Roman" w:hint="eastAsia"/>
          <w:color w:val="auto"/>
          <w:kern w:val="2"/>
          <w:sz w:val="32"/>
          <w:szCs w:val="32"/>
          <w:lang w:val="en-US" w:eastAsia="zh-CN" w:bidi="ar-SA"/>
          <w:highlight w:val="auto"/>
        </w:rPr>
        <w:t>、电费</w:t>
      </w:r>
      <w:r>
        <w:rPr>
          <w:rFonts w:eastAsia="仿宋_GB2312" w:cs="仿宋_GB2312" w:hint="eastAsia"/>
          <w:color w:val="auto"/>
          <w:kern w:val="2"/>
          <w:sz w:val="32"/>
          <w:szCs w:val="32"/>
          <w:lang w:val="en-US" w:eastAsia="zh-CN" w:bidi="ar-SA"/>
          <w:highlight w:val="auto"/>
        </w:rPr>
        <w:t>4.66万元</w:t>
      </w:r>
      <w:r>
        <w:rPr>
          <w:rFonts w:ascii="Times New Roman" w:eastAsia="仿宋_GB2312" w:cs="仿宋_GB2312" w:hAnsi="Times New Roman" w:hint="eastAsia"/>
          <w:color w:val="auto"/>
          <w:kern w:val="2"/>
          <w:sz w:val="32"/>
          <w:szCs w:val="32"/>
          <w:lang w:val="en-US" w:eastAsia="zh-CN" w:bidi="ar-SA"/>
          <w:highlight w:val="auto"/>
        </w:rPr>
        <w:t>、邮电费</w:t>
      </w:r>
      <w:r>
        <w:rPr>
          <w:rFonts w:eastAsia="仿宋_GB2312" w:cs="仿宋_GB2312" w:hint="eastAsia"/>
          <w:color w:val="auto"/>
          <w:kern w:val="2"/>
          <w:sz w:val="32"/>
          <w:szCs w:val="32"/>
          <w:lang w:val="en-US" w:eastAsia="zh-CN" w:bidi="ar-SA"/>
          <w:highlight w:val="auto"/>
        </w:rPr>
        <w:t>5.88万元</w:t>
      </w:r>
      <w:r>
        <w:rPr>
          <w:rFonts w:ascii="Times New Roman" w:eastAsia="仿宋_GB2312" w:cs="仿宋_GB2312" w:hAnsi="Times New Roman" w:hint="eastAsia"/>
          <w:color w:val="auto"/>
          <w:kern w:val="2"/>
          <w:sz w:val="32"/>
          <w:szCs w:val="32"/>
          <w:lang w:val="en-US" w:eastAsia="zh-CN" w:bidi="ar-SA"/>
          <w:highlight w:val="auto"/>
        </w:rPr>
        <w:t>、差旅费</w:t>
      </w:r>
      <w:r>
        <w:rPr>
          <w:rFonts w:eastAsia="仿宋_GB2312" w:cs="仿宋_GB2312" w:hint="eastAsia"/>
          <w:color w:val="auto"/>
          <w:kern w:val="2"/>
          <w:sz w:val="32"/>
          <w:szCs w:val="32"/>
          <w:lang w:val="en-US" w:eastAsia="zh-CN" w:bidi="ar-SA"/>
          <w:highlight w:val="auto"/>
        </w:rPr>
        <w:t>28.28万元</w:t>
      </w:r>
      <w:r>
        <w:rPr>
          <w:rFonts w:ascii="Times New Roman" w:eastAsia="仿宋_GB2312" w:cs="仿宋_GB2312" w:hAnsi="Times New Roman" w:hint="eastAsia"/>
          <w:color w:val="auto"/>
          <w:kern w:val="2"/>
          <w:sz w:val="32"/>
          <w:szCs w:val="32"/>
          <w:lang w:val="en-US" w:eastAsia="zh-CN" w:bidi="ar-SA"/>
          <w:highlight w:val="auto"/>
        </w:rPr>
        <w:t>、公务接待费</w:t>
      </w:r>
      <w:r>
        <w:rPr>
          <w:rFonts w:eastAsia="仿宋_GB2312" w:cs="仿宋_GB2312" w:hint="eastAsia"/>
          <w:color w:val="auto"/>
          <w:kern w:val="2"/>
          <w:sz w:val="32"/>
          <w:szCs w:val="32"/>
          <w:lang w:val="en-US" w:eastAsia="zh-CN" w:bidi="ar-SA"/>
          <w:highlight w:val="auto"/>
        </w:rPr>
        <w:t>2.41万元</w:t>
      </w:r>
      <w:r>
        <w:rPr>
          <w:rFonts w:ascii="Times New Roman" w:eastAsia="仿宋_GB2312" w:cs="仿宋_GB2312" w:hAnsi="Times New Roman" w:hint="eastAsia"/>
          <w:color w:val="auto"/>
          <w:kern w:val="2"/>
          <w:sz w:val="32"/>
          <w:szCs w:val="32"/>
          <w:lang w:val="en-US" w:eastAsia="zh-CN" w:bidi="ar-SA"/>
          <w:highlight w:val="auto"/>
        </w:rPr>
        <w:t>、劳务费</w:t>
      </w:r>
      <w:r>
        <w:rPr>
          <w:rFonts w:eastAsia="仿宋_GB2312" w:cs="仿宋_GB2312" w:hint="eastAsia"/>
          <w:color w:val="auto"/>
          <w:kern w:val="2"/>
          <w:sz w:val="32"/>
          <w:szCs w:val="32"/>
          <w:lang w:val="en-US" w:eastAsia="zh-CN" w:bidi="ar-SA"/>
          <w:highlight w:val="auto"/>
        </w:rPr>
        <w:t>8.80万元</w:t>
      </w:r>
      <w:r>
        <w:rPr>
          <w:rFonts w:ascii="Times New Roman" w:eastAsia="仿宋_GB2312" w:cs="仿宋_GB2312" w:hAnsi="Times New Roman" w:hint="eastAsia"/>
          <w:color w:val="auto"/>
          <w:kern w:val="2"/>
          <w:sz w:val="32"/>
          <w:szCs w:val="32"/>
          <w:lang w:val="en-US" w:eastAsia="zh-CN" w:bidi="ar-SA"/>
          <w:highlight w:val="auto"/>
        </w:rPr>
        <w:t>、委托业务费</w:t>
      </w:r>
      <w:r>
        <w:rPr>
          <w:rFonts w:eastAsia="仿宋_GB2312" w:cs="仿宋_GB2312" w:hint="eastAsia"/>
          <w:color w:val="auto"/>
          <w:kern w:val="2"/>
          <w:sz w:val="32"/>
          <w:szCs w:val="32"/>
          <w:lang w:val="en-US" w:eastAsia="zh-CN" w:bidi="ar-SA"/>
          <w:highlight w:val="auto"/>
        </w:rPr>
        <w:t>4.20万元</w:t>
      </w:r>
      <w:r>
        <w:rPr>
          <w:rFonts w:ascii="Times New Roman" w:eastAsia="仿宋_GB2312" w:cs="仿宋_GB2312" w:hAnsi="Times New Roman" w:hint="eastAsia"/>
          <w:color w:val="auto"/>
          <w:kern w:val="2"/>
          <w:sz w:val="32"/>
          <w:szCs w:val="32"/>
          <w:lang w:val="en-US" w:eastAsia="zh-CN" w:bidi="ar-SA"/>
          <w:highlight w:val="auto"/>
        </w:rPr>
        <w:t>、工会经费</w:t>
      </w:r>
      <w:r>
        <w:rPr>
          <w:rFonts w:eastAsia="仿宋_GB2312" w:cs="仿宋_GB2312" w:hint="eastAsia"/>
          <w:color w:val="auto"/>
          <w:kern w:val="2"/>
          <w:sz w:val="32"/>
          <w:szCs w:val="32"/>
          <w:lang w:val="en-US" w:eastAsia="zh-CN" w:bidi="ar-SA"/>
          <w:highlight w:val="auto"/>
        </w:rPr>
        <w:t>9.17万元</w:t>
      </w:r>
      <w:r>
        <w:rPr>
          <w:rFonts w:ascii="Times New Roman" w:eastAsia="仿宋_GB2312" w:cs="仿宋_GB2312" w:hAnsi="Times New Roman" w:hint="eastAsia"/>
          <w:color w:val="auto"/>
          <w:kern w:val="2"/>
          <w:sz w:val="32"/>
          <w:szCs w:val="32"/>
          <w:lang w:val="en-US" w:eastAsia="zh-CN" w:bidi="ar-SA"/>
          <w:highlight w:val="auto"/>
        </w:rPr>
        <w:t>、福利费</w:t>
      </w:r>
      <w:r>
        <w:rPr>
          <w:rFonts w:eastAsia="仿宋_GB2312" w:cs="仿宋_GB2312" w:hint="eastAsia"/>
          <w:color w:val="auto"/>
          <w:kern w:val="2"/>
          <w:sz w:val="32"/>
          <w:szCs w:val="32"/>
          <w:lang w:val="en-US" w:eastAsia="zh-CN" w:bidi="ar-SA"/>
          <w:highlight w:val="auto"/>
        </w:rPr>
        <w:t>10.83万元</w:t>
      </w:r>
      <w:r>
        <w:rPr>
          <w:rFonts w:ascii="Times New Roman" w:eastAsia="仿宋_GB2312" w:cs="仿宋_GB2312" w:hAnsi="Times New Roman" w:hint="eastAsia"/>
          <w:color w:val="auto"/>
          <w:kern w:val="2"/>
          <w:sz w:val="32"/>
          <w:szCs w:val="32"/>
          <w:lang w:val="en-US" w:eastAsia="zh-CN" w:bidi="ar-SA"/>
          <w:highlight w:val="auto"/>
        </w:rPr>
        <w:t>、公务用车运行维护费</w:t>
      </w:r>
      <w:r>
        <w:rPr>
          <w:rFonts w:eastAsia="仿宋_GB2312" w:cs="仿宋_GB2312" w:hint="eastAsia"/>
          <w:color w:val="auto"/>
          <w:kern w:val="2"/>
          <w:sz w:val="32"/>
          <w:szCs w:val="32"/>
          <w:lang w:val="en-US" w:eastAsia="zh-CN" w:bidi="ar-SA"/>
          <w:highlight w:val="auto"/>
        </w:rPr>
        <w:t>2.76万元</w:t>
      </w:r>
      <w:r>
        <w:rPr>
          <w:rFonts w:ascii="Times New Roman" w:eastAsia="仿宋_GB2312" w:cs="仿宋_GB2312" w:hAnsi="Times New Roman" w:hint="eastAsia"/>
          <w:color w:val="auto"/>
          <w:kern w:val="2"/>
          <w:sz w:val="32"/>
          <w:szCs w:val="32"/>
          <w:lang w:val="en-US" w:eastAsia="zh-CN" w:bidi="ar-SA"/>
          <w:highlight w:val="auto"/>
        </w:rPr>
        <w:t>、其他交通费</w:t>
      </w:r>
      <w:r>
        <w:rPr>
          <w:rFonts w:eastAsia="仿宋_GB2312" w:cs="仿宋_GB2312" w:hint="eastAsia"/>
          <w:color w:val="auto"/>
          <w:kern w:val="2"/>
          <w:sz w:val="32"/>
          <w:szCs w:val="32"/>
          <w:lang w:val="en-US" w:eastAsia="zh-CN" w:bidi="ar-SA"/>
          <w:highlight w:val="auto"/>
        </w:rPr>
        <w:t>58.31万元</w:t>
      </w:r>
      <w:r>
        <w:rPr>
          <w:rFonts w:ascii="Times New Roman" w:eastAsia="仿宋_GB2312" w:cs="仿宋_GB2312" w:hAnsi="Times New Roman" w:hint="eastAsia"/>
          <w:color w:val="auto"/>
          <w:kern w:val="2"/>
          <w:sz w:val="32"/>
          <w:szCs w:val="32"/>
          <w:lang w:val="en-US" w:eastAsia="zh-CN" w:bidi="ar-SA"/>
          <w:highlight w:val="auto"/>
        </w:rPr>
        <w:t>、其他商品和服务支出</w:t>
      </w:r>
      <w:r>
        <w:rPr>
          <w:rFonts w:eastAsia="仿宋_GB2312" w:cs="仿宋_GB2312" w:hint="eastAsia"/>
          <w:color w:val="auto"/>
          <w:kern w:val="2"/>
          <w:sz w:val="32"/>
          <w:szCs w:val="32"/>
          <w:lang w:val="en-US" w:eastAsia="zh-CN" w:bidi="ar-SA"/>
          <w:highlight w:val="auto"/>
        </w:rPr>
        <w:t>8.46万元</w:t>
      </w:r>
      <w:r>
        <w:rPr>
          <w:rFonts w:ascii="Times New Roman" w:eastAsia="仿宋_GB2312" w:cs="仿宋_GB2312" w:hAnsi="Times New Roman" w:hint="eastAsia"/>
          <w:color w:val="auto"/>
          <w:kern w:val="2"/>
          <w:sz w:val="32"/>
          <w:szCs w:val="32"/>
          <w:lang w:val="en-US" w:eastAsia="zh-CN" w:bidi="ar-SA"/>
          <w:highlight w:val="auto"/>
        </w:rPr>
        <w:t>等。</w:t>
      </w:r>
    </w:p>
    <w:p>
      <w:pPr>
        <w:spacing w:line="600" w:lineRule="exact"/>
        <w:ind w:firstLine="640"/>
        <w:outlineLvl w:val="1"/>
        <w:rPr>
          <w:rStyle w:val="2Char"/>
          <w:rFonts w:ascii="Times New Roman" w:eastAsia="黑体" w:hAnsi="Times New Roman"/>
          <w:b w:val="0"/>
          <w:color w:val="auto"/>
          <w:highlight w:val="auto"/>
        </w:rPr>
      </w:pPr>
      <w:bookmarkStart w:id="63" w:name="_Toc15377215"/>
      <w:bookmarkStart w:id="64" w:name="_Toc15396609"/>
      <w:bookmarkStart w:id="65" w:name="_Toc714235004"/>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63"/>
      <w:bookmarkEnd w:id="64"/>
      <w:bookmarkEnd w:id="65"/>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66"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66"/>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5.17</w:t>
      </w:r>
      <w:r>
        <w:rPr>
          <w:rFonts w:ascii="仿宋_GB2312" w:eastAsia="仿宋_GB2312" w:cs="仿宋_GB2312" w:hint="eastAsia"/>
          <w:color w:val="auto"/>
          <w:kern w:val="2"/>
          <w:sz w:val="32"/>
          <w:szCs w:val="32"/>
          <w:lang w:val="en-US" w:eastAsia="zh-CN" w:bidi="ar-SA"/>
          <w:highlight w:val="auto"/>
        </w:rPr>
        <w:t>万元，完成预算</w:t>
      </w:r>
      <w:r>
        <w:rPr>
          <w:rFonts w:ascii="仿宋_GB2312" w:eastAsia="仿宋_GB2312" w:cs="仿宋_GB2312" w:hint="eastAsia"/>
          <w:sz w:val="32"/>
          <w:szCs w:val="32"/>
        </w:rPr>
        <w:t>100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较上年度减少</w:t>
      </w:r>
      <w:r>
        <w:rPr>
          <w:rFonts w:eastAsia="仿宋_GB2312" w:cs="仿宋_GB2312" w:hint="eastAsia"/>
          <w:color w:val="auto"/>
          <w:kern w:val="2"/>
          <w:sz w:val="32"/>
          <w:szCs w:val="32"/>
          <w:lang w:val="en-US" w:eastAsia="zh-CN" w:bidi="ar-SA"/>
          <w:highlight w:val="auto"/>
        </w:rPr>
        <w:t>0.06</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1.15</w:t>
      </w:r>
      <w:r>
        <w:rPr>
          <w:rFonts w:ascii="Times New Roman" w:eastAsia="仿宋_GB2312" w:cs="仿宋_GB2312" w:hAnsi="Times New Roman" w:hint="eastAsia"/>
          <w:color w:val="auto"/>
          <w:kern w:val="2"/>
          <w:sz w:val="32"/>
          <w:szCs w:val="32"/>
          <w:lang w:val="en-US" w:eastAsia="zh-CN" w:bidi="ar-SA"/>
          <w:highlight w:val="auto"/>
        </w:rPr>
        <w:t>%。决算数与预算数持平</w:t>
      </w:r>
      <w:r>
        <w:rPr>
          <w:rFonts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67"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6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万元，占0%；公务用车购置及运行维护费支出决算</w:t>
      </w:r>
      <w:r>
        <w:rPr>
          <w:rFonts w:ascii="仿宋_GB2312" w:eastAsia="仿宋_GB2312" w:cs="仿宋_GB2312" w:hint="eastAsia"/>
          <w:sz w:val="32"/>
          <w:szCs w:val="32"/>
        </w:rPr>
        <w:t>2.76</w:t>
      </w:r>
      <w:r>
        <w:rPr>
          <w:rFonts w:ascii="仿宋_GB2312" w:eastAsia="仿宋_GB2312" w:cs="仿宋_GB2312" w:hint="eastAsia"/>
          <w:color w:val="auto"/>
          <w:kern w:val="2"/>
          <w:sz w:val="32"/>
          <w:szCs w:val="32"/>
          <w:lang w:val="en-US" w:eastAsia="zh-CN" w:bidi="ar-SA"/>
          <w:highlight w:val="auto"/>
        </w:rPr>
        <w:t>万元，占53.38%；公务接待费支出决算</w:t>
      </w:r>
      <w:r>
        <w:rPr>
          <w:rFonts w:ascii="仿宋_GB2312" w:eastAsia="仿宋_GB2312" w:cs="仿宋_GB2312" w:hint="eastAsia"/>
          <w:sz w:val="32"/>
          <w:szCs w:val="32"/>
        </w:rPr>
        <w:t>2.41</w:t>
      </w:r>
      <w:r>
        <w:rPr>
          <w:rFonts w:ascii="仿宋_GB2312" w:eastAsia="仿宋_GB2312" w:cs="仿宋_GB2312" w:hint="eastAsia"/>
          <w:color w:val="auto"/>
          <w:kern w:val="2"/>
          <w:sz w:val="32"/>
          <w:szCs w:val="32"/>
          <w:lang w:val="en-US" w:eastAsia="zh-CN" w:bidi="ar-SA"/>
          <w:highlight w:val="auto"/>
        </w:rPr>
        <w:t>万元，占46.62%。具体情况如下：</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“三公”经费财政拨款支出结构图</w:t>
      </w: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drawing>
          <wp:anchor distT="0" distB="0" distL="114300" distR="114300" simplePos="0" relativeHeight="30" behindDoc="0" locked="0" layoutInCell="1" hidden="0" allowOverlap="1">
            <wp:simplePos x="0" y="0"/>
            <wp:positionH relativeFrom="column">
              <wp:posOffset>40005</wp:posOffset>
            </wp:positionH>
            <wp:positionV relativeFrom="paragraph">
              <wp:posOffset>225425</wp:posOffset>
            </wp:positionV>
            <wp:extent cx="5256530" cy="2988310"/>
            <wp:effectExtent l="0" t="0" r="0" b="0"/>
            <wp:wrapNone/>
            <wp:docPr id="7" name="图表 7"/>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。因公出国（境）支出决算</w:t>
      </w:r>
      <w:r>
        <w:rPr>
          <w:rFonts w:eastAsia="仿宋_GB2312" w:cs="仿宋_GB2312" w:hint="eastAsia"/>
          <w:color w:val="auto"/>
          <w:kern w:val="2"/>
          <w:sz w:val="32"/>
          <w:szCs w:val="32"/>
          <w:lang w:val="en-US" w:eastAsia="zh-CN" w:bidi="ar-SA"/>
          <w:highlight w:val="auto"/>
        </w:rPr>
        <w:t>与</w:t>
      </w:r>
      <w:r>
        <w:rPr>
          <w:rFonts w:ascii="Times New Roman" w:eastAsia="仿宋_GB2312" w:cs="仿宋_GB2312" w:hAnsi="Times New Roman" w:hint="eastAsia"/>
          <w:color w:val="auto"/>
          <w:kern w:val="2"/>
          <w:sz w:val="32"/>
          <w:szCs w:val="32"/>
          <w:lang w:val="en-US" w:eastAsia="zh-CN" w:bidi="ar-SA"/>
          <w:highlight w:val="auto"/>
        </w:rPr>
        <w:t>2023年</w:t>
      </w:r>
      <w:r>
        <w:rPr>
          <w:rFonts w:eastAsia="仿宋_GB2312" w:cs="仿宋_GB2312" w:hint="eastAsia"/>
          <w:color w:val="auto"/>
          <w:kern w:val="2"/>
          <w:sz w:val="32"/>
          <w:szCs w:val="32"/>
          <w:lang w:val="en-US" w:eastAsia="zh-CN" w:bidi="ar-SA"/>
          <w:highlight w:val="auto"/>
        </w:rPr>
        <w:t>持平。</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2.76万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公务用车购置及运行维护费支出决算比2023年度减少</w:t>
      </w:r>
      <w:r>
        <w:rPr>
          <w:rFonts w:eastAsia="仿宋_GB2312" w:cs="仿宋_GB2312" w:hint="eastAsia"/>
          <w:color w:val="auto"/>
          <w:kern w:val="2"/>
          <w:sz w:val="32"/>
          <w:szCs w:val="32"/>
          <w:lang w:val="en-US" w:eastAsia="zh-CN" w:bidi="ar-SA"/>
          <w:highlight w:val="auto"/>
        </w:rPr>
        <w:t>0.1</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3.50</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Times New Roman" w:eastAsia="仿宋" w:cs="Times New Roman" w:hAnsi="Times New Roman"/>
          <w:b w:val="0"/>
          <w:bCs w:val="0"/>
          <w:caps w:val="0"/>
          <w:smallCaps w:val="0"/>
          <w:color w:val="auto"/>
          <w:kern w:val="2"/>
          <w:sz w:val="32"/>
          <w:szCs w:val="32"/>
          <w:vertAlign w:val="baseline"/>
          <w:lang w:val="en-US" w:eastAsia="zh-CN"/>
        </w:rPr>
        <w:t>按</w:t>
      </w:r>
      <w:r>
        <w:rPr>
          <w:rFonts w:ascii="Times New Roman" w:eastAsia="仿宋" w:cs="Times New Roman" w:hAnsi="Times New Roman" w:hint="eastAsia"/>
          <w:b w:val="0"/>
          <w:bCs w:val="0"/>
          <w:caps w:val="0"/>
          <w:smallCaps w:val="0"/>
          <w:color w:val="auto"/>
          <w:kern w:val="2"/>
          <w:sz w:val="32"/>
          <w:szCs w:val="32"/>
          <w:vertAlign w:val="baseline"/>
          <w:lang w:val="en-US" w:eastAsia="zh-CN"/>
        </w:rPr>
        <w:t>要求压减公务用车运行维护费。</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万元。全年按规定更新购置公务用车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万元。截至2024年12月31日，单位共有公务用车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辆、越野车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2.76</w:t>
      </w:r>
      <w:r>
        <w:rPr>
          <w:rFonts w:ascii="Times New Roman" w:eastAsia="仿宋_GB2312" w:cs="仿宋_GB2312" w:hAnsi="Times New Roman" w:hint="eastAsia"/>
          <w:color w:val="auto"/>
          <w:kern w:val="2"/>
          <w:sz w:val="32"/>
          <w:szCs w:val="32"/>
          <w:lang w:val="en-US" w:eastAsia="zh-CN" w:bidi="ar-SA"/>
          <w:highlight w:val="auto"/>
        </w:rPr>
        <w:t>万元。主要用于</w:t>
      </w:r>
      <w:r>
        <w:rPr>
          <w:rFonts w:ascii="Times New Roman" w:eastAsia="仿宋" w:cs="Times New Roman" w:hAnsi="Times New Roman"/>
          <w:b w:val="0"/>
          <w:bCs w:val="0"/>
          <w:caps w:val="0"/>
          <w:smallCaps w:val="0"/>
          <w:color w:val="auto"/>
          <w:kern w:val="2"/>
          <w:sz w:val="32"/>
          <w:szCs w:val="32"/>
          <w:vertAlign w:val="baseline"/>
          <w:lang w:val="en-US" w:eastAsia="zh-CN"/>
        </w:rPr>
        <w:t>开展卫生健康</w:t>
      </w:r>
      <w:r>
        <w:rPr>
          <w:rFonts w:ascii="Times New Roman" w:eastAsia="仿宋" w:cs="Times New Roman" w:hAnsi="Times New Roman" w:hint="eastAsia"/>
          <w:b w:val="0"/>
          <w:bCs w:val="0"/>
          <w:caps w:val="0"/>
          <w:smallCaps w:val="0"/>
          <w:color w:val="auto"/>
          <w:kern w:val="2"/>
          <w:sz w:val="32"/>
          <w:szCs w:val="32"/>
          <w:vertAlign w:val="baseline"/>
          <w:lang w:val="en-US" w:eastAsia="zh-CN"/>
        </w:rPr>
        <w:t>应急及相关业务活动等所需的公务用车燃料费、维修费、过路过桥费、保险费等支出。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2.41万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公务接待费支出决算比2023年度增加</w:t>
      </w:r>
      <w:r>
        <w:rPr>
          <w:rFonts w:eastAsia="仿宋_GB2312" w:cs="仿宋_GB2312" w:hint="eastAsia"/>
          <w:color w:val="auto"/>
          <w:kern w:val="2"/>
          <w:sz w:val="32"/>
          <w:szCs w:val="32"/>
          <w:lang w:val="en-US" w:eastAsia="zh-CN" w:bidi="ar-SA"/>
          <w:highlight w:val="auto"/>
        </w:rPr>
        <w:t>0.04</w:t>
      </w:r>
      <w:r>
        <w:rPr>
          <w:rFonts w:ascii="Times New Roman" w:eastAsia="仿宋_GB2312" w:cs="仿宋_GB2312" w:hAnsi="Times New Roman" w:hint="eastAsia"/>
          <w:color w:val="auto"/>
          <w:kern w:val="2"/>
          <w:sz w:val="32"/>
          <w:szCs w:val="32"/>
          <w:lang w:val="en-US" w:eastAsia="zh-CN" w:bidi="ar-SA"/>
          <w:highlight w:val="auto"/>
        </w:rPr>
        <w:t>万元，增长</w:t>
      </w:r>
      <w:r>
        <w:rPr>
          <w:rFonts w:eastAsia="仿宋_GB2312" w:cs="仿宋_GB2312" w:hint="eastAsia"/>
          <w:color w:val="auto"/>
          <w:kern w:val="2"/>
          <w:sz w:val="32"/>
          <w:szCs w:val="32"/>
          <w:lang w:val="en-US" w:eastAsia="zh-CN" w:bidi="ar-SA"/>
          <w:highlight w:val="auto"/>
        </w:rPr>
        <w:t>1.69</w:t>
      </w:r>
      <w:r>
        <w:rPr>
          <w:rFonts w:ascii="Times New Roman" w:eastAsia="仿宋_GB2312" w:cs="仿宋_GB2312" w:hAnsi="Times New Roman" w:hint="eastAsia"/>
          <w:color w:val="auto"/>
          <w:kern w:val="2"/>
          <w:sz w:val="32"/>
          <w:szCs w:val="32"/>
          <w:lang w:val="en-US" w:eastAsia="zh-CN" w:bidi="ar-SA"/>
          <w:highlight w:val="auto"/>
        </w:rPr>
        <w:t>%。主要原因是</w:t>
      </w:r>
      <w:r>
        <w:rPr>
          <w:rFonts w:eastAsia="仿宋_GB2312" w:cs="仿宋_GB2312" w:hint="eastAsia"/>
          <w:color w:val="auto"/>
          <w:kern w:val="2"/>
          <w:sz w:val="32"/>
          <w:szCs w:val="32"/>
          <w:lang w:val="en-US" w:eastAsia="zh-CN" w:bidi="ar-SA"/>
          <w:highlight w:val="auto"/>
        </w:rPr>
        <w:t>接待批次和接待人数基本持平，公务接待费基本持平</w:t>
      </w:r>
      <w:r>
        <w:rPr>
          <w:rFonts w:ascii="Times New Roman" w:eastAsia="仿宋_GB2312" w:cs="仿宋_GB2312" w:hAnsi="Times New Roman" w:hint="eastAsia"/>
          <w:color w:val="auto"/>
          <w:kern w:val="2"/>
          <w:sz w:val="32"/>
          <w:szCs w:val="32"/>
          <w:lang w:val="en-US" w:eastAsia="zh-CN" w:bidi="ar-SA"/>
          <w:highlight w:val="auto"/>
        </w:rPr>
        <w:t>。其中：</w:t>
      </w:r>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2.41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元，主要用于</w:t>
      </w:r>
      <w:r>
        <w:rPr>
          <w:rFonts w:ascii="Times New Roman" w:eastAsia="仿宋_GB2312" w:cs="仿宋_GB2312" w:hAnsi="Times New Roman"/>
          <w:caps w:val="0"/>
          <w:smallCaps w:val="0"/>
          <w:color w:val="auto"/>
          <w:kern w:val="2"/>
          <w:sz w:val="32"/>
          <w:szCs w:val="32"/>
          <w:vertAlign w:val="baseline"/>
        </w:rPr>
        <w:t>接待各种督导、检查、调研等工作。</w:t>
      </w:r>
      <w:r>
        <w:rPr>
          <w:rFonts w:ascii="Times New Roman" w:eastAsia="仿宋_GB2312" w:cs="仿宋_GB2312" w:hAnsi="Times New Roman" w:hint="eastAsia"/>
          <w:color w:val="auto"/>
          <w:kern w:val="2"/>
          <w:sz w:val="32"/>
          <w:szCs w:val="32"/>
          <w:lang w:val="en-US" w:eastAsia="zh-CN" w:bidi="ar-SA"/>
          <w:highlight w:val="auto"/>
        </w:rPr>
        <w:t>国内公务接</w:t>
      </w:r>
      <w:r>
        <w:rPr>
          <w:rFonts w:ascii="仿宋_GB2312" w:eastAsia="仿宋_GB2312" w:cs="仿宋_GB2312" w:hint="eastAsia"/>
          <w:color w:val="auto"/>
          <w:kern w:val="2"/>
          <w:sz w:val="32"/>
          <w:szCs w:val="32"/>
          <w:lang w:val="en-US" w:eastAsia="zh-CN" w:bidi="ar-SA"/>
          <w:highlight w:val="auto"/>
        </w:rPr>
        <w:t>待</w:t>
      </w:r>
      <w:r>
        <w:rPr>
          <w:rFonts w:ascii="仿宋_GB2312" w:eastAsia="仿宋_GB2312" w:cs="仿宋_GB2312" w:hint="eastAsia"/>
          <w:sz w:val="32"/>
          <w:szCs w:val="32"/>
        </w:rPr>
        <w:t>21</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134</w:t>
      </w:r>
      <w:r>
        <w:rPr>
          <w:rFonts w:ascii="Times New Roman" w:eastAsia="仿宋_GB2312" w:cs="仿宋_GB2312" w:hAnsi="Times New Roman" w:hint="eastAsia"/>
          <w:color w:val="auto"/>
          <w:kern w:val="2"/>
          <w:sz w:val="32"/>
          <w:szCs w:val="32"/>
          <w:lang w:val="en-US" w:eastAsia="zh-CN" w:bidi="ar-SA"/>
          <w:highlight w:val="auto"/>
        </w:rPr>
        <w:t>人次（不包括陪同人员），共计支出2.41万元，具体内容包括：</w:t>
      </w:r>
      <w:r>
        <w:rPr>
          <w:rFonts w:ascii="Times New Roman" w:eastAsia="仿宋_GB2312" w:cs="仿宋_GB2312" w:hAnsi="Times New Roman"/>
          <w:caps w:val="0"/>
          <w:smallCaps w:val="0"/>
          <w:color w:val="auto"/>
          <w:kern w:val="2"/>
          <w:sz w:val="32"/>
          <w:szCs w:val="32"/>
          <w:vertAlign w:val="baseline"/>
        </w:rPr>
        <w:t>接待育儿补贴实施效果调研0.13</w:t>
      </w:r>
      <w:r>
        <w:rPr>
          <w:rFonts w:ascii="Times New Roman" w:eastAsia="仿宋_GB2312" w:cs="仿宋_GB2312" w:hAnsi="Times New Roman" w:hint="eastAsia"/>
          <w:caps w:val="0"/>
          <w:smallCaps w:val="0"/>
          <w:color w:val="auto"/>
          <w:kern w:val="2"/>
          <w:sz w:val="32"/>
          <w:szCs w:val="32"/>
          <w:vertAlign w:val="baseline"/>
        </w:rPr>
        <w:t>万元；接待交叉调研评估消除艾滋病、梅毒和乙肝母婴传播工作</w:t>
      </w:r>
      <w:r>
        <w:rPr>
          <w:rFonts w:ascii="Times New Roman" w:eastAsia="仿宋_GB2312" w:cs="仿宋_GB2312" w:hAnsi="Times New Roman"/>
          <w:caps w:val="0"/>
          <w:smallCaps w:val="0"/>
          <w:color w:val="auto"/>
          <w:kern w:val="2"/>
          <w:sz w:val="32"/>
          <w:szCs w:val="32"/>
          <w:vertAlign w:val="baseline"/>
        </w:rPr>
        <w:t>0.12</w:t>
      </w:r>
      <w:r>
        <w:rPr>
          <w:rFonts w:ascii="Times New Roman" w:eastAsia="仿宋_GB2312" w:cs="仿宋_GB2312" w:hAnsi="Times New Roman" w:hint="eastAsia"/>
          <w:caps w:val="0"/>
          <w:smallCaps w:val="0"/>
          <w:color w:val="auto"/>
          <w:kern w:val="2"/>
          <w:sz w:val="32"/>
          <w:szCs w:val="32"/>
          <w:vertAlign w:val="baseline"/>
        </w:rPr>
        <w:t>万元；接待</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两个紧密</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建设工作调研</w:t>
      </w:r>
      <w:r>
        <w:rPr>
          <w:rFonts w:ascii="Times New Roman" w:eastAsia="仿宋_GB2312" w:cs="仿宋_GB2312" w:hAnsi="Times New Roman"/>
          <w:caps w:val="0"/>
          <w:smallCaps w:val="0"/>
          <w:color w:val="auto"/>
          <w:kern w:val="2"/>
          <w:sz w:val="32"/>
          <w:szCs w:val="32"/>
          <w:vertAlign w:val="baseline"/>
        </w:rPr>
        <w:t>0.13</w:t>
      </w:r>
      <w:r>
        <w:rPr>
          <w:rFonts w:ascii="Times New Roman" w:eastAsia="仿宋_GB2312" w:cs="仿宋_GB2312" w:hAnsi="Times New Roman" w:hint="eastAsia"/>
          <w:caps w:val="0"/>
          <w:smallCaps w:val="0"/>
          <w:color w:val="auto"/>
          <w:kern w:val="2"/>
          <w:sz w:val="32"/>
          <w:szCs w:val="32"/>
          <w:vertAlign w:val="baseline"/>
        </w:rPr>
        <w:t>万元；接待老龄健康工作调研</w:t>
      </w:r>
      <w:r>
        <w:rPr>
          <w:rFonts w:ascii="Times New Roman" w:eastAsia="仿宋_GB2312" w:cs="仿宋_GB2312" w:hAnsi="Times New Roman"/>
          <w:caps w:val="0"/>
          <w:smallCaps w:val="0"/>
          <w:color w:val="auto"/>
          <w:kern w:val="2"/>
          <w:sz w:val="32"/>
          <w:szCs w:val="32"/>
          <w:vertAlign w:val="baseline"/>
        </w:rPr>
        <w:t>0.08</w:t>
      </w:r>
      <w:r>
        <w:rPr>
          <w:rFonts w:ascii="Times New Roman" w:eastAsia="仿宋_GB2312" w:cs="仿宋_GB2312" w:hAnsi="Times New Roman" w:hint="eastAsia"/>
          <w:caps w:val="0"/>
          <w:smallCaps w:val="0"/>
          <w:color w:val="auto"/>
          <w:kern w:val="2"/>
          <w:sz w:val="32"/>
          <w:szCs w:val="32"/>
          <w:vertAlign w:val="baseline"/>
        </w:rPr>
        <w:t>万元；接待银龄健康工程调研</w:t>
      </w:r>
      <w:r>
        <w:rPr>
          <w:rFonts w:ascii="Times New Roman" w:eastAsia="仿宋_GB2312" w:cs="仿宋_GB2312" w:hAnsi="Times New Roman"/>
          <w:caps w:val="0"/>
          <w:smallCaps w:val="0"/>
          <w:color w:val="auto"/>
          <w:kern w:val="2"/>
          <w:sz w:val="32"/>
          <w:szCs w:val="32"/>
          <w:vertAlign w:val="baseline"/>
        </w:rPr>
        <w:t>0.09</w:t>
      </w:r>
      <w:r>
        <w:rPr>
          <w:rFonts w:ascii="Times New Roman" w:eastAsia="仿宋_GB2312" w:cs="仿宋_GB2312" w:hAnsi="Times New Roman" w:hint="eastAsia"/>
          <w:caps w:val="0"/>
          <w:smallCaps w:val="0"/>
          <w:color w:val="auto"/>
          <w:kern w:val="2"/>
          <w:sz w:val="32"/>
          <w:szCs w:val="32"/>
          <w:vertAlign w:val="baseline"/>
        </w:rPr>
        <w:t>万元；接待职业病防治调研</w:t>
      </w:r>
      <w:r>
        <w:rPr>
          <w:rFonts w:ascii="Times New Roman" w:eastAsia="仿宋_GB2312" w:cs="仿宋_GB2312" w:hAnsi="Times New Roman"/>
          <w:caps w:val="0"/>
          <w:smallCaps w:val="0"/>
          <w:color w:val="auto"/>
          <w:kern w:val="2"/>
          <w:sz w:val="32"/>
          <w:szCs w:val="32"/>
          <w:vertAlign w:val="baseline"/>
        </w:rPr>
        <w:t>0.21</w:t>
      </w:r>
      <w:r>
        <w:rPr>
          <w:rFonts w:ascii="Times New Roman" w:eastAsia="仿宋_GB2312" w:cs="仿宋_GB2312" w:hAnsi="Times New Roman" w:hint="eastAsia"/>
          <w:caps w:val="0"/>
          <w:smallCaps w:val="0"/>
          <w:color w:val="auto"/>
          <w:kern w:val="2"/>
          <w:sz w:val="32"/>
          <w:szCs w:val="32"/>
          <w:vertAlign w:val="baseline"/>
        </w:rPr>
        <w:t>万元；接待医疗质量行动落实情况调研</w:t>
      </w:r>
      <w:r>
        <w:rPr>
          <w:rFonts w:ascii="Times New Roman" w:eastAsia="仿宋_GB2312" w:cs="仿宋_GB2312" w:hAnsi="Times New Roman"/>
          <w:caps w:val="0"/>
          <w:smallCaps w:val="0"/>
          <w:color w:val="auto"/>
          <w:kern w:val="2"/>
          <w:sz w:val="32"/>
          <w:szCs w:val="32"/>
          <w:vertAlign w:val="baseline"/>
        </w:rPr>
        <w:t>0.09</w:t>
      </w:r>
      <w:r>
        <w:rPr>
          <w:rFonts w:ascii="Times New Roman" w:eastAsia="仿宋_GB2312" w:cs="仿宋_GB2312" w:hAnsi="Times New Roman" w:hint="eastAsia"/>
          <w:caps w:val="0"/>
          <w:smallCaps w:val="0"/>
          <w:color w:val="auto"/>
          <w:kern w:val="2"/>
          <w:sz w:val="32"/>
          <w:szCs w:val="32"/>
          <w:vertAlign w:val="baseline"/>
        </w:rPr>
        <w:t>万元；接待人口高质量发展调研</w:t>
      </w:r>
      <w:r>
        <w:rPr>
          <w:rFonts w:ascii="Times New Roman" w:eastAsia="仿宋_GB2312" w:cs="仿宋_GB2312" w:hAnsi="Times New Roman"/>
          <w:caps w:val="0"/>
          <w:smallCaps w:val="0"/>
          <w:color w:val="auto"/>
          <w:kern w:val="2"/>
          <w:sz w:val="32"/>
          <w:szCs w:val="32"/>
          <w:vertAlign w:val="baseline"/>
        </w:rPr>
        <w:t>0.20</w:t>
      </w:r>
      <w:r>
        <w:rPr>
          <w:rFonts w:ascii="Times New Roman" w:eastAsia="仿宋_GB2312" w:cs="仿宋_GB2312" w:hAnsi="Times New Roman" w:hint="eastAsia"/>
          <w:caps w:val="0"/>
          <w:smallCaps w:val="0"/>
          <w:color w:val="auto"/>
          <w:kern w:val="2"/>
          <w:sz w:val="32"/>
          <w:szCs w:val="32"/>
          <w:vertAlign w:val="baseline"/>
        </w:rPr>
        <w:t>万元；接待南充市学习生育支持政策</w:t>
      </w:r>
      <w:r>
        <w:rPr>
          <w:rFonts w:ascii="Times New Roman" w:eastAsia="仿宋_GB2312" w:cs="仿宋_GB2312" w:hAnsi="Times New Roman"/>
          <w:caps w:val="0"/>
          <w:smallCaps w:val="0"/>
          <w:color w:val="auto"/>
          <w:kern w:val="2"/>
          <w:sz w:val="32"/>
          <w:szCs w:val="32"/>
          <w:vertAlign w:val="baseline"/>
        </w:rPr>
        <w:t>0.08</w:t>
      </w:r>
      <w:r>
        <w:rPr>
          <w:rFonts w:ascii="Times New Roman" w:eastAsia="仿宋_GB2312" w:cs="仿宋_GB2312" w:hAnsi="Times New Roman" w:hint="eastAsia"/>
          <w:caps w:val="0"/>
          <w:smallCaps w:val="0"/>
          <w:color w:val="auto"/>
          <w:kern w:val="2"/>
          <w:sz w:val="32"/>
          <w:szCs w:val="32"/>
          <w:vertAlign w:val="baseline"/>
        </w:rPr>
        <w:t>万元；接待盐边县基层医疗工作调研</w:t>
      </w:r>
      <w:r>
        <w:rPr>
          <w:rFonts w:ascii="Times New Roman" w:eastAsia="仿宋_GB2312" w:cs="仿宋_GB2312" w:hAnsi="Times New Roman"/>
          <w:caps w:val="0"/>
          <w:smallCaps w:val="0"/>
          <w:color w:val="auto"/>
          <w:kern w:val="2"/>
          <w:sz w:val="32"/>
          <w:szCs w:val="32"/>
          <w:vertAlign w:val="baseline"/>
        </w:rPr>
        <w:t>0.29</w:t>
      </w:r>
      <w:r>
        <w:rPr>
          <w:rFonts w:ascii="Times New Roman" w:eastAsia="仿宋_GB2312" w:cs="仿宋_GB2312" w:hAnsi="Times New Roman" w:hint="eastAsia"/>
          <w:caps w:val="0"/>
          <w:smallCaps w:val="0"/>
          <w:color w:val="auto"/>
          <w:kern w:val="2"/>
          <w:sz w:val="32"/>
          <w:szCs w:val="32"/>
          <w:vertAlign w:val="baseline"/>
        </w:rPr>
        <w:t>万元；接待基层中医药服务能力提升</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十四五</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行动计划实施情况调研</w:t>
      </w:r>
      <w:r>
        <w:rPr>
          <w:rFonts w:ascii="Times New Roman" w:eastAsia="仿宋_GB2312" w:cs="仿宋_GB2312" w:hAnsi="Times New Roman"/>
          <w:caps w:val="0"/>
          <w:smallCaps w:val="0"/>
          <w:color w:val="auto"/>
          <w:kern w:val="2"/>
          <w:sz w:val="32"/>
          <w:szCs w:val="32"/>
          <w:vertAlign w:val="baseline"/>
        </w:rPr>
        <w:t>0.08</w:t>
      </w:r>
      <w:r>
        <w:rPr>
          <w:rFonts w:ascii="Times New Roman" w:eastAsia="仿宋_GB2312" w:cs="仿宋_GB2312" w:hAnsi="Times New Roman" w:hint="eastAsia"/>
          <w:caps w:val="0"/>
          <w:smallCaps w:val="0"/>
          <w:color w:val="auto"/>
          <w:kern w:val="2"/>
          <w:sz w:val="32"/>
          <w:szCs w:val="32"/>
          <w:vertAlign w:val="baseline"/>
        </w:rPr>
        <w:t>万元；接待</w:t>
      </w:r>
      <w:r>
        <w:rPr>
          <w:rFonts w:ascii="Times New Roman" w:eastAsia="仿宋_GB2312" w:cs="仿宋_GB2312" w:hAnsi="Times New Roman"/>
          <w:caps w:val="0"/>
          <w:smallCaps w:val="0"/>
          <w:color w:val="auto"/>
          <w:kern w:val="2"/>
          <w:sz w:val="32"/>
          <w:szCs w:val="32"/>
          <w:vertAlign w:val="baseline"/>
        </w:rPr>
        <w:t>2024</w:t>
      </w:r>
      <w:r>
        <w:rPr>
          <w:rFonts w:ascii="Times New Roman" w:eastAsia="仿宋_GB2312" w:cs="仿宋_GB2312" w:hAnsi="Times New Roman" w:hint="eastAsia"/>
          <w:caps w:val="0"/>
          <w:smallCaps w:val="0"/>
          <w:color w:val="auto"/>
          <w:kern w:val="2"/>
          <w:sz w:val="32"/>
          <w:szCs w:val="32"/>
          <w:vertAlign w:val="baseline"/>
        </w:rPr>
        <w:t>年重点绩效评价</w:t>
      </w:r>
      <w:r>
        <w:rPr>
          <w:rFonts w:ascii="Times New Roman" w:eastAsia="仿宋_GB2312" w:cs="仿宋_GB2312" w:hAnsi="Times New Roman"/>
          <w:caps w:val="0"/>
          <w:smallCaps w:val="0"/>
          <w:color w:val="auto"/>
          <w:kern w:val="2"/>
          <w:sz w:val="32"/>
          <w:szCs w:val="32"/>
          <w:vertAlign w:val="baseline"/>
        </w:rPr>
        <w:t>0.28</w:t>
      </w:r>
      <w:r>
        <w:rPr>
          <w:rFonts w:ascii="Times New Roman" w:eastAsia="仿宋_GB2312" w:cs="仿宋_GB2312" w:hAnsi="Times New Roman" w:hint="eastAsia"/>
          <w:caps w:val="0"/>
          <w:smallCaps w:val="0"/>
          <w:color w:val="auto"/>
          <w:kern w:val="2"/>
          <w:sz w:val="32"/>
          <w:szCs w:val="32"/>
          <w:vertAlign w:val="baseline"/>
        </w:rPr>
        <w:t>万元；接待民族地区卫生发展十年行动计划项目调研</w:t>
      </w:r>
      <w:r>
        <w:rPr>
          <w:rFonts w:ascii="Times New Roman" w:eastAsia="仿宋_GB2312" w:cs="仿宋_GB2312" w:hAnsi="Times New Roman"/>
          <w:caps w:val="0"/>
          <w:smallCaps w:val="0"/>
          <w:color w:val="auto"/>
          <w:kern w:val="2"/>
          <w:sz w:val="32"/>
          <w:szCs w:val="32"/>
          <w:vertAlign w:val="baseline"/>
        </w:rPr>
        <w:t>0.04</w:t>
      </w:r>
      <w:r>
        <w:rPr>
          <w:rFonts w:ascii="Times New Roman" w:eastAsia="仿宋_GB2312" w:cs="仿宋_GB2312" w:hAnsi="Times New Roman" w:hint="eastAsia"/>
          <w:caps w:val="0"/>
          <w:smallCaps w:val="0"/>
          <w:color w:val="auto"/>
          <w:kern w:val="2"/>
          <w:sz w:val="32"/>
          <w:szCs w:val="32"/>
          <w:vertAlign w:val="baseline"/>
        </w:rPr>
        <w:t>万元；接待重点课题调研</w:t>
      </w:r>
      <w:r>
        <w:rPr>
          <w:rFonts w:ascii="Times New Roman" w:eastAsia="仿宋_GB2312" w:cs="仿宋_GB2312" w:hAnsi="Times New Roman"/>
          <w:caps w:val="0"/>
          <w:smallCaps w:val="0"/>
          <w:color w:val="auto"/>
          <w:kern w:val="2"/>
          <w:sz w:val="32"/>
          <w:szCs w:val="32"/>
          <w:vertAlign w:val="baseline"/>
        </w:rPr>
        <w:t>0.1</w:t>
      </w:r>
      <w:r>
        <w:rPr>
          <w:rFonts w:ascii="Times New Roman" w:eastAsia="仿宋_GB2312" w:cs="仿宋_GB2312" w:hAnsi="Times New Roman" w:hint="eastAsia"/>
          <w:caps w:val="0"/>
          <w:smallCaps w:val="0"/>
          <w:color w:val="auto"/>
          <w:kern w:val="2"/>
          <w:sz w:val="32"/>
          <w:szCs w:val="32"/>
          <w:vertAlign w:val="baseline"/>
        </w:rPr>
        <w:t>万元；接待第</w:t>
      </w:r>
      <w:r>
        <w:rPr>
          <w:rFonts w:ascii="Times New Roman" w:eastAsia="仿宋_GB2312" w:cs="仿宋_GB2312" w:hAnsi="Times New Roman"/>
          <w:caps w:val="0"/>
          <w:smallCaps w:val="0"/>
          <w:color w:val="auto"/>
          <w:kern w:val="2"/>
          <w:sz w:val="32"/>
          <w:szCs w:val="32"/>
          <w:vertAlign w:val="baseline"/>
        </w:rPr>
        <w:t>19</w:t>
      </w:r>
      <w:r>
        <w:rPr>
          <w:rFonts w:ascii="Times New Roman" w:eastAsia="仿宋_GB2312" w:cs="仿宋_GB2312" w:hAnsi="Times New Roman" w:hint="eastAsia"/>
          <w:caps w:val="0"/>
          <w:smallCaps w:val="0"/>
          <w:color w:val="auto"/>
          <w:kern w:val="2"/>
          <w:sz w:val="32"/>
          <w:szCs w:val="32"/>
          <w:vertAlign w:val="baseline"/>
        </w:rPr>
        <w:t>批援圣多美和普林西比预备队员考察</w:t>
      </w:r>
      <w:r>
        <w:rPr>
          <w:rFonts w:ascii="Times New Roman" w:eastAsia="仿宋_GB2312" w:cs="仿宋_GB2312" w:hAnsi="Times New Roman"/>
          <w:caps w:val="0"/>
          <w:smallCaps w:val="0"/>
          <w:color w:val="auto"/>
          <w:kern w:val="2"/>
          <w:sz w:val="32"/>
          <w:szCs w:val="32"/>
          <w:vertAlign w:val="baseline"/>
        </w:rPr>
        <w:t>0.08</w:t>
      </w:r>
      <w:r>
        <w:rPr>
          <w:rFonts w:ascii="Times New Roman" w:eastAsia="仿宋_GB2312" w:cs="仿宋_GB2312" w:hAnsi="Times New Roman" w:hint="eastAsia"/>
          <w:caps w:val="0"/>
          <w:smallCaps w:val="0"/>
          <w:color w:val="auto"/>
          <w:kern w:val="2"/>
          <w:sz w:val="32"/>
          <w:szCs w:val="32"/>
          <w:vertAlign w:val="baseline"/>
        </w:rPr>
        <w:t>万元；接待中医药健康旅游示范基地考核验收</w:t>
      </w:r>
      <w:r>
        <w:rPr>
          <w:rFonts w:ascii="Times New Roman" w:eastAsia="仿宋_GB2312" w:cs="仿宋_GB2312" w:hAnsi="Times New Roman"/>
          <w:caps w:val="0"/>
          <w:smallCaps w:val="0"/>
          <w:color w:val="auto"/>
          <w:kern w:val="2"/>
          <w:sz w:val="32"/>
          <w:szCs w:val="32"/>
          <w:vertAlign w:val="baseline"/>
        </w:rPr>
        <w:t>0.03</w:t>
      </w:r>
      <w:r>
        <w:rPr>
          <w:rFonts w:ascii="Times New Roman" w:eastAsia="仿宋_GB2312" w:cs="仿宋_GB2312" w:hAnsi="Times New Roman" w:hint="eastAsia"/>
          <w:caps w:val="0"/>
          <w:smallCaps w:val="0"/>
          <w:color w:val="auto"/>
          <w:kern w:val="2"/>
          <w:sz w:val="32"/>
          <w:szCs w:val="32"/>
          <w:vertAlign w:val="baseline"/>
        </w:rPr>
        <w:t>万元；接待安全生产督导检查</w:t>
      </w:r>
      <w:r>
        <w:rPr>
          <w:rFonts w:ascii="Times New Roman" w:eastAsia="仿宋_GB2312" w:cs="仿宋_GB2312" w:hAnsi="Times New Roman"/>
          <w:caps w:val="0"/>
          <w:smallCaps w:val="0"/>
          <w:color w:val="auto"/>
          <w:kern w:val="2"/>
          <w:sz w:val="32"/>
          <w:szCs w:val="32"/>
          <w:vertAlign w:val="baseline"/>
        </w:rPr>
        <w:t>0.06</w:t>
      </w:r>
      <w:r>
        <w:rPr>
          <w:rFonts w:ascii="Times New Roman" w:eastAsia="仿宋_GB2312" w:cs="仿宋_GB2312" w:hAnsi="Times New Roman" w:hint="eastAsia"/>
          <w:caps w:val="0"/>
          <w:smallCaps w:val="0"/>
          <w:color w:val="auto"/>
          <w:kern w:val="2"/>
          <w:sz w:val="32"/>
          <w:szCs w:val="32"/>
          <w:vertAlign w:val="baseline"/>
        </w:rPr>
        <w:t>万元；接待中医药工作调研</w:t>
      </w:r>
      <w:r>
        <w:rPr>
          <w:rFonts w:ascii="Times New Roman" w:eastAsia="仿宋_GB2312" w:cs="仿宋_GB2312" w:hAnsi="Times New Roman"/>
          <w:caps w:val="0"/>
          <w:smallCaps w:val="0"/>
          <w:color w:val="auto"/>
          <w:kern w:val="2"/>
          <w:sz w:val="32"/>
          <w:szCs w:val="32"/>
          <w:vertAlign w:val="baseline"/>
        </w:rPr>
        <w:t>0.17</w:t>
      </w:r>
      <w:r>
        <w:rPr>
          <w:rFonts w:ascii="Times New Roman" w:eastAsia="仿宋_GB2312" w:cs="仿宋_GB2312" w:hAnsi="Times New Roman" w:hint="eastAsia"/>
          <w:caps w:val="0"/>
          <w:smallCaps w:val="0"/>
          <w:color w:val="auto"/>
          <w:kern w:val="2"/>
          <w:sz w:val="32"/>
          <w:szCs w:val="32"/>
          <w:vertAlign w:val="baseline"/>
        </w:rPr>
        <w:t>万元；接待疫情防控工作调研</w:t>
      </w:r>
      <w:r>
        <w:rPr>
          <w:rFonts w:ascii="Times New Roman" w:eastAsia="仿宋_GB2312" w:cs="仿宋_GB2312" w:hAnsi="Times New Roman"/>
          <w:caps w:val="0"/>
          <w:smallCaps w:val="0"/>
          <w:color w:val="auto"/>
          <w:kern w:val="2"/>
          <w:sz w:val="32"/>
          <w:szCs w:val="32"/>
          <w:vertAlign w:val="baseline"/>
        </w:rPr>
        <w:t>0.15</w:t>
      </w:r>
      <w:r>
        <w:rPr>
          <w:rFonts w:ascii="Times New Roman" w:eastAsia="仿宋_GB2312" w:cs="仿宋_GB2312" w:hAnsi="Times New Roman" w:hint="eastAsia"/>
          <w:caps w:val="0"/>
          <w:smallCaps w:val="0"/>
          <w:color w:val="auto"/>
          <w:kern w:val="2"/>
          <w:sz w:val="32"/>
          <w:szCs w:val="32"/>
          <w:vertAlign w:val="baseline"/>
        </w:rPr>
        <w:t>万元</w:t>
      </w:r>
      <w:r>
        <w:rPr>
          <w:rFonts w:ascii="Times New Roman" w:eastAsia="仿宋_GB2312" w:cs="仿宋_GB2312" w:hAnsi="Times New Roman" w:hint="eastAsia"/>
          <w:caps w:val="0"/>
          <w:smallCaps w:val="0"/>
          <w:color w:val="auto"/>
          <w:kern w:val="2"/>
          <w:sz w:val="32"/>
          <w:szCs w:val="32"/>
          <w:vertAlign w:val="baseline"/>
          <w:lang w:eastAsia="zh-CN"/>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万元。外事接待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人次（不包括陪同人员），共计支出0万</w:t>
      </w:r>
      <w:r>
        <w:rPr>
          <w:rFonts w:ascii="Times New Roman" w:eastAsia="仿宋_GB2312" w:cs="仿宋_GB2312" w:hAnsi="Times New Roman" w:hint="eastAsia"/>
          <w:color w:val="auto"/>
          <w:kern w:val="2"/>
          <w:sz w:val="32"/>
          <w:szCs w:val="32"/>
          <w:lang w:val="en-US" w:eastAsia="zh-CN" w:bidi="ar-SA"/>
          <w:highlight w:val="auto"/>
        </w:rPr>
        <w:t>元。</w:t>
      </w:r>
      <w:bookmarkStart w:id="68" w:name="_Toc15396610"/>
      <w:bookmarkStart w:id="69" w:name="_Toc15377218"/>
    </w:p>
    <w:p>
      <w:pPr>
        <w:spacing w:line="600" w:lineRule="exact"/>
        <w:ind w:firstLine="640"/>
        <w:outlineLvl w:val="1"/>
        <w:rPr>
          <w:rStyle w:val="2Char"/>
          <w:rFonts w:ascii="Times New Roman" w:eastAsia="黑体" w:hAnsi="Times New Roman"/>
          <w:color w:val="auto"/>
          <w:highlight w:val="auto"/>
        </w:rPr>
      </w:pPr>
      <w:bookmarkStart w:id="70" w:name="_Toc628998357"/>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68"/>
      <w:bookmarkEnd w:id="69"/>
      <w:bookmarkEnd w:id="70"/>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29209</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93.02</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。与2023年度相比，政府性基金预算财政拨款支出增加</w:t>
      </w:r>
      <w:r>
        <w:rPr>
          <w:rFonts w:eastAsia="仿宋_GB2312" w:cs="仿宋_GB2312" w:hint="eastAsia"/>
          <w:color w:val="auto"/>
          <w:kern w:val="2"/>
          <w:sz w:val="32"/>
          <w:szCs w:val="32"/>
          <w:lang w:val="en-US" w:eastAsia="zh-CN" w:bidi="ar-SA"/>
          <w:highlight w:val="auto"/>
        </w:rPr>
        <w:t>29209</w:t>
      </w:r>
      <w:r>
        <w:rPr>
          <w:rFonts w:ascii="Times New Roman" w:eastAsia="仿宋_GB2312" w:cs="仿宋_GB2312" w:hAnsi="Times New Roman" w:hint="eastAsia"/>
          <w:color w:val="auto"/>
          <w:kern w:val="2"/>
          <w:sz w:val="32"/>
          <w:szCs w:val="32"/>
          <w:lang w:val="en-US" w:eastAsia="zh-CN" w:bidi="ar-SA"/>
          <w:highlight w:val="auto"/>
        </w:rPr>
        <w:t>万元，增长</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%。主要变动原因是</w:t>
      </w:r>
      <w:r>
        <w:rPr>
          <w:rFonts w:eastAsia="仿宋_GB2312" w:cs="仿宋_GB2312" w:hint="eastAsia"/>
          <w:color w:val="auto"/>
          <w:kern w:val="2"/>
          <w:sz w:val="32"/>
          <w:szCs w:val="32"/>
          <w:lang w:val="en-US" w:eastAsia="zh-CN" w:bidi="ar-SA"/>
          <w:highlight w:val="auto"/>
        </w:rPr>
        <w:t>还债支出增加。</w:t>
      </w:r>
    </w:p>
    <w:p>
      <w:pPr>
        <w:spacing w:line="600" w:lineRule="exact"/>
        <w:ind w:left="630"/>
        <w:outlineLvl w:val="1"/>
        <w:rPr>
          <w:rStyle w:val="2Char"/>
          <w:rFonts w:ascii="Times New Roman" w:eastAsia="黑体" w:hAnsi="Times New Roman"/>
          <w:b w:val="0"/>
          <w:color w:val="auto"/>
          <w:highlight w:val="auto"/>
        </w:rPr>
      </w:pPr>
      <w:bookmarkStart w:id="71" w:name="_Toc15377219"/>
      <w:bookmarkStart w:id="72" w:name="_Toc15396611"/>
      <w:bookmarkStart w:id="73" w:name="_Toc307451339"/>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71"/>
      <w:bookmarkEnd w:id="72"/>
      <w:bookmarkEnd w:id="73"/>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p>
    <w:p>
      <w:pPr>
        <w:spacing w:line="600" w:lineRule="exact"/>
        <w:ind w:left="630"/>
        <w:outlineLvl w:val="1"/>
        <w:rPr>
          <w:rStyle w:val="2Char"/>
          <w:rFonts w:ascii="Times New Roman" w:eastAsia="黑体" w:hAnsi="Times New Roman" w:hint="eastAsia"/>
          <w:b w:val="0"/>
          <w:color w:val="auto"/>
          <w:highlight w:val="auto"/>
        </w:rPr>
      </w:pPr>
      <w:bookmarkStart w:id="74" w:name="_Toc15377221"/>
      <w:bookmarkStart w:id="75" w:name="_Toc15396612"/>
      <w:bookmarkStart w:id="76" w:name="_Toc2005376269"/>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74"/>
      <w:bookmarkEnd w:id="75"/>
      <w:bookmarkEnd w:id="76"/>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7" w:name="_Toc15377222"/>
      <w:r>
        <w:rPr>
          <w:rFonts w:ascii="Times New Roman" w:eastAsia="楷体_GB2312" w:cs="楷体_GB2312" w:hAnsi="Times New Roman" w:hint="eastAsia"/>
          <w:b/>
          <w:color w:val="auto"/>
          <w:sz w:val="32"/>
          <w:szCs w:val="32"/>
          <w:highlight w:val="auto"/>
        </w:rPr>
        <w:t>（一）机关运行经费支出情况</w:t>
      </w:r>
      <w:bookmarkEnd w:id="7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四川省攀枝花市卫生健康委员会（本级）</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165.36</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元，比2023年度减少</w:t>
      </w:r>
      <w:r>
        <w:rPr>
          <w:rFonts w:eastAsia="仿宋_GB2312" w:cs="仿宋_GB2312" w:hint="eastAsia"/>
          <w:color w:val="auto"/>
          <w:kern w:val="2"/>
          <w:sz w:val="32"/>
          <w:szCs w:val="32"/>
          <w:lang w:val="en-US" w:eastAsia="zh-CN" w:bidi="ar-SA"/>
          <w:highlight w:val="auto"/>
        </w:rPr>
        <w:t>10.66</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6.06</w:t>
      </w:r>
      <w:r>
        <w:rPr>
          <w:rFonts w:ascii="Times New Roman" w:eastAsia="仿宋_GB2312" w:cs="仿宋_GB2312" w:hAnsi="Times New Roman" w:hint="eastAsia"/>
          <w:color w:val="auto"/>
          <w:kern w:val="2"/>
          <w:sz w:val="32"/>
          <w:szCs w:val="32"/>
          <w:lang w:val="en-US" w:eastAsia="zh-CN" w:bidi="ar-SA"/>
          <w:highlight w:val="auto"/>
        </w:rPr>
        <w:t>%。主要原因是</w:t>
      </w:r>
      <w:r>
        <w:rPr>
          <w:rFonts w:eastAsia="仿宋_GB2312" w:cs="仿宋_GB2312" w:hint="eastAsia"/>
          <w:color w:val="auto"/>
          <w:kern w:val="2"/>
          <w:sz w:val="32"/>
          <w:szCs w:val="32"/>
          <w:lang w:val="en-US" w:eastAsia="zh-CN" w:bidi="ar-SA"/>
          <w:highlight w:val="auto"/>
        </w:rPr>
        <w:t>人员调出或退休。</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8" w:name="_Toc15377223"/>
      <w:r>
        <w:rPr>
          <w:rFonts w:ascii="Times New Roman" w:eastAsia="楷体_GB2312" w:cs="楷体_GB2312" w:hAnsi="Times New Roman" w:hint="eastAsia"/>
          <w:b/>
          <w:color w:val="auto"/>
          <w:sz w:val="32"/>
          <w:szCs w:val="32"/>
          <w:highlight w:val="auto"/>
        </w:rPr>
        <w:t>（二）政府采购支出情况</w:t>
      </w:r>
      <w:bookmarkEnd w:id="7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四川省攀枝花市卫生健康委员会（本级）</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2.51</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0.44</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2.07</w:t>
      </w:r>
      <w:r>
        <w:rPr>
          <w:rFonts w:ascii="仿宋_GB2312" w:eastAsia="仿宋_GB2312" w:cs="仿宋_GB2312" w:hint="eastAsia"/>
          <w:color w:val="auto"/>
          <w:kern w:val="2"/>
          <w:sz w:val="32"/>
          <w:szCs w:val="32"/>
          <w:lang w:val="en-US" w:eastAsia="zh-CN" w:bidi="ar-SA"/>
          <w:highlight w:val="auto"/>
        </w:rPr>
        <w:t>万元。主要用于采购办公设备、公务用车运行维护服务。授予中小企业合同金额</w:t>
      </w:r>
      <w:r>
        <w:rPr>
          <w:rFonts w:ascii="仿宋_GB2312" w:eastAsia="仿宋_GB2312" w:cs="仿宋_GB2312" w:hint="eastAsia"/>
          <w:sz w:val="32"/>
          <w:szCs w:val="32"/>
        </w:rPr>
        <w:t>2.34</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93.16</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0.6</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23.94</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9" w:name="_Toc15377224"/>
      <w:r>
        <w:rPr>
          <w:rFonts w:ascii="Times New Roman" w:eastAsia="楷体_GB2312" w:cs="楷体_GB2312" w:hAnsi="Times New Roman" w:hint="eastAsia"/>
          <w:b/>
          <w:color w:val="auto"/>
          <w:sz w:val="32"/>
          <w:szCs w:val="32"/>
          <w:highlight w:val="auto"/>
        </w:rPr>
        <w:t>（三）国有资产占有使用情况</w:t>
      </w:r>
      <w:bookmarkEnd w:id="79"/>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四川省攀枝花市卫生健康委员会（本级）</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1</w:t>
      </w:r>
      <w:r>
        <w:rPr>
          <w:rFonts w:ascii="仿宋_GB2312" w:eastAsia="仿宋_GB2312" w:cs="仿宋_GB2312" w:hint="eastAsia"/>
          <w:color w:val="auto"/>
          <w:kern w:val="2"/>
          <w:sz w:val="32"/>
          <w:szCs w:val="32"/>
          <w:lang w:val="en-US" w:eastAsia="zh-CN" w:bidi="ar-SA"/>
          <w:highlight w:val="auto"/>
        </w:rPr>
        <w:t>辆，其中：主要负责人用车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辆、机要通信用车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辆、应急保障用车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辆、其他用车</w:t>
      </w:r>
      <w:r>
        <w:rPr>
          <w:rFonts w:ascii="仿宋_GB2312" w:eastAsia="仿宋_GB2312" w:cs="仿宋_GB2312" w:hint="eastAsia"/>
          <w:sz w:val="32"/>
          <w:szCs w:val="32"/>
        </w:rPr>
        <w:t>1</w:t>
      </w:r>
      <w:r>
        <w:rPr>
          <w:rFonts w:ascii="仿宋_GB2312" w:eastAsia="仿宋_GB2312" w:cs="仿宋_GB2312" w:hint="eastAsia"/>
          <w:color w:val="auto"/>
          <w:kern w:val="2"/>
          <w:sz w:val="32"/>
          <w:szCs w:val="32"/>
          <w:lang w:val="en-US" w:eastAsia="zh-CN" w:bidi="ar-SA"/>
          <w:highlight w:val="auto"/>
        </w:rPr>
        <w:t>辆，其他用车主要是用于</w:t>
      </w:r>
      <w:r>
        <w:rPr>
          <w:rFonts w:ascii="Times New Roman" w:eastAsia="仿宋" w:cs="Times New Roman" w:hAnsi="Times New Roman"/>
          <w:b w:val="0"/>
          <w:bCs w:val="0"/>
          <w:caps w:val="0"/>
          <w:smallCaps w:val="0"/>
          <w:color w:val="auto"/>
          <w:kern w:val="2"/>
          <w:sz w:val="32"/>
          <w:szCs w:val="32"/>
          <w:vertAlign w:val="baseline"/>
          <w:lang w:val="en-US" w:eastAsia="zh-CN"/>
        </w:rPr>
        <w:t>执行公务、开展业务活动所需</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仿宋_GB2312" w:eastAsia="仿宋_GB2312" w:cs="仿宋_GB2312" w:hint="eastAsia"/>
          <w:color w:val="auto"/>
          <w:kern w:val="2"/>
          <w:sz w:val="32"/>
          <w:szCs w:val="32"/>
          <w:lang w:val="en-US" w:eastAsia="zh-CN" w:bidi="ar-SA"/>
          <w:highlight w:val="auto"/>
        </w:rPr>
        <w:t>单价100万元（含）以上设备（不含车辆）</w:t>
      </w:r>
      <w:r>
        <w:rPr>
          <w:rFonts w:ascii="仿宋_GB2312" w:eastAsia="仿宋_GB2312" w:cs="仿宋_GB2312" w:hint="eastAsia"/>
          <w:sz w:val="32"/>
          <w:szCs w:val="32"/>
        </w:rPr>
        <w:t>1</w:t>
      </w:r>
      <w:r>
        <w:rPr>
          <w:rFonts w:ascii="仿宋_GB2312" w:eastAsia="仿宋_GB2312" w:cs="仿宋_GB2312" w:hint="eastAsia"/>
          <w:color w:val="auto"/>
          <w:kern w:val="2"/>
          <w:sz w:val="32"/>
          <w:szCs w:val="32"/>
          <w:lang w:val="en-US" w:eastAsia="zh-CN" w:bidi="ar-SA"/>
          <w:highlight w:val="auto"/>
        </w:rPr>
        <w:t>台（套）</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ascii="仿宋_GB2312" w:eastAsia="仿宋_GB2312" w:cs="仿宋_GB2312" w:hint="eastAsia"/>
          <w:sz w:val="32"/>
          <w:szCs w:val="32"/>
        </w:rPr>
        <w:t>四川省攀枝花市卫生健康委员会（本级）</w:t>
      </w:r>
      <w:r>
        <w:rPr>
          <w:rFonts w:ascii="Times New Roman" w:eastAsia="仿宋_GB2312" w:cs="仿宋_GB2312" w:hAnsi="Times New Roman" w:hint="eastAsia"/>
          <w:color w:val="auto"/>
          <w:kern w:val="2"/>
          <w:sz w:val="32"/>
          <w:szCs w:val="32"/>
          <w:lang w:val="en-US" w:eastAsia="zh-CN" w:bidi="ar-SA"/>
          <w:highlight w:val="auto"/>
        </w:rPr>
        <w:t>在2024年度预算编制阶段，组织对</w:t>
      </w:r>
      <w:r>
        <w:rPr>
          <w:rFonts w:eastAsia="仿宋_GB2312" w:cs="仿宋_GB2312" w:hint="eastAsia"/>
          <w:color w:val="auto"/>
          <w:kern w:val="2"/>
          <w:sz w:val="32"/>
          <w:szCs w:val="32"/>
          <w:lang w:val="en-US" w:eastAsia="zh-CN" w:bidi="ar-SA"/>
          <w:highlight w:val="auto"/>
        </w:rPr>
        <w:t>会理麻风病人</w:t>
      </w:r>
      <w:r>
        <w:rPr>
          <w:rFonts w:ascii="Times New Roman" w:eastAsia="仿宋_GB2312" w:cs="仿宋_GB2312" w:hAnsi="Times New Roman" w:hint="eastAsia"/>
          <w:color w:val="auto"/>
          <w:kern w:val="2"/>
          <w:sz w:val="32"/>
          <w:szCs w:val="32"/>
          <w:lang w:val="en-US" w:eastAsia="zh-CN" w:bidi="ar-SA"/>
          <w:highlight w:val="auto"/>
        </w:rPr>
        <w:t>等</w:t>
      </w: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个项目开展了预算事前绩效评估，对</w:t>
      </w: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个项目编制了绩效目标，预算执行过程中，选取</w:t>
      </w: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个项目开展绩效监控。</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jc w:val="center"/>
        <w:outlineLvl w:val="0"/>
        <w:rPr>
          <w:rFonts w:ascii="Times New Roman" w:eastAsia="黑体" w:hAnsi="Times New Roman" w:hint="eastAsia"/>
          <w:color w:val="auto"/>
          <w:sz w:val="44"/>
          <w:szCs w:val="44"/>
          <w:highlight w:val="auto"/>
        </w:rPr>
      </w:pPr>
      <w:bookmarkStart w:id="80" w:name="_Toc15396613"/>
      <w:bookmarkStart w:id="81" w:name="_Toc15377225"/>
      <w:bookmarkStart w:id="82" w:name="_Toc234793058"/>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80"/>
      <w:bookmarkEnd w:id="81"/>
      <w:bookmarkEnd w:id="82"/>
    </w:p>
    <w:p>
      <w:pPr>
        <w:spacing w:line="600" w:lineRule="exact"/>
        <w:jc w:val="left"/>
        <w:rPr>
          <w:rFonts w:ascii="Times New Roman" w:hAnsi="Times New Roman"/>
          <w:b/>
          <w:color w:val="auto"/>
          <w:sz w:val="44"/>
          <w:szCs w:val="44"/>
          <w:highlight w:val="auto"/>
        </w:rPr>
      </w:pP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1.财政拨款收入：指单位从同级财政部门取得的财政预算资金。</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2.事业收入：指事业单位开展专业业务活动及辅助活动取得的收入。</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3.经营收入：指事业单位在专业业务活动及其辅助活动之外开展非独立核算经营活动取得的收入。</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4.其他收入：指单位取得的除上述收入以外的各项收入。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5.使用非财政拨款结余（含专用结余）：指事业单位使用以前年度积累的非财政拨款结余弥补当年收支差额的金额。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6.年初结转和结余：指以前年度尚未完成、结转到本年按有关规定继续使用的资金。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7.结余分配：指事业单位按照会计制度规定缴纳的所得税、提取的专用结余以及转入非财政拨款结余的金额等。</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8.年末结转和结余：指单位按有关规定结转到下年或以后年度继续使用的资金。</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lang w:eastAsia="zh-CN"/>
        </w:rPr>
      </w:pPr>
      <w:r>
        <w:rPr>
          <w:rFonts w:ascii="Times New Roman" w:eastAsia="仿宋" w:cs="Times New Roman" w:hAnsi="Times New Roman"/>
          <w:b w:val="0"/>
          <w:bCs w:val="0"/>
          <w:caps w:val="0"/>
          <w:smallCaps w:val="0"/>
          <w:snapToGrid/>
          <w:color w:val="auto"/>
          <w:kern w:val="2"/>
          <w:sz w:val="32"/>
          <w:szCs w:val="32"/>
          <w:vertAlign w:val="baseline"/>
          <w:lang w:val="en-US" w:eastAsia="zh-CN"/>
        </w:rPr>
        <w:t>9.</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一般公共服务（类）纪检监察事务（款）派驻派出机构（项）</w:t>
      </w:r>
      <w:r>
        <w:rPr>
          <w:rFonts w:ascii="Times New Roman" w:eastAsia="仿宋" w:cs="Times New Roman" w:hAnsi="Times New Roman"/>
          <w:b w:val="0"/>
          <w:bCs w:val="0"/>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反映由纪检监察部门负担的派驻各部门和单位的纪检监察人员的专项业务支出。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10.</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一般公共服务（类）组织事务（款）其他组织事务支出（项）</w:t>
      </w:r>
      <w:r>
        <w:rPr>
          <w:rFonts w:ascii="Times New Roman" w:eastAsia="仿宋" w:cs="Times New Roman" w:hAnsi="Times New Roman"/>
          <w:b w:val="0"/>
          <w:bCs w:val="0"/>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color w:val="000000"/>
          <w:kern w:val="0"/>
          <w:sz w:val="32"/>
          <w:szCs w:val="32"/>
          <w:vertAlign w:val="baseline"/>
          <w:lang w:val="en-US" w:eastAsia="zh-CN"/>
        </w:rPr>
        <w:t>反映除上述项目以外其他用于中国共产党组织部门的事务支出。</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lang w:eastAsia="zh-CN"/>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11.</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社会保障和就业（类）人力资源和社会保障管理事务（款）其他人力资源和社会保障管理事务支出（项）</w:t>
      </w:r>
      <w:r>
        <w:rPr>
          <w:rFonts w:ascii="Times New Roman" w:eastAsia="仿宋" w:cs="Times New Roman" w:hAnsi="Times New Roman"/>
          <w:b w:val="0"/>
          <w:bCs w:val="0"/>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反映除上述项目以外其他用于人力资源和社会保障管理事务方面的支出。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12.</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社会保障和就业（类）行政事业单位养老支出（款）行政单位离退休（项）</w:t>
      </w:r>
      <w:r>
        <w:rPr>
          <w:rFonts w:ascii="Times New Roman" w:eastAsia="仿宋" w:cs="Times New Roman" w:hAnsi="Times New Roman"/>
          <w:b w:val="0"/>
          <w:bCs w:val="0"/>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color w:val="000000"/>
          <w:kern w:val="0"/>
          <w:sz w:val="32"/>
          <w:szCs w:val="32"/>
          <w:vertAlign w:val="baseline"/>
          <w:lang w:val="en-US" w:eastAsia="zh-CN"/>
        </w:rPr>
        <w:t>反映行政单位（包括实行公务员管理的事业单位）开支的离退休经费。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13.</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社会保障和就业（类）行政事业单位养老支出（款）机关事业单位基本养老保险缴费支出（项）</w:t>
      </w:r>
      <w:r>
        <w:rPr>
          <w:rFonts w:ascii="Times New Roman" w:eastAsia="仿宋" w:cs="Times New Roman" w:hAnsi="Times New Roman"/>
          <w:b w:val="0"/>
          <w:bCs w:val="0"/>
          <w:caps w:val="0"/>
          <w:smallCaps w:val="0"/>
          <w:snapToGrid/>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color w:val="000000"/>
          <w:kern w:val="0"/>
          <w:sz w:val="32"/>
          <w:szCs w:val="32"/>
          <w:vertAlign w:val="baseline"/>
          <w:lang w:val="en-US" w:eastAsia="zh-CN"/>
        </w:rPr>
        <w:t>反映机关事业单位实施养老保险制度由单位缴纳的基本养老保险费支出。</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val="0"/>
          <w:caps w:val="0"/>
          <w:smallCaps w:val="0"/>
          <w:snapToGrid w:val="0"/>
          <w:color w:val="auto"/>
          <w:sz w:val="32"/>
          <w:szCs w:val="32"/>
          <w:vertAlign w:val="baseline"/>
          <w:lang w:eastAsia="zh-CN"/>
        </w:rPr>
      </w:pPr>
      <w:r>
        <w:rPr>
          <w:rFonts w:ascii="Times New Roman" w:eastAsia="仿宋" w:cs="Times New Roman" w:hAnsi="Times New Roman"/>
          <w:b w:val="0"/>
          <w:bCs w:val="0"/>
          <w:caps w:val="0"/>
          <w:smallCaps w:val="0"/>
          <w:snapToGrid w:val="0"/>
          <w:color w:val="auto"/>
          <w:kern w:val="2"/>
          <w:sz w:val="32"/>
          <w:szCs w:val="32"/>
          <w:vertAlign w:val="baseline"/>
          <w:lang w:val="en-US" w:eastAsia="zh-CN"/>
        </w:rPr>
        <w:t>14.</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社会保障和就业（类）行政事业单位养老支出（款）机关事业单位职业年金缴费支出（项）</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反映机关事业单位实施养老保险制度由单位实际缴纳的职业年金支出（含职业年金补记支出）。</w:t>
      </w:r>
    </w:p>
    <w:p>
      <w:pPr>
        <w:pStyle w:val="2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15.</w:t>
      </w:r>
      <w:r>
        <w:rPr>
          <w:rFonts w:ascii="Times New Roman" w:eastAsia="仿宋" w:cs="Times New Roman" w:hAnsi="Times New Roman" w:hint="eastAsia"/>
          <w:b w:val="0"/>
          <w:bCs w:val="0"/>
          <w:caps w:val="0"/>
          <w:smallCaps w:val="0"/>
          <w:snapToGrid/>
          <w:color w:val="auto"/>
          <w:sz w:val="32"/>
          <w:szCs w:val="32"/>
          <w:vertAlign w:val="baseline"/>
        </w:rPr>
        <w:t>社会保障和就业（类）</w:t>
      </w:r>
      <w:r>
        <w:rPr>
          <w:rFonts w:ascii="Times New Roman" w:eastAsia="仿宋" w:cs="Times New Roman" w:hAnsi="Times New Roman" w:hint="eastAsia"/>
          <w:b w:val="0"/>
          <w:bCs w:val="0"/>
          <w:caps w:val="0"/>
          <w:smallCaps w:val="0"/>
          <w:snapToGrid/>
          <w:color w:val="auto"/>
          <w:sz w:val="32"/>
          <w:szCs w:val="32"/>
          <w:vertAlign w:val="baseline"/>
          <w:lang w:eastAsia="zh-CN"/>
        </w:rPr>
        <w:t>抚恤</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死亡抚恤</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 xml:space="preserve">: </w:t>
      </w:r>
      <w:r>
        <w:rPr>
          <w:rFonts w:ascii="Times New Roman" w:eastAsia="仿宋" w:cs="Times New Roman" w:hAnsi="Times New Roman" w:hint="eastAsia"/>
          <w:caps w:val="0"/>
          <w:smallCaps w:val="0"/>
          <w:color w:val="000000"/>
          <w:kern w:val="0"/>
          <w:sz w:val="32"/>
          <w:szCs w:val="32"/>
          <w:vertAlign w:val="baseline"/>
          <w:lang w:val="en-US" w:eastAsia="zh-CN"/>
        </w:rPr>
        <w:t>反映按规定用于烈士和牺牲病故人员家属的一次性和定期抚恤金以及丧葬补助费。</w:t>
      </w:r>
    </w:p>
    <w:p>
      <w:pPr>
        <w:pStyle w:val="2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16</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卫生健康管理事务</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行政运行</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000000"/>
          <w:kern w:val="0"/>
          <w:sz w:val="32"/>
          <w:szCs w:val="32"/>
          <w:vertAlign w:val="baseline"/>
          <w:lang w:val="en-US" w:eastAsia="zh-CN"/>
        </w:rPr>
        <w:t>反映行政单位（包括实行公务员管理的事业单位）的基本支出。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hint="eastAsia"/>
          <w:b w:val="0"/>
          <w:bCs w:val="0"/>
          <w:caps w:val="0"/>
          <w:smallCaps w:val="0"/>
          <w:snapToGrid/>
          <w:color w:val="auto"/>
          <w:kern w:val="2"/>
          <w:sz w:val="32"/>
          <w:szCs w:val="32"/>
          <w:vertAlign w:val="baseline"/>
          <w:lang w:val="en-US" w:eastAsia="zh-CN"/>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17.</w:t>
      </w:r>
      <w:r>
        <w:rPr>
          <w:rFonts w:ascii="Times New Roman" w:eastAsia="仿宋" w:cs="Times New Roman" w:hAnsi="Times New Roman" w:hint="eastAsia"/>
          <w:b w:val="0"/>
          <w:bCs w:val="0"/>
          <w:caps w:val="0"/>
          <w:smallCaps w:val="0"/>
          <w:color w:val="auto"/>
          <w:kern w:val="2"/>
          <w:sz w:val="32"/>
          <w:szCs w:val="32"/>
          <w:vertAlign w:val="baseline"/>
          <w:lang w:val="en-US" w:eastAsia="zh-CN"/>
        </w:rPr>
        <w:t>卫生健康</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（类）卫生健康管理事务（款）一般行政管理事务（项）</w:t>
      </w:r>
      <w:r>
        <w:rPr>
          <w:rFonts w:ascii="Times New Roman" w:eastAsia="仿宋" w:cs="Times New Roman" w:hAnsi="Times New Roman"/>
          <w:b w:val="0"/>
          <w:bCs w:val="0"/>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000000"/>
          <w:kern w:val="0"/>
          <w:sz w:val="32"/>
          <w:szCs w:val="32"/>
          <w:vertAlign w:val="baseline"/>
          <w:lang w:val="en-US" w:eastAsia="zh-CN"/>
        </w:rPr>
        <w:t>反映行政单位（包括实行公务员管理的事业单位）未单独设置项级科目的其他项目支出</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w:t>
      </w:r>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pPr>
      <w:r>
        <w:rPr>
          <w:rFonts w:ascii="Times New Roman" w:eastAsia="仿宋_GB2312" w:cs="仿宋_GB2312" w:hAnsi="Times New Roman"/>
          <w:caps w:val="0"/>
          <w:smallCaps w:val="0"/>
          <w:color w:val="auto"/>
          <w:kern w:val="2"/>
          <w:sz w:val="32"/>
          <w:szCs w:val="32"/>
          <w:vertAlign w:val="baseline"/>
        </w:rPr>
        <w:t>1</w:t>
      </w:r>
      <w:r>
        <w:rPr>
          <w:rFonts w:ascii="Times New Roman" w:eastAsia="仿宋_GB2312" w:cs="仿宋_GB2312" w:hAnsi="Times New Roman" w:hint="eastAsia"/>
          <w:caps w:val="0"/>
          <w:smallCaps w:val="0"/>
          <w:color w:val="auto"/>
          <w:kern w:val="2"/>
          <w:sz w:val="32"/>
          <w:szCs w:val="32"/>
          <w:vertAlign w:val="baseline"/>
          <w:lang w:val="en-US" w:eastAsia="zh-CN"/>
        </w:rPr>
        <w:t>8</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卫生健康（类）卫生健康管理事务（款）机关服务（项）：反映为行政单位（包括实行公务员管理的事业单位）提供后勤服务的各类后勤服务中心、医务室等附属事业单位的支出。</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000000"/>
          <w:kern w:val="0"/>
          <w:sz w:val="32"/>
          <w:szCs w:val="32"/>
          <w:vertAlign w:val="baseline"/>
          <w:lang w:val="en-US" w:eastAsia="zh-CN"/>
        </w:rPr>
      </w:pPr>
      <w:r>
        <w:rPr>
          <w:rFonts w:ascii="Times New Roman" w:eastAsia="仿宋" w:cs="Times New Roman" w:hAnsi="Times New Roman"/>
          <w:b w:val="0"/>
          <w:bCs w:val="0"/>
          <w:caps w:val="0"/>
          <w:smallCaps w:val="0"/>
          <w:snapToGrid/>
          <w:color w:val="auto"/>
          <w:kern w:val="2"/>
          <w:sz w:val="32"/>
          <w:szCs w:val="32"/>
          <w:vertAlign w:val="baseline"/>
          <w:lang w:val="en-US" w:eastAsia="zh-CN"/>
        </w:rPr>
        <w:t>1</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9</w:t>
      </w:r>
      <w:r>
        <w:rPr>
          <w:rFonts w:ascii="Times New Roman" w:eastAsia="仿宋" w:cs="Times New Roman" w:hAnsi="Times New Roman"/>
          <w:b w:val="0"/>
          <w:bCs w:val="0"/>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卫生健康</w:t>
      </w:r>
      <w:r>
        <w:rPr>
          <w:rFonts w:ascii="Times New Roman" w:eastAsia="仿宋" w:cs="Times New Roman" w:hAnsi="Times New Roman" w:hint="eastAsia"/>
          <w:b w:val="0"/>
          <w:bCs w:val="0"/>
          <w:caps w:val="0"/>
          <w:smallCaps w:val="0"/>
          <w:snapToGrid/>
          <w:color w:val="auto"/>
          <w:kern w:val="2"/>
          <w:sz w:val="32"/>
          <w:szCs w:val="32"/>
          <w:vertAlign w:val="baseline"/>
          <w:lang w:val="en-US" w:eastAsia="zh-CN"/>
        </w:rPr>
        <w:t>（类）卫生健康管理事务（款）其他卫生健康管理事务支出（项）</w:t>
      </w:r>
      <w:r>
        <w:rPr>
          <w:rFonts w:ascii="Times New Roman" w:eastAsia="仿宋" w:cs="Times New Roman" w:hAnsi="Times New Roman"/>
          <w:b w:val="0"/>
          <w:bCs w:val="0"/>
          <w:caps w:val="0"/>
          <w:smallCaps w:val="0"/>
          <w:snapToGrid/>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000000"/>
          <w:kern w:val="0"/>
          <w:sz w:val="32"/>
          <w:szCs w:val="32"/>
          <w:vertAlign w:val="baseline"/>
          <w:lang w:val="en-US" w:eastAsia="zh-CN"/>
        </w:rPr>
        <w:t>反映除上述项目以外其他用于卫生健康管理事务方面的支出。</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rPr>
      </w:pPr>
      <w:r>
        <w:rPr>
          <w:rFonts w:ascii="Times New Roman" w:eastAsia="仿宋" w:cs="Times New Roman" w:hAnsi="Times New Roman" w:hint="eastAsia"/>
          <w:b w:val="0"/>
          <w:bCs w:val="0"/>
          <w:caps w:val="0"/>
          <w:smallCaps w:val="0"/>
          <w:snapToGrid/>
          <w:color w:val="auto"/>
          <w:sz w:val="32"/>
          <w:szCs w:val="32"/>
          <w:vertAlign w:val="baseline"/>
          <w:lang w:val="en-US" w:eastAsia="zh-CN"/>
        </w:rPr>
        <w:t>20</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公立医院</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其他公立医院支出</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000000"/>
          <w:kern w:val="0"/>
          <w:sz w:val="32"/>
          <w:szCs w:val="32"/>
          <w:vertAlign w:val="baseline"/>
          <w:lang w:val="en-US" w:eastAsia="zh-CN"/>
        </w:rPr>
        <w:t>反映除上述项目以外的其他用于公立医院方面的支出</w:t>
      </w:r>
      <w:r>
        <w:rPr>
          <w:rFonts w:ascii="Times New Roman" w:eastAsia="仿宋" w:cs="Times New Roman" w:hAnsi="Times New Roman" w:hint="eastAsia"/>
          <w:b w:val="0"/>
          <w:bCs w:val="0"/>
          <w:caps w:val="0"/>
          <w:smallCaps w:val="0"/>
          <w:snapToGrid/>
          <w:color w:val="auto"/>
          <w:sz w:val="32"/>
          <w:szCs w:val="32"/>
          <w:vertAlign w:val="baseline"/>
        </w:rPr>
        <w:t>。</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2</w:t>
      </w:r>
      <w:r>
        <w:rPr>
          <w:rFonts w:ascii="Times New Roman" w:eastAsia="仿宋" w:cs="Times New Roman" w:hAnsi="Times New Roman" w:hint="eastAsia"/>
          <w:b w:val="0"/>
          <w:bCs w:val="0"/>
          <w:caps w:val="0"/>
          <w:smallCaps w:val="0"/>
          <w:snapToGrid/>
          <w:color w:val="auto"/>
          <w:sz w:val="32"/>
          <w:szCs w:val="32"/>
          <w:vertAlign w:val="baseline"/>
          <w:lang w:val="en-US" w:eastAsia="zh-CN"/>
        </w:rPr>
        <w:t>1</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公共卫生</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基本公共卫生服务</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000000"/>
          <w:kern w:val="0"/>
          <w:sz w:val="32"/>
          <w:szCs w:val="32"/>
          <w:vertAlign w:val="baseline"/>
          <w:lang w:val="en-US" w:eastAsia="zh-CN"/>
        </w:rPr>
        <w:t>反映基本公共卫生服务支出。</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2</w:t>
      </w:r>
      <w:r>
        <w:rPr>
          <w:rFonts w:ascii="Times New Roman" w:eastAsia="仿宋" w:cs="Times New Roman" w:hAnsi="Times New Roman" w:hint="eastAsia"/>
          <w:b w:val="0"/>
          <w:bCs w:val="0"/>
          <w:caps w:val="0"/>
          <w:smallCaps w:val="0"/>
          <w:snapToGrid/>
          <w:color w:val="auto"/>
          <w:sz w:val="32"/>
          <w:szCs w:val="32"/>
          <w:vertAlign w:val="baseline"/>
          <w:lang w:val="en-US" w:eastAsia="zh-CN"/>
        </w:rPr>
        <w:t>2</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公共卫生</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重大公共卫生服务</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000000"/>
          <w:kern w:val="0"/>
          <w:sz w:val="32"/>
          <w:szCs w:val="32"/>
          <w:vertAlign w:val="baseline"/>
          <w:lang w:val="en-US" w:eastAsia="zh-CN"/>
        </w:rPr>
        <w:t>反映重大疾病、重大传染病预防控制等重大公共卫生服务项目支出。</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2</w:t>
      </w:r>
      <w:r>
        <w:rPr>
          <w:rFonts w:ascii="Times New Roman" w:eastAsia="仿宋" w:cs="Times New Roman" w:hAnsi="Times New Roman" w:hint="eastAsia"/>
          <w:b w:val="0"/>
          <w:bCs w:val="0"/>
          <w:caps w:val="0"/>
          <w:smallCaps w:val="0"/>
          <w:snapToGrid/>
          <w:color w:val="auto"/>
          <w:sz w:val="32"/>
          <w:szCs w:val="32"/>
          <w:vertAlign w:val="baseline"/>
          <w:lang w:val="en-US" w:eastAsia="zh-CN"/>
        </w:rPr>
        <w:t>3</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公共卫生</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其他公共卫生服务</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bCs/>
          <w:caps w:val="0"/>
          <w:smallCaps w:val="0"/>
          <w:color w:val="000000"/>
          <w:kern w:val="0"/>
          <w:sz w:val="32"/>
          <w:szCs w:val="32"/>
          <w:vertAlign w:val="baseline"/>
          <w:lang w:val="en-US" w:eastAsia="zh-CN"/>
        </w:rPr>
        <w:t>反映除上述项目以外的其他用于公共卫生方面的支出。</w:t>
      </w:r>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cs="仿宋_GB2312" w:hAnsi="Times New Roman"/>
          <w:caps w:val="0"/>
          <w:smallCaps w:val="0"/>
          <w:color w:val="auto"/>
          <w:kern w:val="2"/>
          <w:sz w:val="32"/>
          <w:szCs w:val="32"/>
          <w:vertAlign w:val="baseline"/>
        </w:rPr>
      </w:pPr>
      <w:r>
        <w:rPr>
          <w:rFonts w:ascii="Times New Roman" w:eastAsia="仿宋_GB2312" w:cs="仿宋_GB2312" w:hAnsi="Times New Roman" w:hint="eastAsia"/>
          <w:caps w:val="0"/>
          <w:smallCaps w:val="0"/>
          <w:color w:val="auto"/>
          <w:kern w:val="2"/>
          <w:sz w:val="32"/>
          <w:szCs w:val="32"/>
          <w:vertAlign w:val="baseline"/>
          <w:lang w:val="en-US" w:eastAsia="zh-CN"/>
        </w:rPr>
        <w:t>24</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卫生健康（类）计划生育事务（款）其他计划生育事务支出（项）：反映计划生育服务支出。</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caps w:val="0"/>
          <w:smallCaps w:val="0"/>
          <w:snapToGrid w:val="0"/>
          <w:color w:val="auto"/>
          <w:sz w:val="32"/>
          <w:szCs w:val="32"/>
          <w:vertAlign w:val="baseline"/>
          <w:lang w:eastAsia="zh-CN"/>
        </w:rPr>
      </w:pPr>
      <w:r>
        <w:rPr>
          <w:rFonts w:ascii="Times New Roman" w:eastAsia="仿宋" w:cs="Times New Roman" w:hAnsi="Times New Roman"/>
          <w:b w:val="0"/>
          <w:bCs w:val="0"/>
          <w:caps w:val="0"/>
          <w:smallCaps w:val="0"/>
          <w:snapToGrid w:val="0"/>
          <w:color w:val="auto"/>
          <w:kern w:val="2"/>
          <w:sz w:val="32"/>
          <w:szCs w:val="32"/>
          <w:vertAlign w:val="baseline"/>
          <w:lang w:val="en-US" w:eastAsia="zh-CN"/>
        </w:rPr>
        <w:t>25.</w:t>
      </w:r>
      <w:r>
        <w:rPr>
          <w:rFonts w:ascii="Times New Roman" w:eastAsia="仿宋" w:cs="Times New Roman" w:hAnsi="Times New Roman" w:hint="eastAsia"/>
          <w:b w:val="0"/>
          <w:bCs w:val="0"/>
          <w:caps w:val="0"/>
          <w:smallCaps w:val="0"/>
          <w:color w:val="auto"/>
          <w:kern w:val="2"/>
          <w:sz w:val="32"/>
          <w:szCs w:val="32"/>
          <w:vertAlign w:val="baseline"/>
          <w:lang w:val="en-US" w:eastAsia="zh-CN"/>
        </w:rPr>
        <w:t>卫生健康</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（类）行政事业单位医疗（款）行政单位医疗（项）</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caps w:val="0"/>
          <w:smallCaps w:val="0"/>
          <w:snapToGrid w:val="0"/>
          <w:color w:val="auto"/>
          <w:kern w:val="2"/>
          <w:sz w:val="32"/>
          <w:szCs w:val="32"/>
          <w:vertAlign w:val="baseline"/>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25"/>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 w:cs="Times New Roman" w:hAnsi="Times New Roman"/>
          <w:b w:val="0"/>
          <w:bCs w:val="0"/>
          <w:caps w:val="0"/>
          <w:smallCaps w:val="0"/>
          <w:snapToGrid w:val="0"/>
          <w:color w:val="auto"/>
          <w:kern w:val="2"/>
          <w:sz w:val="32"/>
          <w:szCs w:val="32"/>
          <w:vertAlign w:val="baseline"/>
          <w:lang w:val="en-US" w:eastAsia="zh-CN"/>
        </w:rPr>
      </w:pPr>
      <w:r>
        <w:rPr>
          <w:rFonts w:ascii="Times New Roman" w:eastAsia="仿宋_GB2312" w:cs="仿宋_GB2312" w:hAnsi="Times New Roman" w:hint="eastAsia"/>
          <w:caps w:val="0"/>
          <w:smallCaps w:val="0"/>
          <w:color w:val="auto"/>
          <w:kern w:val="2"/>
          <w:sz w:val="32"/>
          <w:szCs w:val="32"/>
          <w:vertAlign w:val="baseline"/>
          <w:lang w:val="en-US" w:eastAsia="zh-CN"/>
        </w:rPr>
        <w:t>26</w:t>
      </w:r>
      <w:r>
        <w:rPr>
          <w:rFonts w:ascii="Times New Roman" w:eastAsia="仿宋_GB2312" w:cs="仿宋_GB2312" w:hAnsi="Times New Roman"/>
          <w:caps w:val="0"/>
          <w:smallCaps w:val="0"/>
          <w:color w:val="auto"/>
          <w:kern w:val="2"/>
          <w:sz w:val="32"/>
          <w:szCs w:val="32"/>
          <w:vertAlign w:val="baseline"/>
        </w:rPr>
        <w:t>.</w:t>
      </w:r>
      <w:r>
        <w:rPr>
          <w:rFonts w:ascii="Times New Roman" w:eastAsia="仿宋_GB2312" w:cs="仿宋_GB2312" w:hAnsi="Times New Roman" w:hint="eastAsia"/>
          <w:caps w:val="0"/>
          <w:smallCaps w:val="0"/>
          <w:color w:val="auto"/>
          <w:kern w:val="2"/>
          <w:sz w:val="32"/>
          <w:szCs w:val="32"/>
          <w:vertAlign w:val="baseline"/>
        </w:rPr>
        <w:t>卫生健康（类）行政事业单位医疗（款）事业单位医疗（项）：反映财政部门安排的事业单位基本医疗保险缴费经费，未参加医疗保险的事业单位的公费医疗经费，按国家规定享受离休人员待遇的医疗经费。</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val="0"/>
          <w:caps w:val="0"/>
          <w:smallCaps w:val="0"/>
          <w:snapToGrid w:val="0"/>
          <w:color w:val="auto"/>
          <w:sz w:val="32"/>
          <w:szCs w:val="32"/>
          <w:vertAlign w:val="baseline"/>
          <w:lang w:eastAsia="zh-CN"/>
        </w:rPr>
      </w:pPr>
      <w:r>
        <w:rPr>
          <w:rFonts w:ascii="Times New Roman" w:eastAsia="仿宋" w:cs="Times New Roman" w:hAnsi="Times New Roman"/>
          <w:b w:val="0"/>
          <w:bCs w:val="0"/>
          <w:caps w:val="0"/>
          <w:smallCaps w:val="0"/>
          <w:snapToGrid w:val="0"/>
          <w:color w:val="auto"/>
          <w:kern w:val="2"/>
          <w:sz w:val="32"/>
          <w:szCs w:val="32"/>
          <w:vertAlign w:val="baseline"/>
          <w:lang w:val="en-US" w:eastAsia="zh-CN"/>
        </w:rPr>
        <w:t>2</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7</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卫生健康</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（类）行政事业单位医疗（款）公务员医疗补助（项）</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反映财政部门安排的公务员医疗补助经费。</w:t>
      </w:r>
    </w:p>
    <w:p>
      <w:pPr>
        <w:pStyle w:val="25"/>
        <w:keepNext w:val="0"/>
        <w:keepLines w:val="0"/>
        <w:pageBreakBefore w:val="0"/>
        <w:widowControl w:val="0"/>
        <w:suppressLineNumbers w:val="0"/>
        <w:suppressAutoHyphens/>
        <w:kinsoku/>
        <w:wordWrap/>
        <w:overflowPunct/>
        <w:topLinePunct w:val="0"/>
        <w:autoSpaceDE/>
        <w:autoSpaceDN w:val="0"/>
        <w:bidi w:val="0"/>
        <w:adjustRightInd/>
        <w:snapToGrid w:val="0"/>
        <w:spacing w:before="0" w:beforeAutospacing="0" w:after="0" w:afterAutospacing="0" w:line="600" w:lineRule="exact"/>
        <w:ind w:left="0" w:right="0" w:firstLineChars="200" w:firstLine="640"/>
        <w:jc w:val="left"/>
        <w:outlineLvl w:val="9"/>
        <w:rPr>
          <w:rFonts w:ascii="Times New Roman" w:eastAsia="仿宋" w:cs="Times New Roman" w:hAnsi="Times New Roman"/>
          <w:b w:val="0"/>
          <w:bCs w:val="0"/>
          <w:caps w:val="0"/>
          <w:smallCaps w:val="0"/>
          <w:snapToGrid w:val="0"/>
          <w:color w:val="auto"/>
          <w:sz w:val="32"/>
          <w:szCs w:val="32"/>
          <w:vertAlign w:val="baseline"/>
          <w:lang w:eastAsia="zh-CN"/>
        </w:rPr>
      </w:pPr>
      <w:r>
        <w:rPr>
          <w:rFonts w:ascii="Times New Roman" w:eastAsia="仿宋" w:cs="Times New Roman" w:hAnsi="Times New Roman"/>
          <w:b w:val="0"/>
          <w:bCs w:val="0"/>
          <w:caps w:val="0"/>
          <w:smallCaps w:val="0"/>
          <w:snapToGrid w:val="0"/>
          <w:color w:val="auto"/>
          <w:kern w:val="2"/>
          <w:sz w:val="32"/>
          <w:szCs w:val="32"/>
          <w:vertAlign w:val="baseline"/>
          <w:lang w:val="en-US" w:eastAsia="zh-CN"/>
        </w:rPr>
        <w:t>2</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8</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卫生健康</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（类）行政事业单位医疗（款）其他行政事业单位医疗支出（项）</w:t>
      </w:r>
      <w:r>
        <w:rPr>
          <w:rFonts w:ascii="Times New Roman" w:eastAsia="仿宋" w:cs="Times New Roman" w:hAnsi="Times New Roman"/>
          <w:b w:val="0"/>
          <w:bCs w:val="0"/>
          <w:caps w:val="0"/>
          <w:smallCaps w:val="0"/>
          <w:snapToGrid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snapToGrid w:val="0"/>
          <w:color w:val="auto"/>
          <w:kern w:val="2"/>
          <w:sz w:val="32"/>
          <w:szCs w:val="32"/>
          <w:vertAlign w:val="baseline"/>
          <w:lang w:val="en-US" w:eastAsia="zh-CN"/>
        </w:rPr>
        <w:t>反映除上述项目以外的其他用于行政事业单位医疗方面的支出。</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b w:val="0"/>
          <w:bCs w:val="0"/>
          <w:caps w:val="0"/>
          <w:smallCaps w:val="0"/>
          <w:snapToGrid/>
          <w:color w:val="auto"/>
          <w:sz w:val="32"/>
          <w:szCs w:val="32"/>
          <w:vertAlign w:val="baseline"/>
        </w:rPr>
      </w:pPr>
      <w:r>
        <w:rPr>
          <w:rFonts w:ascii="Times New Roman" w:eastAsia="仿宋" w:cs="Times New Roman" w:hAnsi="Times New Roman"/>
          <w:b w:val="0"/>
          <w:bCs w:val="0"/>
          <w:caps w:val="0"/>
          <w:smallCaps w:val="0"/>
          <w:snapToGrid/>
          <w:color w:val="auto"/>
          <w:sz w:val="32"/>
          <w:szCs w:val="32"/>
          <w:vertAlign w:val="baseline"/>
          <w:lang w:val="en-US" w:eastAsia="zh-CN"/>
        </w:rPr>
        <w:t>2</w:t>
      </w:r>
      <w:r>
        <w:rPr>
          <w:rFonts w:ascii="Times New Roman" w:eastAsia="仿宋" w:cs="Times New Roman" w:hAnsi="Times New Roman" w:hint="eastAsia"/>
          <w:b w:val="0"/>
          <w:bCs w:val="0"/>
          <w:caps w:val="0"/>
          <w:smallCaps w:val="0"/>
          <w:snapToGrid/>
          <w:color w:val="auto"/>
          <w:sz w:val="32"/>
          <w:szCs w:val="32"/>
          <w:vertAlign w:val="baseline"/>
          <w:lang w:val="en-US" w:eastAsia="zh-CN"/>
        </w:rPr>
        <w:t>9</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rPr>
        <w:t>卫生健康</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其他卫生健康支出</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其他卫生健康支出</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000000"/>
          <w:kern w:val="0"/>
          <w:sz w:val="32"/>
          <w:szCs w:val="32"/>
          <w:vertAlign w:val="baseline"/>
          <w:lang w:val="en-US" w:eastAsia="zh-CN"/>
        </w:rPr>
        <w:t>反映除上述项目以外其他用于卫生健康方面的支出。</w:t>
      </w:r>
    </w:p>
    <w:p>
      <w:pPr>
        <w:pStyle w:val="2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pPr>
      <w:r>
        <w:rPr>
          <w:rFonts w:ascii="Times New Roman" w:eastAsia="仿宋" w:cs="Times New Roman" w:hAnsi="Times New Roman"/>
          <w:b w:val="0"/>
          <w:bCs w:val="0"/>
          <w:caps w:val="0"/>
          <w:smallCaps w:val="0"/>
          <w:snapToGrid/>
          <w:color w:val="auto"/>
          <w:sz w:val="32"/>
          <w:szCs w:val="32"/>
          <w:vertAlign w:val="baseline"/>
          <w:lang w:val="en-US" w:eastAsia="zh-CN"/>
        </w:rPr>
        <w:t>30</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caps w:val="0"/>
          <w:smallCaps w:val="0"/>
          <w:color w:val="auto"/>
          <w:sz w:val="32"/>
          <w:szCs w:val="32"/>
          <w:vertAlign w:val="baseline"/>
          <w:lang w:eastAsia="zh-CN"/>
        </w:rPr>
        <w:t>住房保障支出</w:t>
      </w:r>
      <w:r>
        <w:rPr>
          <w:rFonts w:ascii="Times New Roman" w:eastAsia="仿宋" w:cs="Times New Roman" w:hAnsi="Times New Roman" w:hint="eastAsia"/>
          <w:b w:val="0"/>
          <w:bCs w:val="0"/>
          <w:caps w:val="0"/>
          <w:smallCaps w:val="0"/>
          <w:snapToGrid/>
          <w:color w:val="auto"/>
          <w:sz w:val="32"/>
          <w:szCs w:val="32"/>
          <w:vertAlign w:val="baseline"/>
        </w:rPr>
        <w:t>（类）</w:t>
      </w:r>
      <w:r>
        <w:rPr>
          <w:rFonts w:ascii="Times New Roman" w:eastAsia="仿宋" w:cs="Times New Roman" w:hAnsi="Times New Roman" w:hint="eastAsia"/>
          <w:b w:val="0"/>
          <w:bCs w:val="0"/>
          <w:caps w:val="0"/>
          <w:smallCaps w:val="0"/>
          <w:snapToGrid/>
          <w:color w:val="auto"/>
          <w:sz w:val="32"/>
          <w:szCs w:val="32"/>
          <w:vertAlign w:val="baseline"/>
          <w:lang w:eastAsia="zh-CN"/>
        </w:rPr>
        <w:t>住房改革支出</w:t>
      </w:r>
      <w:r>
        <w:rPr>
          <w:rFonts w:ascii="Times New Roman" w:eastAsia="仿宋" w:cs="Times New Roman" w:hAnsi="Times New Roman" w:hint="eastAsia"/>
          <w:b w:val="0"/>
          <w:bCs w:val="0"/>
          <w:caps w:val="0"/>
          <w:smallCaps w:val="0"/>
          <w:snapToGrid/>
          <w:color w:val="auto"/>
          <w:sz w:val="32"/>
          <w:szCs w:val="32"/>
          <w:vertAlign w:val="baseline"/>
        </w:rPr>
        <w:t>（款）</w:t>
      </w:r>
      <w:r>
        <w:rPr>
          <w:rFonts w:ascii="Times New Roman" w:eastAsia="仿宋" w:cs="Times New Roman" w:hAnsi="Times New Roman" w:hint="eastAsia"/>
          <w:b w:val="0"/>
          <w:bCs w:val="0"/>
          <w:caps w:val="0"/>
          <w:smallCaps w:val="0"/>
          <w:snapToGrid/>
          <w:color w:val="auto"/>
          <w:sz w:val="32"/>
          <w:szCs w:val="32"/>
          <w:vertAlign w:val="baseline"/>
          <w:lang w:eastAsia="zh-CN"/>
        </w:rPr>
        <w:t>住房公积金</w:t>
      </w:r>
      <w:r>
        <w:rPr>
          <w:rFonts w:ascii="Times New Roman" w:eastAsia="仿宋" w:cs="Times New Roman" w:hAnsi="Times New Roman" w:hint="eastAsia"/>
          <w:b w:val="0"/>
          <w:bCs w:val="0"/>
          <w:caps w:val="0"/>
          <w:smallCaps w:val="0"/>
          <w:snapToGrid/>
          <w:color w:val="auto"/>
          <w:sz w:val="32"/>
          <w:szCs w:val="32"/>
          <w:vertAlign w:val="baseline"/>
        </w:rPr>
        <w:t>（项）</w:t>
      </w:r>
      <w:r>
        <w:rPr>
          <w:rFonts w:ascii="Times New Roman" w:eastAsia="仿宋" w:cs="Times New Roman" w:hAnsi="Times New Roman"/>
          <w:b w:val="0"/>
          <w:bCs w:val="0"/>
          <w:caps w:val="0"/>
          <w:smallCaps w:val="0"/>
          <w:snapToGrid/>
          <w:color w:val="auto"/>
          <w:sz w:val="32"/>
          <w:szCs w:val="32"/>
          <w:vertAlign w:val="baseline"/>
        </w:rPr>
        <w:t>:</w:t>
      </w:r>
      <w:r>
        <w:rPr>
          <w:rFonts w:ascii="Times New Roman" w:eastAsia="仿宋" w:cs="Times New Roman" w:hAnsi="Times New Roman" w:hint="eastAsia"/>
          <w:bCs/>
          <w:caps w:val="0"/>
          <w:smallCaps w:val="0"/>
          <w:color w:val="000000"/>
          <w:kern w:val="0"/>
          <w:sz w:val="32"/>
          <w:szCs w:val="32"/>
          <w:vertAlign w:val="baseline"/>
          <w:lang w:val="en-US" w:eastAsia="zh-CN"/>
        </w:rPr>
        <w:t>反映行政事业单位按人力资源和社会保障部、财政部规定的基本工资和津贴补贴以及规定比例为职工缴纳的住房公积金。</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31</w:t>
      </w:r>
      <w:r>
        <w:rPr>
          <w:rFonts w:ascii="Times New Roman" w:eastAsia="仿宋_GB2312" w:cs="仿宋_GB2312" w:hAnsi="Times New Roman" w:hint="eastAsia"/>
          <w:color w:val="auto"/>
          <w:kern w:val="2"/>
          <w:sz w:val="32"/>
          <w:szCs w:val="32"/>
          <w:lang w:val="en-US" w:eastAsia="zh-CN" w:bidi="ar-SA"/>
          <w:highlight w:val="auto"/>
        </w:rPr>
        <w:t>.基本支出：指为保障机构正常运转、完成日常工作任务而发生的人员支出和公用支出。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32</w:t>
      </w:r>
      <w:r>
        <w:rPr>
          <w:rFonts w:ascii="Times New Roman" w:eastAsia="仿宋_GB2312" w:cs="仿宋_GB2312" w:hAnsi="Times New Roman" w:hint="eastAsia"/>
          <w:color w:val="auto"/>
          <w:kern w:val="2"/>
          <w:sz w:val="32"/>
          <w:szCs w:val="32"/>
          <w:lang w:val="en-US" w:eastAsia="zh-CN" w:bidi="ar-SA"/>
          <w:highlight w:val="auto"/>
        </w:rPr>
        <w:t xml:space="preserve">.项目支出：指在基本支出之外为完成特定行政任务和事业发展目标所发生的支出。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33</w:t>
      </w:r>
      <w:r>
        <w:rPr>
          <w:rFonts w:ascii="Times New Roman" w:eastAsia="仿宋_GB2312" w:cs="仿宋_GB2312" w:hAnsi="Times New Roman" w:hint="eastAsia"/>
          <w:color w:val="auto"/>
          <w:kern w:val="2"/>
          <w:sz w:val="32"/>
          <w:szCs w:val="32"/>
          <w:lang w:val="en-US" w:eastAsia="zh-CN" w:bidi="ar-SA"/>
          <w:highlight w:val="auto"/>
        </w:rPr>
        <w:t>.经营支出：指事业单位在专业业务活动及其辅助活动之外开展非独立核算经营活动发生的支出。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34</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三公</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w:t>
      </w:r>
      <w:r>
        <w:rPr>
          <w:rFonts w:eastAsia="仿宋_GB2312" w:cs="仿宋_GB2312" w:hint="eastAsia"/>
          <w:color w:val="auto"/>
          <w:kern w:val="2"/>
          <w:sz w:val="32"/>
          <w:szCs w:val="32"/>
          <w:lang w:val="en-US" w:eastAsia="zh-CN" w:bidi="ar-SA"/>
          <w:highlight w:val="auto"/>
        </w:rPr>
        <w:t>5</w:t>
      </w:r>
      <w:r>
        <w:rPr>
          <w:rFonts w:ascii="Times New Roman" w:eastAsia="仿宋_GB2312" w:cs="仿宋_GB2312" w:hAnsi="Times New Roman" w:hint="eastAsia"/>
          <w:color w:val="auto"/>
          <w:kern w:val="2"/>
          <w:sz w:val="32"/>
          <w:szCs w:val="32"/>
          <w:lang w:val="en-US" w:eastAsia="zh-CN" w:bidi="ar-SA"/>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Times New Roman" w:eastAsia="黑体" w:hAnsi="Times New Roman" w:hint="eastAsia"/>
          <w:b w:val="0"/>
          <w:color w:val="auto"/>
          <w:lang w:eastAsia="zh-CN"/>
          <w:highlight w:val="auto"/>
        </w:rPr>
      </w:pPr>
      <w:bookmarkStart w:id="83" w:name="_Toc15377226"/>
      <w:r>
        <w:rPr>
          <w:rFonts w:ascii="Times New Roman" w:eastAsia="仿宋_GB2312" w:cs="仿宋_GB2312" w:hAnsi="Times New Roman" w:hint="eastAsia"/>
          <w:color w:val="auto"/>
          <w:kern w:val="2"/>
          <w:sz w:val="32"/>
          <w:szCs w:val="32"/>
          <w:lang w:val="en-US" w:eastAsia="zh-CN" w:bidi="ar-SA"/>
          <w:highlight w:val="auto"/>
        </w:rPr>
        <w:br w:type="page"/>
      </w:r>
      <w:bookmarkStart w:id="84" w:name="_Toc15396614"/>
      <w:bookmarkStart w:id="85" w:name="_Toc1633170161"/>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84"/>
      <w:bookmarkEnd w:id="85"/>
    </w:p>
    <w:p>
      <w:pPr>
        <w:keepNext w:val="0"/>
        <w:keepLines w:val="0"/>
        <w:pageBreakBefore w:val="0"/>
        <w:widowControl w:val="0"/>
        <w:kinsoku/>
        <w:wordWrap/>
        <w:overflowPunct/>
        <w:topLinePunct w:val="0"/>
        <w:autoSpaceDE/>
        <w:autoSpaceDN/>
        <w:bidi w:val="0"/>
        <w:spacing w:line="572" w:lineRule="exact"/>
        <w:jc w:val="left"/>
        <w:textAlignment w:val="auto"/>
        <w:outlineLvl w:val="9"/>
        <w:rPr>
          <w:rFonts w:ascii="Times New Roman" w:eastAsia="黑体" w:cs="黑体" w:hAnsi="Times New Roman" w:hint="eastAsia"/>
          <w:color w:val="FF0000"/>
          <w:sz w:val="32"/>
          <w:szCs w:val="32"/>
          <w:highlight w:val="auto"/>
        </w:rPr>
      </w:pPr>
    </w:p>
    <w:p>
      <w:pPr>
        <w:pStyle w:val="18"/>
        <w:bidi w:val="0"/>
        <w:jc w:val="center"/>
        <w:rPr>
          <w:rFonts w:ascii="Times New Roman" w:eastAsia="仿宋_GB2312" w:cs="Times New Roman" w:hAnsi="Times New Roman"/>
          <w:sz w:val="32"/>
          <w:szCs w:val="32"/>
          <w:lang w:val="en-US" w:eastAsia="zh-CN"/>
        </w:rPr>
      </w:pPr>
      <w:bookmarkStart w:id="86" w:name="_Toc842166083_WPSOffice_Level2"/>
      <w:r>
        <w:rPr>
          <w:rFonts w:ascii="Times New Roman" w:eastAsia="仿宋_GB2312" w:cs="Times New Roman" w:hAnsi="Times New Roman"/>
          <w:sz w:val="32"/>
          <w:szCs w:val="32"/>
          <w:lang w:val="en-US" w:eastAsia="zh-CN"/>
        </w:rPr>
        <w:t>部门预算项目支出绩效自评表（2024年度）</w:t>
      </w:r>
      <w:bookmarkEnd w:id="86"/>
      <w:r>
        <w:rPr>
          <w:rFonts w:ascii="Times New Roman" w:eastAsia="仿宋_GB2312" w:cs="Times New Roman" w:hAnsi="Times New Roman"/>
          <w:sz w:val="32"/>
          <w:szCs w:val="32"/>
          <w:lang w:val="en-US" w:eastAsia="zh-CN"/>
        </w:rPr>
        <w:t>见附件3</w:t>
      </w:r>
    </w:p>
    <w:p>
      <w:pPr>
        <w:pStyle w:val="18"/>
        <w:rPr>
          <w:rFonts w:ascii="Times New Roman" w:cs="宋体" w:hAnsi="Times New Roman" w:hint="eastAsia"/>
          <w:color w:val="FF0000"/>
          <w:kern w:val="0"/>
          <w:sz w:val="32"/>
          <w:szCs w:val="32"/>
          <w:shd w:val="clear" w:color="auto" w:fill="FFFFFF"/>
          <w:lang w:val="zh-CN"/>
          <w:highlight w:val="yellow"/>
        </w:rPr>
      </w:pPr>
    </w:p>
    <w:p>
      <w:pPr>
        <w:rPr>
          <w:rFonts w:ascii="Times New Roman" w:eastAsia="黑体" w:cs="黑体" w:hAnsi="Times New Roman" w:hint="eastAsia"/>
          <w:color w:val="auto"/>
          <w:kern w:val="0"/>
          <w:sz w:val="32"/>
          <w:szCs w:val="32"/>
          <w:shd w:val="clear" w:color="auto" w:fill="FFFFFF"/>
          <w:lang w:val="zh-CN"/>
          <w:highlight w:val="auto"/>
        </w:rPr>
      </w:pPr>
      <w:r>
        <w:rPr>
          <w:rFonts w:ascii="Times New Roman" w:eastAsia="黑体" w:cs="黑体" w:hAnsi="Times New Roman" w:hint="eastAsia"/>
          <w:color w:val="auto"/>
          <w:kern w:val="0"/>
          <w:sz w:val="32"/>
          <w:szCs w:val="32"/>
          <w:shd w:val="clear" w:color="auto" w:fill="FFFFFF"/>
          <w:lang w:val="zh-CN"/>
          <w:highlight w:val="auto"/>
        </w:rPr>
        <w:br w:type="page"/>
      </w:r>
    </w:p>
    <w:p>
      <w:pPr>
        <w:widowControl/>
        <w:jc w:val="center"/>
        <w:outlineLvl w:val="0"/>
        <w:rPr>
          <w:rFonts w:ascii="Times New Roman" w:eastAsia="仿宋" w:hAnsi="Times New Roman" w:hint="eastAsia"/>
          <w:b w:val="0"/>
          <w:color w:val="auto"/>
          <w:highlight w:val="auto"/>
        </w:rPr>
      </w:pPr>
      <w:bookmarkStart w:id="87" w:name="_Toc15396618"/>
      <w:bookmarkStart w:id="88" w:name="_Toc2070325222"/>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w:t>
      </w:r>
      <w:r>
        <w:rPr>
          <w:rStyle w:val="1Char"/>
          <w:rFonts w:eastAsia="黑体" w:hint="eastAsia"/>
          <w:b w:val="0"/>
          <w:color w:val="auto"/>
          <w:lang w:val="en-US"/>
          <w:highlight w:val="auto"/>
        </w:rPr>
        <w:t xml:space="preserve"> </w:t>
      </w:r>
      <w:r>
        <w:rPr>
          <w:rStyle w:val="1Char"/>
          <w:rFonts w:ascii="Times New Roman" w:eastAsia="黑体" w:hAnsi="Times New Roman" w:hint="eastAsia"/>
          <w:b w:val="0"/>
          <w:color w:val="auto"/>
          <w:highlight w:val="auto"/>
        </w:rPr>
        <w:t xml:space="preserve"> 附表</w:t>
      </w:r>
      <w:bookmarkStart w:id="89" w:name="_Toc15396619"/>
      <w:bookmarkEnd w:id="83"/>
      <w:bookmarkEnd w:id="87"/>
      <w:bookmarkEnd w:id="8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89"/>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0" w:name="_Toc15396620"/>
      <w:r>
        <w:rPr>
          <w:rFonts w:ascii="Times New Roman" w:eastAsia="仿宋_GB2312" w:cs="仿宋_GB2312" w:hAnsi="Times New Roman" w:hint="eastAsia"/>
          <w:color w:val="auto"/>
          <w:sz w:val="32"/>
          <w:szCs w:val="32"/>
          <w:highlight w:val="auto"/>
        </w:rPr>
        <w:t>二、收入决算表</w:t>
      </w:r>
      <w:bookmarkEnd w:id="9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1" w:name="_Toc15396621"/>
      <w:r>
        <w:rPr>
          <w:rFonts w:ascii="Times New Roman" w:eastAsia="仿宋_GB2312" w:cs="仿宋_GB2312" w:hAnsi="Times New Roman" w:hint="eastAsia"/>
          <w:color w:val="auto"/>
          <w:sz w:val="32"/>
          <w:szCs w:val="32"/>
          <w:highlight w:val="auto"/>
        </w:rPr>
        <w:t>三、支出决算表</w:t>
      </w:r>
      <w:bookmarkEnd w:id="91"/>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2" w:name="_Toc15396622"/>
      <w:r>
        <w:rPr>
          <w:rFonts w:ascii="Times New Roman" w:eastAsia="仿宋_GB2312" w:cs="仿宋_GB2312" w:hAnsi="Times New Roman" w:hint="eastAsia"/>
          <w:color w:val="auto"/>
          <w:sz w:val="32"/>
          <w:szCs w:val="32"/>
          <w:highlight w:val="auto"/>
        </w:rPr>
        <w:t>四、财政拨款收入支出决算总表</w:t>
      </w:r>
      <w:bookmarkEnd w:id="9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3" w:name="_Toc15396623"/>
      <w:r>
        <w:rPr>
          <w:rFonts w:ascii="Times New Roman" w:eastAsia="仿宋_GB2312" w:cs="仿宋_GB2312" w:hAnsi="Times New Roman" w:hint="eastAsia"/>
          <w:color w:val="auto"/>
          <w:sz w:val="32"/>
          <w:szCs w:val="32"/>
          <w:highlight w:val="auto"/>
        </w:rPr>
        <w:t>五、财政拨款支出决算明细表</w:t>
      </w:r>
      <w:bookmarkStart w:id="94" w:name="_Toc15396624"/>
      <w:bookmarkEnd w:id="93"/>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9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5" w:name="_Toc15396625"/>
      <w:r>
        <w:rPr>
          <w:rFonts w:ascii="Times New Roman" w:eastAsia="仿宋_GB2312" w:cs="仿宋_GB2312" w:hAnsi="Times New Roman" w:hint="eastAsia"/>
          <w:color w:val="auto"/>
          <w:sz w:val="32"/>
          <w:szCs w:val="32"/>
          <w:highlight w:val="auto"/>
        </w:rPr>
        <w:t>七、一般公共预算财政拨款支出决算明细表</w:t>
      </w:r>
      <w:bookmarkEnd w:id="95"/>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6" w:name="_Toc15396626"/>
      <w:r>
        <w:rPr>
          <w:rFonts w:ascii="Times New Roman" w:eastAsia="仿宋_GB2312" w:cs="仿宋_GB2312" w:hAnsi="Times New Roman" w:hint="eastAsia"/>
          <w:color w:val="auto"/>
          <w:sz w:val="32"/>
          <w:szCs w:val="32"/>
          <w:highlight w:val="auto"/>
        </w:rPr>
        <w:t>八、一般公共预算财政拨款基本支出决算表</w:t>
      </w:r>
      <w:bookmarkEnd w:id="9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7" w:name="_Toc15396627"/>
      <w:r>
        <w:rPr>
          <w:rFonts w:ascii="Times New Roman" w:eastAsia="仿宋_GB2312" w:cs="仿宋_GB2312" w:hAnsi="Times New Roman" w:hint="eastAsia"/>
          <w:color w:val="auto"/>
          <w:sz w:val="32"/>
          <w:szCs w:val="32"/>
          <w:highlight w:val="auto"/>
        </w:rPr>
        <w:t>九、一般公共预算财政拨款项目支出决算表</w:t>
      </w:r>
      <w:bookmarkEnd w:id="97"/>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98" w:name="_Toc15396628"/>
      <w:r>
        <w:rPr>
          <w:rFonts w:ascii="Times New Roman" w:eastAsia="仿宋_GB2312" w:cs="仿宋_GB2312" w:hAnsi="Times New Roman" w:hint="eastAsia"/>
          <w:color w:val="auto"/>
          <w:sz w:val="32"/>
          <w:szCs w:val="32"/>
          <w:highlight w:val="auto"/>
        </w:rPr>
        <w:t>十、</w:t>
      </w:r>
      <w:bookmarkEnd w:id="98"/>
      <w:r>
        <w:rPr>
          <w:rFonts w:ascii="Times New Roman" w:eastAsia="仿宋_GB2312" w:cs="仿宋_GB2312" w:hAnsi="Times New Roman" w:hint="eastAsia"/>
          <w:color w:val="auto"/>
          <w:sz w:val="32"/>
          <w:szCs w:val="32"/>
          <w:highlight w:val="auto"/>
        </w:rPr>
        <w:t>政府性基金预算财政拨款收入支出决算表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99" w:name="_Toc15396629"/>
      <w:r>
        <w:rPr>
          <w:rFonts w:ascii="Times New Roman" w:eastAsia="仿宋_GB2312" w:cs="仿宋_GB2312" w:hAnsi="Times New Roman" w:hint="eastAsia"/>
          <w:color w:val="auto"/>
          <w:sz w:val="32"/>
          <w:szCs w:val="32"/>
          <w:highlight w:val="auto"/>
        </w:rPr>
        <w:t>十一、</w:t>
      </w:r>
      <w:bookmarkEnd w:id="99"/>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r>
        <w:rPr>
          <w:rFonts w:eastAsia="仿宋_GB2312" w:cs="仿宋_GB2312" w:hint="eastAsia"/>
          <w:color w:val="auto"/>
          <w:sz w:val="32"/>
          <w:szCs w:val="32"/>
          <w:lang w:eastAsia="zh-CN"/>
          <w:highlight w:val="auto"/>
        </w:rPr>
        <w:t>（此表无数据）</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00" w:name="_Toc15396630"/>
      <w:r>
        <w:rPr>
          <w:rFonts w:ascii="Times New Roman" w:eastAsia="仿宋_GB2312" w:cs="仿宋_GB2312" w:hAnsi="Times New Roman" w:hint="eastAsia"/>
          <w:color w:val="auto"/>
          <w:sz w:val="32"/>
          <w:szCs w:val="32"/>
          <w:highlight w:val="auto"/>
        </w:rPr>
        <w:t>十二、</w:t>
      </w:r>
      <w:bookmarkEnd w:id="100"/>
      <w:r>
        <w:rPr>
          <w:rFonts w:ascii="Times New Roman" w:eastAsia="仿宋_GB2312" w:cs="仿宋_GB2312" w:hAnsi="Times New Roman" w:hint="eastAsia"/>
          <w:color w:val="auto"/>
          <w:sz w:val="32"/>
          <w:szCs w:val="32"/>
          <w:lang w:eastAsia="zh-CN"/>
          <w:highlight w:val="auto"/>
        </w:rPr>
        <w:t>国有资本经营预算财政拨款支出决算表</w:t>
      </w:r>
      <w:r>
        <w:rPr>
          <w:rFonts w:eastAsia="仿宋_GB2312" w:cs="仿宋_GB2312" w:hint="eastAsia"/>
          <w:color w:val="auto"/>
          <w:sz w:val="32"/>
          <w:szCs w:val="32"/>
          <w:lang w:eastAsia="zh-CN"/>
          <w:highlight w:val="auto"/>
        </w:rPr>
        <w:t>（此表无数据）</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101" w:name="_Toc15396631"/>
      <w:r>
        <w:rPr>
          <w:rFonts w:ascii="Times New Roman" w:eastAsia="仿宋_GB2312" w:cs="仿宋_GB2312" w:hAnsi="Times New Roman" w:hint="eastAsia"/>
          <w:color w:val="auto"/>
          <w:sz w:val="32"/>
          <w:szCs w:val="32"/>
          <w:highlight w:val="auto"/>
        </w:rPr>
        <w:t>十三、</w:t>
      </w:r>
      <w:bookmarkEnd w:id="101"/>
      <w:r>
        <w:rPr>
          <w:rFonts w:ascii="Times New Roman" w:eastAsia="仿宋_GB2312" w:cs="仿宋_GB2312" w:hAnsi="Times New Roman" w:hint="eastAsia"/>
          <w:color w:val="auto"/>
          <w:sz w:val="32"/>
          <w:szCs w:val="32"/>
          <w:lang w:eastAsia="zh-CN"/>
          <w:highlight w:val="auto"/>
        </w:rPr>
        <w:t>财政拨款“三公”经费支出决算表</w:t>
      </w:r>
    </w:p>
    <w:p>
      <w:pPr>
        <w:rPr>
          <w:rFonts w:ascii="Times New Roman" w:hAnsi="Times New Roman" w:hint="eastAsia"/>
          <w:lang w:eastAsia="zh-CN"/>
        </w:rPr>
      </w:pPr>
    </w:p>
    <w:sectPr>
      <w:footerReference w:type="default" r:id="rId2"/>
      <w:pgSz w:w="11906" w:h="16838"/>
      <w:pgMar w:top="1440" w:right="1800" w:bottom="1440" w:left="1800"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00007A87" w:usb1="80000000" w:usb2="00000008" w:usb3="00000000" w:csb0="400001FF" w:csb1="FFFF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00007A87" w:usb1="80000000" w:usb2="00000008" w:usb3="00000000" w:csb0="400001FF" w:csb1="FFFF0000"/>
  </w:font>
  <w:font w:name="仿宋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楷体_GB2312">
    <w:panose1 w:val="02010609030101010101"/>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2000009F" w:csb1="00000000"/>
  </w:font>
  <w:font w:name="Calibri">
    <w:panose1 w:val="020F0502020204030204"/>
    <w:charset w:val="00"/>
    <w:family w:val="swiss"/>
    <w:pitch w:val="variable"/>
    <w:sig w:usb0="A00002EF" w:usb1="4000207B" w:usb2="00000000" w:usb3="00000000" w:csb0="2000009F" w:csb1="00000000"/>
  </w:font>
  <w:font w:name="??">
    <w:altName w:val="Arial"/>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oNotUseMarginsForDrawingGridOrigin/>
  <w:drawingGridHorizontalOrigin w:val="0"/>
  <w:drawingGridVerticalOrigin w:val="0"/>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paragraph" w:styleId="25">
    <w:name w:val="Normal (Web)"/>
    <w:next w:val="24"/>
    <w:pPr>
      <w:keepNext w:val="0"/>
      <w:keepLines w:val="0"/>
      <w:widowControl/>
      <w:suppressLineNumbers w:val="0"/>
      <w:suppressAutoHyphens/>
      <w:spacing w:before="0" w:beforeAutospacing="1" w:after="0" w:afterAutospacing="1" w:line="240" w:lineRule="auto"/>
      <w:ind w:left="0" w:right="0" w:firstLine="0"/>
      <w:jc w:val="left"/>
    </w:pPr>
    <w:rPr>
      <w:rFonts w:ascii="宋体" w:eastAsia="宋体" w:cs="Times New Roman"/>
      <w:color w:val="auto"/>
      <w:kern w:val="0"/>
      <w:sz w:val="24"/>
      <w:szCs w:val="21"/>
      <w:lang w:val="en-US" w:eastAsia="zh-CN" w:bidi="ar-SA"/>
    </w:rPr>
  </w:style>
  <w:style w:type="character" w:styleId="26">
    <w:name w:val="Strong"/>
    <w:basedOn w:val="10"/>
    <w:rPr>
      <w:b/>
      <w:bCs/>
    </w:rPr>
  </w:style>
  <w:style w:type="character" w:styleId="27">
    <w:name w:val="Hyperlink"/>
    <w:basedOn w:val="10"/>
    <w:rPr>
      <w:color w:val="0000FF"/>
      <w:u w:val="single"/>
    </w:rPr>
  </w:style>
  <w:style w:type="paragraph" w:customStyle="1" w:styleId="28">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四号正文"/>
    <w:basedOn w:val="0"/>
    <w:pPr>
      <w:spacing w:line="360" w:lineRule="auto"/>
    </w:pPr>
    <w:rPr>
      <w:rFonts w:ascii="??" w:eastAsia="宋体" w:hAnsi="??"/>
      <w:color w:val="000000"/>
      <w:kern w:val="0"/>
      <w:sz w:val="28"/>
      <w:szCs w:val="21"/>
      <w:lang w:val="zh-CN" w:eastAsia="zh-CN"/>
    </w:rPr>
  </w:style>
  <w:style w:type="paragraph" w:customStyle="1" w:styleId="37">
    <w:name w:val="WPSOffice手动目录 1"/>
    <w:rPr>
      <w:rFonts w:ascii="Times New Roman" w:eastAsia="宋体" w:cs="Times New Roman" w:hAnsi="Times New Roman"/>
      <w:sz w:val="20"/>
      <w:szCs w:val="20"/>
      <w:lang w:val="en-US" w:eastAsia="zh-CN" w:bidi="ar-SA"/>
    </w:rPr>
  </w:style>
  <w:style w:type="paragraph" w:customStyle="1" w:styleId="38">
    <w:name w:val="WPSOffice手动目录 2"/>
    <w:pPr>
      <w:ind w:leftChars="200" w:left="200"/>
    </w:pPr>
    <w:rPr>
      <w:rFonts w:ascii="Times New Roman" w:eastAsia="宋体" w:cs="Times New Roman" w:hAnsi="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收入、支出决算总计变动情况</a:t>
            </a:r>
          </a:p>
        </c:rich>
      </c:tx>
      <c:layout/>
      <c:overlay val="0"/>
      <c:spPr>
        <a:noFill/>
        <a:ln>
          <a:noFill/>
        </a:ln>
      </c:spPr>
    </c:title>
    <c:autoTitleDeleted val="1"/>
    <c:plotArea>
      <c:layout/>
      <c:barChart>
        <c:barDir val="col"/>
        <c:grouping val="clustered"/>
        <c:varyColors val="0"/>
        <c:ser>
          <c:idx val="1"/>
          <c:order val="0"/>
          <c:tx>
            <c:strRef>
              <c:f>'Sheet1'!$B$1</c:f>
              <c:strCache>
                <c:ptCount val="1"/>
                <c:pt idx="0">
                  <c:v>2023年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收入、支出决算总计</c:v>
                </c:pt>
              </c:strCache>
            </c:strRef>
          </c:cat>
          <c:val>
            <c:numRef>
              <c:f>Sheet1!$B$2</c:f>
              <c:numCache>
                <c:formatCode>General</c:formatCode>
                <c:ptCount val="1"/>
                <c:pt idx="0">
                  <c:v>3679.9</c:v>
                </c:pt>
              </c:numCache>
            </c:numRef>
          </c:val>
        </c:ser>
        <c:ser>
          <c:idx val="2"/>
          <c:order val="1"/>
          <c:tx>
            <c:strRef>
              <c:f>'Sheet1'!$C$1</c:f>
              <c:strCache>
                <c:ptCount val="1"/>
                <c:pt idx="0">
                  <c:v>2024年</c:v>
                </c:pt>
              </c:strCache>
            </c:strRef>
          </c:tx>
          <c:spPr>
            <a:solidFill>
              <a:srgbClr val="9BBB59"/>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收入、支出决算总计</c:v>
                </c:pt>
              </c:strCache>
            </c:strRef>
          </c:cat>
          <c:val>
            <c:numRef>
              <c:f>Sheet1!$C$2</c:f>
              <c:numCache>
                <c:formatCode>General</c:formatCode>
                <c:ptCount val="1"/>
                <c:pt idx="0">
                  <c:v>31398.41</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1505194"/>
          <c:y val="0.9033149"/>
          <c:w val="0.43319643"/>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收入决算结构</a:t>
            </a:r>
          </a:p>
        </c:rich>
      </c:tx>
      <c:layout/>
      <c:overlay val="0"/>
      <c:spPr>
        <a:noFill/>
        <a:ln>
          <a:noFill/>
        </a:ln>
      </c:spPr>
    </c:title>
    <c:autoTitleDeleted val="1"/>
    <c:plotArea>
      <c:layout/>
      <c:pieChart>
        <c:varyColors val="1"/>
        <c:ser>
          <c:idx val="0"/>
          <c:order val="0"/>
          <c:tx>
            <c:strRef>
              <c:f>'Sheet1 (2)'!$B$1</c:f>
              <c:strCache>
                <c:ptCount val="1"/>
                <c:pt idx="0">
                  <c:v>本年收入</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1"/>
              <c:layout>
                <c:manualLayout>
                  <c:x val="-0.2051838"/>
                  <c:y val="-0.19722746"/>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(2)'!$A$2:$A$3</c:f>
              <c:strCache>
                <c:ptCount val="2"/>
                <c:pt idx="0">
                  <c:v>一般公共预算财政拨款收入</c:v>
                </c:pt>
                <c:pt idx="1">
                  <c:v>政府性基金预算财政拨款收入</c:v>
                </c:pt>
              </c:strCache>
            </c:strRef>
          </c:cat>
          <c:val>
            <c:numRef>
              <c:f>'Sheet1 (2)'!$B$2:$B$3</c:f>
              <c:numCache>
                <c:formatCode>General</c:formatCode>
                <c:ptCount val="2"/>
                <c:pt idx="0">
                  <c:v>2189.41</c:v>
                </c:pt>
                <c:pt idx="1">
                  <c:v>29209.0</c:v>
                </c:pt>
              </c:numCache>
            </c:numRef>
          </c:val>
        </c:ser>
        <c:firstSliceAng val="0"/>
      </c:pieChart>
      <c:spPr>
        <a:noFill/>
        <a:ln>
          <a:noFill/>
        </a:ln>
      </c:spPr>
    </c:plotArea>
    <c:legend>
      <c:legendPos val="t"/>
      <c:layout>
        <c:manualLayout>
          <c:xMode val="edge"/>
          <c:yMode val="edge"/>
          <c:x val="0.12841266"/>
          <c:y val="0.13429664"/>
          <c:w val="0.75211406"/>
          <c:h val="0.07076073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(3)'!$B$1</c:f>
              <c:strCache>
                <c:ptCount val="1"/>
                <c:pt idx="0">
                  <c:v>支出决算结构</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1"/>
              <c:layout>
                <c:manualLayout>
                  <c:x val="-0.24187179"/>
                  <c:y val="-0.26613697"/>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1537.68</c:v>
                </c:pt>
                <c:pt idx="1">
                  <c:v>29860.73</c:v>
                </c:pt>
              </c:numCache>
            </c:numRef>
          </c:val>
        </c:ser>
        <c:firstSliceAng val="0"/>
      </c:pieChart>
      <c:spPr>
        <a:noFill/>
        <a:ln>
          <a:noFill/>
        </a:ln>
      </c:spPr>
    </c:plotArea>
    <c:legend>
      <c:legendPos val="t"/>
      <c:layout>
        <c:manualLayout>
          <c:xMode val="edge"/>
          <c:yMode val="edge"/>
          <c:x val="0.24619474"/>
          <c:y val="0.13429664"/>
          <c:w val="0.50386566"/>
          <c:h val="0.07076073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1"/>
          <c:order val="0"/>
          <c:tx>
            <c:strRef>
              <c:f>'Sheet1 (4)'!$B$1</c:f>
              <c:strCache>
                <c:ptCount val="1"/>
                <c:pt idx="0">
                  <c:v>2023年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收入、支出决算总计</c:v>
                </c:pt>
              </c:strCache>
            </c:strRef>
          </c:cat>
          <c:val>
            <c:numRef>
              <c:f>Sheet1 (4)!$B$2</c:f>
              <c:numCache>
                <c:formatCode>General</c:formatCode>
                <c:ptCount val="1"/>
                <c:pt idx="0">
                  <c:v>3679.9</c:v>
                </c:pt>
              </c:numCache>
            </c:numRef>
          </c:val>
        </c:ser>
        <c:ser>
          <c:idx val="2"/>
          <c:order val="1"/>
          <c:tx>
            <c:strRef>
              <c:f>'Sheet1 (4)'!$C$1</c:f>
              <c:strCache>
                <c:ptCount val="1"/>
                <c:pt idx="0">
                  <c:v>2024年</c:v>
                </c:pt>
              </c:strCache>
            </c:strRef>
          </c:tx>
          <c:spPr>
            <a:solidFill>
              <a:srgbClr val="9BBB59"/>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收入、支出决算总计</c:v>
                </c:pt>
              </c:strCache>
            </c:strRef>
          </c:cat>
          <c:val>
            <c:numRef>
              <c:f>Sheet1 (4)!$C$2</c:f>
              <c:numCache>
                <c:formatCode>General</c:formatCode>
                <c:ptCount val="1"/>
                <c:pt idx="0">
                  <c:v>31398.41</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1505194"/>
          <c:y val="0.9033149"/>
          <c:w val="0.43319643"/>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2023年</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(5)!$B$2</c:f>
              <c:numCache>
                <c:formatCode>General</c:formatCode>
                <c:ptCount val="1"/>
                <c:pt idx="0">
                  <c:v>3679.9</c:v>
                </c:pt>
              </c:numCache>
            </c:numRef>
          </c:val>
        </c:ser>
        <c:ser>
          <c:idx val="1"/>
          <c:order val="1"/>
          <c:tx>
            <c:strRef>
              <c:f>'Sheet1 (5)'!$C$1</c:f>
              <c:strCache>
                <c:ptCount val="1"/>
                <c:pt idx="0">
                  <c:v>2024年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(5)!$C$2</c:f>
              <c:numCache>
                <c:formatCode>General</c:formatCode>
                <c:ptCount val="1"/>
                <c:pt idx="0">
                  <c:v>2189.41</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120319"/>
          <c:y val="0.9033149"/>
          <c:w val="0.4476927"/>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(6)'!$B$1</c:f>
              <c:strCache>
                <c:ptCount val="1"/>
                <c:pt idx="0">
                  <c:v>一般公共预算财政拨款支出决算结构</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12868352"/>
                  <c:y val="0.001958351"/>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1"/>
              <c:layout>
                <c:manualLayout>
                  <c:x val="0.12229491"/>
                  <c:y val="0.1245015"/>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2"/>
              <c:layout>
                <c:manualLayout>
                  <c:x val="-0.16046564"/>
                  <c:y val="-0.22116807"/>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3"/>
              <c:layout>
                <c:manualLayout>
                  <c:x val="-0.13167769"/>
                  <c:y val="0.011282769"/>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(6)'!$A$2:$A$5</c:f>
              <c:strCache>
                <c:ptCount val="4"/>
                <c:pt idx="0">
                  <c:v>一般公共服务支出</c:v>
                </c:pt>
                <c:pt idx="1">
                  <c:v>社会保障和就业支出</c:v>
                </c:pt>
                <c:pt idx="2">
                  <c:v>卫生健康支出</c:v>
                </c:pt>
                <c:pt idx="3">
                  <c:v>住房保障支出</c:v>
                </c:pt>
              </c:strCache>
            </c:strRef>
          </c:cat>
          <c:val>
            <c:numRef>
              <c:f>'Sheet1 (6)'!$B$2:$B$5</c:f>
              <c:numCache>
                <c:formatCode>General</c:formatCode>
                <c:ptCount val="4"/>
                <c:pt idx="0">
                  <c:v>4.53</c:v>
                </c:pt>
                <c:pt idx="1">
                  <c:v>452.68</c:v>
                </c:pt>
                <c:pt idx="2">
                  <c:v>1633.3</c:v>
                </c:pt>
                <c:pt idx="3">
                  <c:v>98.9</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(7)'!$B$1</c:f>
              <c:strCache>
                <c:ptCount val="1"/>
                <c:pt idx="0">
                  <c:v>“三公”经费财政拨款支出结构</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04280956"/>
                  <c:y val="-0.013761228"/>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1"/>
              <c:layout>
                <c:manualLayout>
                  <c:x val="-0.035561435"/>
                  <c:y val="-0.06889921"/>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(7)'!$A$2:$A$3</c:f>
              <c:strCache>
                <c:ptCount val="2"/>
                <c:pt idx="0">
                  <c:v>公务用车购置及运行维护费</c:v>
                </c:pt>
                <c:pt idx="1">
                  <c:v>公务接待费</c:v>
                </c:pt>
              </c:strCache>
            </c:strRef>
          </c:cat>
          <c:val>
            <c:numRef>
              <c:f>'Sheet1 (7)'!$B$2:$B$3</c:f>
              <c:numCache>
                <c:formatCode>General</c:formatCode>
                <c:ptCount val="2"/>
                <c:pt idx="0">
                  <c:v>2.76</c:v>
                </c:pt>
                <c:pt idx="1">
                  <c:v>2.41</c:v>
                </c:pt>
              </c:numCache>
            </c:numRef>
          </c:val>
        </c:ser>
        <c:firstSliceAng val="0"/>
      </c:pieChart>
      <c:spPr>
        <a:noFill/>
        <a:ln>
          <a:noFill/>
        </a:ln>
      </c:spPr>
    </c:plotArea>
    <c:legend>
      <c:legendPos val="t"/>
      <c:layout>
        <c:manualLayout>
          <c:xMode val="edge"/>
          <c:yMode val="edge"/>
          <c:x val="0.20330998"/>
          <c:y val="0.13429664"/>
          <c:w val="0.5872191"/>
          <c:h val="0.07076073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0</TotalTime>
  <Application>Yozo_Office27021597764231179</Application>
  <Pages>25</Pages>
  <Words>8369</Words>
  <Characters>9231</Characters>
  <Lines>520</Lines>
  <Paragraphs>168</Paragraphs>
  <CharactersWithSpaces>9321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2025-08-07T01:34:00Z</cp:lastPrinted>
  <dcterms:created xsi:type="dcterms:W3CDTF">2020-08-09T17:49:00Z</dcterms:created>
  <dcterms:modified xsi:type="dcterms:W3CDTF">2025-09-11T10:16:53Z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2052-12.8.2.1119</vt:lpwstr>
  </property>
  <property fmtid="{D5CDD505-2E9C-101B-9397-08002B2CF9AE}" pid="3" name="ICV">
    <vt:lpwstr>04787F2533EB45DC91BCDE4AB213247F</vt:lpwstr>
  </property>
</Properties>
</file>