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jc w:val="both"/>
        <w:rPr>
          <w:rFonts w:ascii="Times New Roman" w:eastAsia="方正小标宋简体" w:cs="Times New Roman" w:hAnsi="Times New Roman" w:hint="eastAsia"/>
          <w:color w:val="auto"/>
          <w:kern w:val="2"/>
          <w:sz w:val="44"/>
          <w:szCs w:val="44"/>
          <w:lang w:val="en-US" w:eastAsia="zh-CN" w:bidi="ar-SA"/>
          <w:highlight w:val="auto"/>
        </w:rPr>
      </w:pPr>
      <w:bookmarkStart w:id="0" w:name="_Toc15377193"/>
      <w:bookmarkStart w:id="1" w:name="_Toc15396597"/>
      <w:bookmarkStart w:id="2" w:name="_Toc15396475"/>
      <w:bookmarkStart w:id="3" w:name="_Toc15377425"/>
      <w:bookmarkStart w:id="4" w:name="_Toc15378441"/>
      <w:bookmarkStart w:id="5" w:name="_Toc15306267"/>
    </w:p>
    <w:p>
      <w:pPr>
        <w:pStyle w:val="15"/>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5"/>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5"/>
        <w:jc w:val="center"/>
        <w:rPr>
          <w:rFonts w:ascii="Times New Roman" w:eastAsia="方正小标宋简体" w:cs="Times New Roman" w:hAnsi="Times New Roman" w:hint="eastAsia"/>
          <w:color w:val="auto"/>
          <w:kern w:val="2"/>
          <w:sz w:val="44"/>
          <w:szCs w:val="44"/>
          <w:lang w:val="en-US" w:eastAsia="zh-CN" w:bidi="ar-SA"/>
          <w:highlight w:val="auto"/>
        </w:rPr>
      </w:pPr>
    </w:p>
    <w:p>
      <w:pPr>
        <w:pStyle w:val="15"/>
        <w:jc w:val="center"/>
        <w:rPr>
          <w:rFonts w:ascii="Times New Roman" w:eastAsia="方正小标宋简体" w:cs="Times New Roman" w:hAnsi="Times New Roman" w:hint="eastAsia"/>
          <w:color w:val="auto"/>
          <w:kern w:val="2"/>
          <w:sz w:val="44"/>
          <w:szCs w:val="44"/>
          <w:lang w:val="en-US" w:eastAsia="zh-CN" w:bidi="ar-SA"/>
          <w:highlight w:val="auto"/>
        </w:rPr>
      </w:pPr>
      <w:bookmarkStart w:id="6" w:name="_Toc15378442"/>
      <w:bookmarkStart w:id="7" w:name="_Toc15396476"/>
      <w:bookmarkStart w:id="8" w:name="_Toc15396598"/>
      <w:bookmarkStart w:id="9" w:name="_Toc15377194"/>
      <w:bookmarkStart w:id="10" w:name="_Toc15377426"/>
      <w:bookmarkEnd w:id="0"/>
      <w:bookmarkEnd w:id="1"/>
      <w:bookmarkEnd w:id="2"/>
      <w:bookmarkEnd w:id="3"/>
      <w:bookmarkEnd w:id="4"/>
      <w:r>
        <w:rPr>
          <w:rFonts w:ascii="Times New Roman" w:eastAsia="方正小标宋简体" w:cs="Times New Roman" w:hAnsi="Times New Roman" w:hint="eastAsia"/>
          <w:color w:val="auto"/>
          <w:kern w:val="2"/>
          <w:sz w:val="44"/>
          <w:szCs w:val="44"/>
          <w:lang w:val="en-US" w:eastAsia="zh-CN" w:bidi="ar-SA"/>
          <w:highlight w:val="auto"/>
        </w:rPr>
        <w:t>2024年度四川省</w:t>
      </w:r>
      <w:bookmarkStart w:id="11" w:name="_Toc15306268"/>
      <w:bookmarkEnd w:id="5"/>
      <w:r>
        <w:rPr>
          <w:rFonts w:ascii="Times New Roman" w:eastAsia="方正小标宋简体" w:cs="Times New Roman" w:hAnsi="Times New Roman" w:hint="eastAsia"/>
          <w:color w:val="auto"/>
          <w:kern w:val="2"/>
          <w:sz w:val="44"/>
          <w:szCs w:val="44"/>
          <w:lang w:val="en-US" w:eastAsia="zh-CN" w:bidi="ar-SA"/>
          <w:highlight w:val="auto"/>
        </w:rPr>
        <w:t>攀枝花市中心医院</w:t>
      </w:r>
    </w:p>
    <w:p>
      <w:pPr>
        <w:pStyle w:val="15"/>
        <w:jc w:val="center"/>
        <w:rPr>
          <w:rFonts w:ascii="Times New Roman" w:eastAsia="方正小标宋简体" w:cs="Times New Roman" w:hAnsi="Times New Roman"/>
          <w:color w:val="auto"/>
          <w:kern w:val="2"/>
          <w:sz w:val="44"/>
          <w:szCs w:val="44"/>
          <w:lang w:val="en-US" w:eastAsia="zh-CN" w:bidi="ar-SA"/>
          <w:highlight w:val="auto"/>
        </w:rPr>
      </w:pPr>
      <w:r>
        <w:rPr>
          <w:rFonts w:ascii="Times New Roman" w:eastAsia="方正小标宋简体" w:cs="Times New Roman" w:hAnsi="Times New Roman" w:hint="eastAsia"/>
          <w:color w:val="auto"/>
          <w:kern w:val="2"/>
          <w:sz w:val="44"/>
          <w:szCs w:val="44"/>
          <w:lang w:val="en-US" w:eastAsia="zh-CN" w:bidi="ar-SA"/>
          <w:highlight w:val="auto"/>
        </w:rPr>
        <w:t>单位决算</w:t>
      </w:r>
      <w:bookmarkEnd w:id="6"/>
      <w:bookmarkEnd w:id="7"/>
      <w:bookmarkEnd w:id="8"/>
      <w:bookmarkEnd w:id="9"/>
      <w:bookmarkEnd w:id="10"/>
      <w:bookmarkEnd w:id="11"/>
      <w:r>
        <w:rPr>
          <w:rFonts w:ascii="Times New Roman" w:eastAsia="方正小标宋简体" w:cs="Times New Roman" w:hAnsi="Times New Roman" w:hint="eastAsia"/>
          <w:color w:val="auto"/>
          <w:kern w:val="2"/>
          <w:sz w:val="44"/>
          <w:szCs w:val="44"/>
          <w:lang w:val="en-US" w:eastAsia="zh-CN" w:bidi="ar-SA"/>
          <w:highlight w:val="auto"/>
        </w:rPr>
        <w:t>公开文字说明</w:t>
      </w:r>
    </w:p>
    <w:p>
      <w:pPr>
        <w:widowControl/>
        <w:jc w:val="center"/>
        <w:rPr>
          <w:rFonts w:ascii="Times New Roman" w:eastAsia="黑体" w:hAnsi="Times New Roman"/>
          <w:color w:val="auto"/>
          <w:sz w:val="48"/>
          <w:szCs w:val="48"/>
          <w:highlight w:val="auto"/>
        </w:rPr>
      </w:pPr>
      <w:r>
        <w:rPr>
          <w:rFonts w:ascii="Times New Roman" w:eastAsia="方正小标宋简体" w:hAnsi="Times New Roman"/>
          <w:color w:val="auto"/>
          <w:sz w:val="36"/>
          <w:szCs w:val="36"/>
          <w:highlight w:val="auto"/>
        </w:rPr>
        <w:br w:type="page"/>
      </w:r>
      <w:r>
        <w:rPr>
          <w:rFonts w:ascii="Times New Roman" w:eastAsia="黑体" w:hAnsi="Times New Roman" w:hint="eastAsia"/>
          <w:color w:val="auto"/>
          <w:sz w:val="48"/>
          <w:szCs w:val="48"/>
          <w:highlight w:val="auto"/>
        </w:rPr>
        <w:t>目录</w:t>
      </w:r>
    </w:p>
    <w:p>
      <w:pPr>
        <w:widowControl/>
        <w:jc w:val="center"/>
        <w:rPr>
          <w:rFonts w:ascii="Times New Roman" w:eastAsia="黑体" w:cs="Arial" w:hAnsi="Times New Roman"/>
          <w:color w:val="auto"/>
          <w:sz w:val="28"/>
          <w:szCs w:val="28"/>
          <w:highlight w:val="auto"/>
        </w:rPr>
      </w:pPr>
    </w:p>
    <w:p>
      <w:pPr>
        <w:pStyle w:val="22"/>
        <w:tabs>
          <w:tab w:val="right" w:leader="dot" w:pos="8296"/>
        </w:tabs>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公开时间：20</w:t>
      </w:r>
      <w:r>
        <w:rPr>
          <w:rFonts w:ascii="Times New Roman" w:eastAsia="仿宋_GB2312" w:cs="仿宋_GB2312" w:hAnsi="Times New Roman" w:hint="eastAsia"/>
          <w:color w:val="auto"/>
          <w:sz w:val="32"/>
          <w:szCs w:val="32"/>
          <w:lang w:val="en-US" w:eastAsia="zh-CN"/>
          <w:highlight w:val="auto"/>
        </w:rPr>
        <w:t>25</w:t>
      </w:r>
      <w:r>
        <w:rPr>
          <w:rFonts w:ascii="Times New Roman" w:eastAsia="仿宋_GB2312" w:cs="仿宋_GB2312" w:hAnsi="Times New Roman" w:hint="eastAsia"/>
          <w:color w:val="auto"/>
          <w:sz w:val="32"/>
          <w:szCs w:val="32"/>
          <w:highlight w:val="auto"/>
        </w:rPr>
        <w:t>年</w:t>
      </w:r>
      <w:r>
        <w:rPr>
          <w:rFonts w:ascii="Times New Roman" w:eastAsia="仿宋_GB2312" w:cs="仿宋_GB2312" w:hAnsi="Times New Roman" w:hint="eastAsia"/>
          <w:color w:val="auto"/>
          <w:sz w:val="32"/>
          <w:szCs w:val="32"/>
          <w:lang w:val="en-US" w:eastAsia="zh-CN"/>
          <w:highlight w:val="auto"/>
        </w:rPr>
        <w:t xml:space="preserve"> 9 </w:t>
      </w:r>
      <w:r>
        <w:rPr>
          <w:rFonts w:ascii="Times New Roman" w:eastAsia="仿宋_GB2312" w:cs="仿宋_GB2312" w:hAnsi="Times New Roman" w:hint="eastAsia"/>
          <w:color w:val="auto"/>
          <w:sz w:val="32"/>
          <w:szCs w:val="32"/>
          <w:highlight w:val="auto"/>
        </w:rPr>
        <w:t>月</w:t>
      </w:r>
      <w:r>
        <w:rPr>
          <w:rFonts w:ascii="Times New Roman" w:eastAsia="仿宋_GB2312" w:cs="仿宋_GB2312" w:hAnsi="Times New Roman" w:hint="eastAsia"/>
          <w:color w:val="auto"/>
          <w:sz w:val="32"/>
          <w:szCs w:val="32"/>
          <w:lang w:val="en-US" w:eastAsia="zh-CN"/>
          <w:highlight w:val="auto"/>
        </w:rPr>
        <w:t>1</w:t>
      </w:r>
      <w:r>
        <w:rPr>
          <w:rFonts w:ascii="Times New Roman" w:eastAsia="仿宋_GB2312" w:cs="仿宋_GB2312" w:hAnsi="Times New Roman"/>
          <w:color w:val="auto"/>
          <w:sz w:val="32"/>
          <w:szCs w:val="32"/>
          <w:lang w:val="en-US" w:eastAsia="zh-CN"/>
          <w:highlight w:val="auto"/>
        </w:rPr>
        <w:t>1</w:t>
      </w:r>
      <w:bookmarkStart w:id="12" w:name="_GoBack"/>
      <w:bookmarkEnd w:id="12"/>
      <w:r>
        <w:rPr>
          <w:rFonts w:ascii="Times New Roman" w:eastAsia="仿宋_GB2312" w:cs="仿宋_GB2312" w:hAnsi="Times New Roman" w:hint="eastAsia"/>
          <w:color w:val="auto"/>
          <w:sz w:val="32"/>
          <w:szCs w:val="32"/>
          <w:highlight w:val="auto"/>
        </w:rPr>
        <w:t>日</w:t>
      </w:r>
    </w:p>
    <w:p>
      <w:pPr>
        <w:rPr>
          <w:rFonts w:ascii="Times New Roman" w:hAnsi="Times New Roman"/>
          <w:color w:val="auto"/>
          <w:highlight w:val="auto"/>
        </w:rPr>
      </w:pPr>
    </w:p>
    <w:p>
      <w:pPr>
        <w:pStyle w:val="22"/>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before="0" w:line="560" w:lineRule="exact"/>
        <w:ind w:rightChars="155" w:right="326"/>
        <w:jc w:val="left"/>
        <w:textAlignment w:val="auto"/>
        <w:outlineLvl w:val="0"/>
        <w:rPr>
          <w:rFonts w:ascii="Times New Roman" w:eastAsia="黑体" w:cs="黑体" w:hAnsi="Times New Roman" w:hint="eastAsia"/>
          <w:color w:val="auto"/>
          <w:sz w:val="32"/>
          <w:szCs w:val="32"/>
          <w:lang w:val="en-US" w:eastAsia="zh-CN"/>
          <w:highlight w:val="auto"/>
        </w:rPr>
      </w:pPr>
      <w:r>
        <w:rPr>
          <w:rFonts w:ascii="Times New Roman" w:eastAsia="黑体" w:cs="黑体" w:hAnsi="Times New Roman" w:hint="eastAsia"/>
          <w:color w:val="auto"/>
          <w:sz w:val="32"/>
          <w:szCs w:val="32"/>
          <w:highlight w:val="auto"/>
        </w:rPr>
        <w:t>第一部分 部门概</w:t>
      </w:r>
      <w:r>
        <w:rPr>
          <w:rFonts w:ascii="Times New Roman" w:eastAsia="黑体" w:cs="黑体" w:hAnsi="Times New Roman" w:hint="eastAsia"/>
          <w:color w:val="auto"/>
          <w:sz w:val="32"/>
          <w:szCs w:val="32"/>
          <w:lang w:val="en-US" w:eastAsia="zh-CN"/>
          <w:highlight w:val="auto"/>
        </w:rPr>
        <w:t>况</w:t>
        <w:tab/>
        <w:tab/>
        <w:t>4</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highlight w:val="auto"/>
        </w:rPr>
      </w:pPr>
      <w:r>
        <w:rPr>
          <w:rFonts w:ascii="Times New Roman" w:eastAsia="仿宋_GB2312" w:cs="仿宋_GB2312" w:hAnsi="Times New Roman" w:hint="eastAsia"/>
          <w:color w:val="auto"/>
          <w:sz w:val="32"/>
          <w:szCs w:val="32"/>
          <w:highlight w:val="auto"/>
        </w:rPr>
        <w:t>一、</w:t>
      </w:r>
      <w:r>
        <w:rPr>
          <w:rFonts w:ascii="Times New Roman" w:eastAsia="仿宋_GB2312" w:cs="仿宋_GB2312" w:hAnsi="Times New Roman" w:hint="eastAsia"/>
          <w:color w:val="auto"/>
          <w:sz w:val="32"/>
          <w:szCs w:val="32"/>
          <w:lang w:eastAsia="zh-CN"/>
          <w:highlight w:val="auto"/>
        </w:rPr>
        <w:t>部门职责</w:t>
      </w:r>
      <w:r>
        <w:rPr>
          <w:rFonts w:eastAsia="仿宋_GB2312" w:cs="仿宋_GB2312" w:hint="eastAsia"/>
          <w:color w:val="auto"/>
          <w:sz w:val="32"/>
          <w:szCs w:val="32"/>
          <w:lang w:val="en-US" w:eastAsia="zh-CN"/>
          <w:highlight w:val="auto"/>
        </w:rPr>
        <w:tab/>
        <w:tab/>
        <w:t>4</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二、机构设置</w:t>
      </w:r>
      <w:r>
        <w:rPr>
          <w:rFonts w:eastAsia="仿宋_GB2312" w:cs="仿宋_GB2312" w:hint="eastAsia"/>
          <w:color w:val="auto"/>
          <w:sz w:val="32"/>
          <w:szCs w:val="32"/>
          <w:lang w:val="en-US" w:eastAsia="zh-CN"/>
          <w:highlight w:val="auto"/>
        </w:rPr>
        <w:tab/>
        <w:tab/>
        <w:t>4</w:t>
      </w:r>
    </w:p>
    <w:p>
      <w:pPr>
        <w:pStyle w:val="22"/>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before="0" w:line="560" w:lineRule="exact"/>
        <w:ind w:rightChars="-44" w:right="-92"/>
        <w:jc w:val="left"/>
        <w:textAlignment w:val="auto"/>
        <w:outlineLvl w:val="0"/>
        <w:rPr>
          <w:rFonts w:ascii="Times New Roman" w:eastAsia="黑体" w:cs="黑体" w:hAnsi="Times New Roman" w:hint="eastAsia"/>
          <w:color w:val="auto"/>
          <w:sz w:val="32"/>
          <w:szCs w:val="32"/>
          <w:lang w:val="en-US" w:eastAsia="zh-CN"/>
          <w:highlight w:val="auto"/>
        </w:rPr>
      </w:pPr>
      <w:r>
        <w:rPr>
          <w:rFonts w:ascii="Times New Roman" w:eastAsia="黑体" w:cs="黑体" w:hAnsi="Times New Roman" w:hint="eastAsia"/>
          <w:color w:val="auto"/>
          <w:sz w:val="32"/>
          <w:szCs w:val="32"/>
          <w:highlight w:val="auto"/>
        </w:rPr>
        <w:t>第二部分</w:t>
      </w:r>
      <w:r>
        <w:rPr>
          <w:rFonts w:ascii="Times New Roman" w:eastAsia="黑体" w:cs="黑体" w:hAnsi="Times New Roman" w:hint="eastAsia"/>
          <w:color w:val="auto"/>
          <w:sz w:val="32"/>
          <w:szCs w:val="32"/>
          <w:lang w:val="en-US" w:eastAsia="zh-CN"/>
          <w:highlight w:val="auto"/>
        </w:rPr>
        <w:t xml:space="preserve"> 2024年度</w:t>
      </w:r>
      <w:r>
        <w:rPr>
          <w:rFonts w:ascii="Times New Roman" w:eastAsia="黑体" w:cs="黑体" w:hAnsi="Times New Roman" w:hint="eastAsia"/>
          <w:color w:val="auto"/>
          <w:sz w:val="32"/>
          <w:szCs w:val="32"/>
          <w:highlight w:val="auto"/>
        </w:rPr>
        <w:t>部门决算情况说明</w:t>
      </w:r>
      <w:r>
        <w:rPr>
          <w:rFonts w:ascii="Times New Roman" w:eastAsia="黑体" w:cs="黑体" w:hAnsi="Times New Roman" w:hint="eastAsia"/>
          <w:color w:val="auto"/>
          <w:sz w:val="32"/>
          <w:szCs w:val="32"/>
          <w:lang w:val="en-US" w:eastAsia="zh-CN"/>
          <w:highlight w:val="auto"/>
        </w:rPr>
        <w:tab/>
        <w:tab/>
        <w:t>5</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一、收入支出决算总体情况说明</w:t>
      </w:r>
      <w:r>
        <w:rPr>
          <w:rFonts w:eastAsia="仿宋_GB2312" w:cs="仿宋_GB2312" w:hint="eastAsia"/>
          <w:color w:val="auto"/>
          <w:sz w:val="32"/>
          <w:szCs w:val="32"/>
          <w:lang w:val="en-US" w:eastAsia="zh-CN"/>
          <w:highlight w:val="auto"/>
        </w:rPr>
        <w:tab/>
        <w:tab/>
        <w:t>5</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二、收入决算情况说明</w:t>
      </w:r>
      <w:r>
        <w:rPr>
          <w:rFonts w:eastAsia="仿宋_GB2312" w:cs="仿宋_GB2312" w:hint="eastAsia"/>
          <w:color w:val="auto"/>
          <w:sz w:val="32"/>
          <w:szCs w:val="32"/>
          <w:lang w:val="en-US" w:eastAsia="zh-CN"/>
          <w:highlight w:val="auto"/>
        </w:rPr>
        <w:tab/>
        <w:tab/>
        <w:t>5</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三、支出决算情况说明</w:t>
      </w:r>
      <w:r>
        <w:rPr>
          <w:rFonts w:eastAsia="仿宋_GB2312" w:cs="仿宋_GB2312" w:hint="eastAsia"/>
          <w:color w:val="auto"/>
          <w:sz w:val="32"/>
          <w:szCs w:val="32"/>
          <w:lang w:val="en-US" w:eastAsia="zh-CN"/>
          <w:highlight w:val="auto"/>
        </w:rPr>
        <w:tab/>
        <w:tab/>
        <w:t>6</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四、财政拨款收入支出决算总体情况说明</w:t>
      </w:r>
      <w:r>
        <w:rPr>
          <w:rFonts w:eastAsia="仿宋_GB2312" w:cs="仿宋_GB2312" w:hint="eastAsia"/>
          <w:color w:val="auto"/>
          <w:sz w:val="32"/>
          <w:szCs w:val="32"/>
          <w:lang w:val="en-US" w:eastAsia="zh-CN"/>
          <w:highlight w:val="auto"/>
        </w:rPr>
        <w:tab/>
        <w:tab/>
        <w:t>6</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五、一般公共预算财政拨款支出决算情况说明</w:t>
      </w:r>
      <w:r>
        <w:rPr>
          <w:rFonts w:eastAsia="仿宋_GB2312" w:cs="仿宋_GB2312" w:hint="eastAsia"/>
          <w:color w:val="auto"/>
          <w:sz w:val="32"/>
          <w:szCs w:val="32"/>
          <w:lang w:val="en-US" w:eastAsia="zh-CN"/>
          <w:highlight w:val="auto"/>
        </w:rPr>
        <w:tab/>
        <w:t>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六、一般公共预算财政拨款基本支出决算情况说明</w:t>
      </w:r>
      <w:r>
        <w:rPr>
          <w:rFonts w:eastAsia="仿宋_GB2312" w:cs="仿宋_GB2312" w:hint="eastAsia"/>
          <w:color w:val="auto"/>
          <w:sz w:val="32"/>
          <w:szCs w:val="32"/>
          <w:lang w:val="en-US" w:eastAsia="zh-CN"/>
          <w:highlight w:val="auto"/>
        </w:rPr>
        <w:tab/>
        <w:t>10</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七、财政拨款</w:t>
      </w:r>
      <w:r>
        <w:rPr>
          <w:rFonts w:ascii="Times New Roman" w:eastAsia="仿宋_GB2312" w:cs="仿宋_GB2312" w:hAnsi="Times New Roman" w:hint="eastAsia"/>
          <w:color w:val="auto"/>
          <w:sz w:val="32"/>
          <w:szCs w:val="32"/>
          <w:lang w:eastAsia="zh-CN"/>
          <w:highlight w:val="auto"/>
        </w:rPr>
        <w:t>“</w:t>
      </w:r>
      <w:r>
        <w:rPr>
          <w:rFonts w:ascii="Times New Roman" w:eastAsia="仿宋_GB2312" w:cs="仿宋_GB2312" w:hAnsi="Times New Roman" w:hint="eastAsia"/>
          <w:color w:val="auto"/>
          <w:sz w:val="32"/>
          <w:szCs w:val="32"/>
          <w:highlight w:val="auto"/>
        </w:rPr>
        <w:t>三公”经费支出决算情况说明</w:t>
      </w:r>
      <w:r>
        <w:rPr>
          <w:rFonts w:eastAsia="仿宋_GB2312" w:cs="仿宋_GB2312" w:hint="eastAsia"/>
          <w:color w:val="auto"/>
          <w:sz w:val="32"/>
          <w:szCs w:val="32"/>
          <w:lang w:val="en-US" w:eastAsia="zh-CN"/>
          <w:highlight w:val="auto"/>
        </w:rPr>
        <w:tab/>
        <w:t>10</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八、政府性基金预算支出决算情况说明</w:t>
      </w:r>
      <w:r>
        <w:rPr>
          <w:rFonts w:eastAsia="仿宋_GB2312" w:cs="仿宋_GB2312" w:hint="eastAsia"/>
          <w:color w:val="auto"/>
          <w:sz w:val="32"/>
          <w:szCs w:val="32"/>
          <w:lang w:val="en-US" w:eastAsia="zh-CN"/>
          <w:highlight w:val="auto"/>
        </w:rPr>
        <w:tab/>
        <w:tab/>
        <w:t>11</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九、</w:t>
      </w:r>
      <w:r>
        <w:rPr>
          <w:rFonts w:ascii="Times New Roman" w:eastAsia="仿宋_GB2312" w:cs="仿宋_GB2312" w:hAnsi="Times New Roman" w:hint="eastAsia"/>
          <w:color w:val="auto"/>
          <w:sz w:val="32"/>
          <w:szCs w:val="32"/>
          <w:lang w:eastAsia="zh-CN"/>
          <w:highlight w:val="auto"/>
        </w:rPr>
        <w:t>国</w:t>
      </w:r>
      <w:r>
        <w:rPr>
          <w:rFonts w:ascii="Times New Roman" w:eastAsia="仿宋_GB2312" w:cs="仿宋_GB2312" w:hAnsi="Times New Roman" w:hint="eastAsia"/>
          <w:color w:val="auto"/>
          <w:sz w:val="32"/>
          <w:szCs w:val="32"/>
          <w:highlight w:val="auto"/>
        </w:rPr>
        <w:t>有资本经营预算支出决算情况说明</w:t>
      </w:r>
      <w:r>
        <w:rPr>
          <w:rFonts w:eastAsia="仿宋_GB2312" w:cs="仿宋_GB2312" w:hint="eastAsia"/>
          <w:color w:val="auto"/>
          <w:sz w:val="32"/>
          <w:szCs w:val="32"/>
          <w:lang w:val="en-US" w:eastAsia="zh-CN"/>
          <w:highlight w:val="auto"/>
        </w:rPr>
        <w:tab/>
        <w:tab/>
        <w:t>11</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lang w:eastAsia="zh-CN"/>
          <w:highlight w:val="auto"/>
        </w:rPr>
        <w:t>十</w:t>
      </w:r>
      <w:r>
        <w:rPr>
          <w:rFonts w:ascii="Times New Roman" w:eastAsia="仿宋_GB2312" w:cs="仿宋_GB2312" w:hAnsi="Times New Roman" w:hint="eastAsia"/>
          <w:color w:val="auto"/>
          <w:sz w:val="32"/>
          <w:szCs w:val="32"/>
          <w:highlight w:val="auto"/>
        </w:rPr>
        <w:t>、其他重要事项的情况说明</w:t>
      </w:r>
      <w:r>
        <w:rPr>
          <w:rFonts w:eastAsia="仿宋_GB2312" w:cs="仿宋_GB2312" w:hint="eastAsia"/>
          <w:color w:val="auto"/>
          <w:sz w:val="32"/>
          <w:szCs w:val="32"/>
          <w:lang w:val="en-US" w:eastAsia="zh-CN"/>
          <w:highlight w:val="auto"/>
        </w:rPr>
        <w:tab/>
        <w:tab/>
        <w:t>11</w:t>
      </w:r>
    </w:p>
    <w:p>
      <w:pPr>
        <w:pStyle w:val="22"/>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before="0" w:line="560" w:lineRule="exact"/>
        <w:ind w:rightChars="-44" w:right="-92"/>
        <w:jc w:val="left"/>
        <w:textAlignment w:val="auto"/>
        <w:outlineLvl w:val="0"/>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第三部分 名词解释</w:t>
      </w:r>
      <w:r>
        <w:rPr>
          <w:rFonts w:ascii="Times New Roman" w:eastAsia="黑体" w:cs="黑体" w:hAnsi="Times New Roman" w:hint="eastAsia"/>
          <w:color w:val="auto"/>
          <w:sz w:val="32"/>
          <w:szCs w:val="32"/>
          <w:lang w:val="en-US" w:eastAsia="zh-CN"/>
          <w:highlight w:val="auto"/>
        </w:rPr>
        <w:tab/>
        <w:tab/>
        <w:t>13</w:t>
      </w:r>
    </w:p>
    <w:p>
      <w:pPr>
        <w:pStyle w:val="22"/>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before="0" w:line="560" w:lineRule="exact"/>
        <w:ind w:rightChars="-44" w:right="-92"/>
        <w:jc w:val="left"/>
        <w:textAlignment w:val="auto"/>
        <w:outlineLvl w:val="0"/>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第四部分 附件</w:t>
      </w:r>
      <w:r>
        <w:rPr>
          <w:rFonts w:ascii="Times New Roman" w:eastAsia="黑体" w:cs="黑体" w:hAnsi="Times New Roman" w:hint="eastAsia"/>
          <w:color w:val="auto"/>
          <w:sz w:val="32"/>
          <w:szCs w:val="32"/>
          <w:lang w:val="en-US" w:eastAsia="zh-CN"/>
          <w:highlight w:val="auto"/>
        </w:rPr>
        <w:tab/>
        <w:tab/>
        <w:t>16</w:t>
      </w:r>
    </w:p>
    <w:p>
      <w:pPr>
        <w:pStyle w:val="22"/>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before="0" w:line="560" w:lineRule="exact"/>
        <w:ind w:rightChars="-44" w:right="-92"/>
        <w:jc w:val="left"/>
        <w:textAlignment w:val="auto"/>
        <w:outlineLvl w:val="0"/>
        <w:rPr>
          <w:rFonts w:ascii="Times New Roman" w:eastAsia="黑体" w:cs="黑体" w:hAnsi="Times New Roman"/>
          <w:color w:val="auto"/>
          <w:sz w:val="32"/>
          <w:szCs w:val="32"/>
          <w:lang w:val="en-US" w:eastAsia="zh-CN"/>
          <w:highlight w:val="auto"/>
        </w:rPr>
      </w:pPr>
      <w:r>
        <w:rPr>
          <w:rFonts w:ascii="Times New Roman" w:eastAsia="黑体" w:cs="黑体" w:hAnsi="Times New Roman" w:hint="eastAsia"/>
          <w:color w:val="auto"/>
          <w:sz w:val="32"/>
          <w:szCs w:val="32"/>
          <w:highlight w:val="auto"/>
        </w:rPr>
        <w:t>第五部分 附表</w:t>
      </w:r>
      <w:r>
        <w:rPr>
          <w:rFonts w:ascii="Times New Roman" w:eastAsia="黑体" w:cs="黑体" w:hAnsi="Times New Roman"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一、收入支出决算总表</w:t>
      </w:r>
      <w:r>
        <w:rPr>
          <w:rFonts w:eastAsia="仿宋_GB2312" w:cs="仿宋_GB2312"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二、收入决算表</w:t>
      </w:r>
      <w:r>
        <w:rPr>
          <w:rFonts w:eastAsia="仿宋_GB2312" w:cs="仿宋_GB2312"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三、支出决算表</w:t>
      </w:r>
      <w:r>
        <w:rPr>
          <w:rFonts w:eastAsia="仿宋_GB2312" w:cs="仿宋_GB2312"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四、财政拨款收入支出决算总表</w:t>
      </w:r>
      <w:r>
        <w:rPr>
          <w:rFonts w:eastAsia="仿宋_GB2312" w:cs="仿宋_GB2312"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五、财政拨款支出决算明细表</w:t>
      </w:r>
      <w:r>
        <w:rPr>
          <w:rFonts w:eastAsia="仿宋_GB2312" w:cs="仿宋_GB2312"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六、一般公共预算财政拨款支出决算表</w:t>
      </w:r>
      <w:r>
        <w:rPr>
          <w:rFonts w:eastAsia="仿宋_GB2312" w:cs="仿宋_GB2312" w:hint="eastAsia"/>
          <w:color w:val="auto"/>
          <w:sz w:val="32"/>
          <w:szCs w:val="32"/>
          <w:lang w:val="en-US" w:eastAsia="zh-CN"/>
          <w:highlight w:val="auto"/>
        </w:rPr>
        <w:tab/>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七、一般公共预算财政拨款支出决算明细表</w:t>
      </w:r>
      <w:r>
        <w:rPr>
          <w:rFonts w:eastAsia="仿宋_GB2312" w:cs="仿宋_GB2312" w:hint="eastAsia"/>
          <w:color w:val="auto"/>
          <w:sz w:val="32"/>
          <w:szCs w:val="32"/>
          <w:lang w:val="en-US" w:eastAsia="zh-CN"/>
          <w:highlight w:val="auto"/>
        </w:rPr>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八、一般公共预算财政拨款基本支出决算</w:t>
      </w:r>
      <w:r>
        <w:rPr>
          <w:rFonts w:ascii="Times New Roman" w:eastAsia="仿宋_GB2312" w:cs="仿宋_GB2312" w:hAnsi="Times New Roman" w:hint="eastAsia"/>
          <w:color w:val="auto"/>
          <w:sz w:val="32"/>
          <w:szCs w:val="32"/>
          <w:lang w:eastAsia="zh-CN"/>
          <w:highlight w:val="auto"/>
        </w:rPr>
        <w:t>明细</w:t>
      </w:r>
      <w:r>
        <w:rPr>
          <w:rFonts w:ascii="Times New Roman" w:eastAsia="仿宋_GB2312" w:cs="仿宋_GB2312" w:hAnsi="Times New Roman" w:hint="eastAsia"/>
          <w:color w:val="auto"/>
          <w:sz w:val="32"/>
          <w:szCs w:val="32"/>
          <w:highlight w:val="auto"/>
        </w:rPr>
        <w:t>表</w:t>
      </w:r>
      <w:r>
        <w:rPr>
          <w:rFonts w:eastAsia="仿宋_GB2312" w:cs="仿宋_GB2312" w:hint="eastAsia"/>
          <w:color w:val="auto"/>
          <w:sz w:val="32"/>
          <w:szCs w:val="32"/>
          <w:lang w:val="en-US" w:eastAsia="zh-CN"/>
          <w:highlight w:val="auto"/>
        </w:rPr>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九、一般公共预算财政拨款项目支出决算表</w:t>
      </w:r>
      <w:r>
        <w:rPr>
          <w:rFonts w:eastAsia="仿宋_GB2312" w:cs="仿宋_GB2312" w:hint="eastAsia"/>
          <w:color w:val="auto"/>
          <w:sz w:val="32"/>
          <w:szCs w:val="32"/>
          <w:lang w:val="en-US" w:eastAsia="zh-CN"/>
          <w:highlight w:val="auto"/>
        </w:rPr>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十、政府性基金预算财政拨款收入支出决算表</w:t>
      </w:r>
      <w:r>
        <w:rPr>
          <w:rFonts w:eastAsia="仿宋_GB2312" w:cs="仿宋_GB2312" w:hint="eastAsia"/>
          <w:color w:val="auto"/>
          <w:sz w:val="32"/>
          <w:szCs w:val="32"/>
          <w:lang w:val="en-US" w:eastAsia="zh-CN"/>
          <w:highlight w:val="auto"/>
        </w:rPr>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eastAsia="zh-CN"/>
          <w:highlight w:val="auto"/>
        </w:rPr>
      </w:pPr>
      <w:r>
        <w:rPr>
          <w:rFonts w:ascii="Times New Roman" w:eastAsia="仿宋_GB2312" w:cs="仿宋_GB2312" w:hAnsi="Times New Roman" w:hint="eastAsia"/>
          <w:color w:val="auto"/>
          <w:sz w:val="32"/>
          <w:szCs w:val="32"/>
          <w:highlight w:val="auto"/>
        </w:rPr>
        <w:t>十一、国有资本经营预算财政拨款收入支出决算表</w:t>
      </w:r>
      <w:r>
        <w:rPr>
          <w:rFonts w:eastAsia="仿宋_GB2312" w:cs="仿宋_GB2312" w:hint="eastAsia"/>
          <w:color w:val="auto"/>
          <w:sz w:val="32"/>
          <w:szCs w:val="32"/>
          <w:lang w:val="en-US" w:eastAsia="zh-CN"/>
          <w:highlight w:val="auto"/>
        </w:rPr>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color w:val="auto"/>
          <w:sz w:val="32"/>
          <w:szCs w:val="32"/>
          <w:lang w:val="en-US"/>
          <w:highlight w:val="auto"/>
        </w:rPr>
      </w:pPr>
      <w:r>
        <w:rPr>
          <w:rFonts w:ascii="Times New Roman" w:eastAsia="仿宋_GB2312" w:cs="仿宋_GB2312" w:hAnsi="Times New Roman" w:hint="eastAsia"/>
          <w:color w:val="auto"/>
          <w:sz w:val="32"/>
          <w:szCs w:val="32"/>
          <w:highlight w:val="auto"/>
        </w:rPr>
        <w:t>十二、</w:t>
      </w:r>
      <w:r>
        <w:rPr>
          <w:rFonts w:ascii="Times New Roman" w:eastAsia="仿宋_GB2312" w:cs="仿宋_GB2312" w:hAnsi="Times New Roman" w:hint="eastAsia"/>
          <w:color w:val="auto"/>
          <w:sz w:val="32"/>
          <w:szCs w:val="32"/>
          <w:lang w:val="en-US" w:eastAsia="zh-CN"/>
          <w:highlight w:val="auto"/>
        </w:rPr>
        <w:t>国有资本经营预算财政拨款支出决算表</w:t>
      </w:r>
      <w:r>
        <w:rPr>
          <w:rFonts w:eastAsia="仿宋_GB2312" w:cs="仿宋_GB2312" w:hint="eastAsia"/>
          <w:color w:val="auto"/>
          <w:sz w:val="32"/>
          <w:szCs w:val="32"/>
          <w:lang w:val="en-US" w:eastAsia="zh-CN"/>
          <w:highlight w:val="auto"/>
        </w:rPr>
        <w:tab/>
        <w:t>17</w:t>
      </w:r>
    </w:p>
    <w:p>
      <w:pPr>
        <w:pStyle w:val="24"/>
        <w:keepNext w:val="0"/>
        <w:keepLines w:val="0"/>
        <w:pageBreakBefore w:val="0"/>
        <w:widowControl w:val="0"/>
        <w:tabs>
          <w:tab w:val="clear" w:pos="8296"/>
          <w:tab w:val="left" w:leader="dot" w:pos="6720"/>
          <w:tab w:val="left" w:leader="dot" w:pos="7980"/>
        </w:tabs>
        <w:kinsoku/>
        <w:wordWrap/>
        <w:overflowPunct/>
        <w:topLinePunct w:val="0"/>
        <w:autoSpaceDE/>
        <w:autoSpaceDN/>
        <w:bidi w:val="0"/>
        <w:adjustRightInd w:val="0"/>
        <w:snapToGrid w:val="0"/>
        <w:spacing w:line="560" w:lineRule="exact"/>
        <w:ind w:leftChars="0" w:left="0" w:rightChars="-44" w:right="-92" w:firstLineChars="200" w:firstLine="640"/>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十三、财政拨款“三公”经费支出决算表</w:t>
      </w:r>
      <w:r>
        <w:rPr>
          <w:rFonts w:eastAsia="仿宋_GB2312" w:cs="仿宋_GB2312" w:hint="eastAsia"/>
          <w:color w:val="auto"/>
          <w:sz w:val="32"/>
          <w:szCs w:val="32"/>
          <w:lang w:val="en-US" w:eastAsia="zh-CN"/>
          <w:highlight w:val="auto"/>
        </w:rPr>
        <w:tab/>
        <w:tab/>
        <w:t>17</w:t>
      </w:r>
    </w:p>
    <w:p>
      <w:pPr>
        <w:pStyle w:val="1"/>
        <w:keepNext/>
        <w:keepLines/>
        <w:pageBreakBefore w:val="0"/>
        <w:widowControl w:val="0"/>
        <w:tabs>
          <w:tab w:val="left" w:leader="dot" w:pos="6720"/>
          <w:tab w:val="left" w:leader="dot" w:pos="7980"/>
        </w:tabs>
        <w:kinsoku/>
        <w:wordWrap/>
        <w:overflowPunct/>
        <w:topLinePunct w:val="0"/>
        <w:autoSpaceDE/>
        <w:autoSpaceDN/>
        <w:bidi w:val="0"/>
        <w:ind w:rightChars="-44" w:right="-92"/>
        <w:jc w:val="center"/>
        <w:textAlignment w:val="auto"/>
        <w:rPr>
          <w:rFonts w:ascii="Times New Roman" w:eastAsia="方正小标宋简体" w:cs="方正小标宋简体" w:hAnsi="Times New Roman"/>
          <w:b w:val="0"/>
          <w:color w:val="auto"/>
          <w:lang w:val="en-US" w:eastAsia="zh-CN"/>
          <w:highlight w:val="auto"/>
        </w:rPr>
        <w:sectPr>
          <w:headerReference w:type="default" r:id="rId2"/>
          <w:footerReference w:type="default" r:id="rId3"/>
          <w:footerReference w:type="first" r:id="rId4"/>
          <w:pgSz w:w="11906" w:h="16838"/>
          <w:pgMar w:top="1440" w:right="1800" w:bottom="1440" w:left="1800" w:header="851" w:footer="992" w:gutter="0"/>
          <w:pgNumType w:start="1"/>
          <w:titlePg/>
          <w:docGrid w:type="lines" w:linePitch="312" w:charSpace="0"/>
        </w:sectPr>
      </w:pPr>
      <w:bookmarkStart w:id="13" w:name="_Toc15396599"/>
      <w:bookmarkStart w:id="14" w:name="_Toc15377196"/>
    </w:p>
    <w:p>
      <w:pPr>
        <w:pStyle w:val="1"/>
        <w:jc w:val="center"/>
        <w:rPr>
          <w:rStyle w:val="1Char"/>
          <w:rFonts w:ascii="Times New Roman" w:eastAsia="方正小标宋简体" w:cs="方正小标宋简体" w:hAnsi="Times New Roman" w:hint="eastAsia"/>
          <w:b/>
          <w:bCs w:val="0"/>
          <w:color w:val="auto"/>
          <w:highlight w:val="auto"/>
        </w:rPr>
      </w:pPr>
      <w:r>
        <w:rPr>
          <w:rFonts w:ascii="Times New Roman" w:eastAsia="方正小标宋简体" w:cs="方正小标宋简体" w:hAnsi="Times New Roman" w:hint="eastAsia"/>
          <w:b w:val="0"/>
          <w:color w:val="auto"/>
          <w:highlight w:val="auto"/>
        </w:rPr>
        <w:t>第一部分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Style w:val="1Char"/>
          <w:rFonts w:eastAsia="方正小标宋简体" w:cs="方正小标宋简体" w:hint="eastAsia"/>
          <w:b w:val="0"/>
          <w:bCs w:val="0"/>
          <w:color w:val="auto"/>
          <w:lang w:val="en-US" w:eastAsia="zh-CN"/>
          <w:highlight w:val="auto"/>
        </w:rPr>
        <w:t>单位</w:t>
      </w:r>
      <w:r>
        <w:rPr>
          <w:rStyle w:val="1Char"/>
          <w:rFonts w:ascii="Times New Roman" w:eastAsia="方正小标宋简体" w:cs="方正小标宋简体" w:hAnsi="Times New Roman" w:hint="eastAsia"/>
          <w:b w:val="0"/>
          <w:bCs w:val="0"/>
          <w:color w:val="auto"/>
          <w:highlight w:val="auto"/>
        </w:rPr>
        <w:t>概况</w:t>
      </w:r>
      <w:bookmarkEnd w:id="13"/>
      <w:bookmarkEnd w:id="14"/>
    </w:p>
    <w:p>
      <w:pPr>
        <w:widowControl/>
        <w:jc w:val="left"/>
        <w:rPr>
          <w:rFonts w:ascii="Times New Roman" w:eastAsia="黑体" w:hAnsi="Times New Roman"/>
          <w:color w:val="auto"/>
          <w:sz w:val="32"/>
          <w:szCs w:val="32"/>
          <w:highlight w:val="auto"/>
        </w:rPr>
      </w:pPr>
    </w:p>
    <w:p>
      <w:pPr>
        <w:pStyle w:val="2"/>
        <w:rPr>
          <w:rFonts w:ascii="Times New Roman" w:eastAsia="黑体" w:hAnsi="Times New Roman" w:hint="eastAsia"/>
          <w:b w:val="0"/>
          <w:color w:val="auto"/>
          <w:lang w:eastAsia="zh-CN"/>
          <w:highlight w:val="auto"/>
        </w:rPr>
      </w:pPr>
      <w:r>
        <w:rPr>
          <w:rFonts w:ascii="Times New Roman" w:eastAsia="黑体" w:cs="Times New Roman" w:hAnsi="Times New Roman" w:hint="eastAsia"/>
          <w:b w:val="0"/>
          <w:bCs/>
          <w:color w:val="auto"/>
          <w:kern w:val="2"/>
          <w:sz w:val="32"/>
          <w:szCs w:val="32"/>
          <w:lang w:val="en-US" w:eastAsia="zh-CN" w:bidi="ar-SA"/>
        </w:rPr>
        <w:t>一、</w:t>
      </w:r>
      <w:r>
        <w:rPr>
          <w:rFonts w:ascii="Times New Roman" w:eastAsia="黑体" w:hAnsi="Times New Roman" w:hint="eastAsia"/>
          <w:b w:val="0"/>
          <w:color w:val="auto"/>
          <w:lang w:eastAsia="zh-CN"/>
          <w:highlight w:val="auto"/>
        </w:rPr>
        <w:t>部门职责</w:t>
      </w:r>
    </w:p>
    <w:p>
      <w:pPr>
        <w:pStyle w:val="2"/>
        <w:ind w:left="0" w:firstLineChars="200" w:firstLine="640"/>
        <w:rPr>
          <w:rFonts w:hint="eastAsia"/>
          <w:lang w:eastAsia="zh-CN"/>
        </w:rPr>
      </w:pPr>
      <w:r>
        <w:rPr>
          <w:rFonts w:ascii="仿宋" w:eastAsia="仿宋" w:cs="仿宋" w:hint="eastAsia"/>
          <w:b w:val="0"/>
          <w:bCs w:val="0"/>
          <w:color w:val="000000"/>
          <w:sz w:val="32"/>
          <w:szCs w:val="32"/>
          <w:lang w:val="en-US" w:eastAsia="zh-CN"/>
        </w:rPr>
        <w:t>四川省</w:t>
      </w:r>
      <w:r>
        <w:rPr>
          <w:rFonts w:ascii="仿宋" w:eastAsia="仿宋" w:cs="仿宋" w:hint="eastAsia"/>
          <w:b w:val="0"/>
          <w:bCs w:val="0"/>
          <w:color w:val="000000"/>
          <w:sz w:val="32"/>
          <w:szCs w:val="32"/>
        </w:rPr>
        <w:t>攀枝花市中心医院</w:t>
      </w:r>
      <w:r>
        <w:rPr>
          <w:rFonts w:ascii="仿宋" w:eastAsia="仿宋" w:cs="仿宋" w:hint="eastAsia"/>
          <w:b w:val="0"/>
          <w:bCs w:val="0"/>
          <w:i w:val="0"/>
          <w:iCs w:val="0"/>
          <w:caps w:val="0"/>
          <w:smallCaps w:val="0"/>
          <w:color w:val="000000"/>
          <w:spacing w:val="0"/>
          <w:sz w:val="32"/>
          <w:szCs w:val="32"/>
          <w:shd w:val="clear" w:color="auto" w:fill="FFFFFF"/>
        </w:rPr>
        <w:t>始建于1965年</w:t>
      </w:r>
      <w:r>
        <w:rPr>
          <w:rFonts w:ascii="仿宋" w:eastAsia="仿宋" w:cs="仿宋" w:hint="eastAsia"/>
          <w:b w:val="0"/>
          <w:bCs w:val="0"/>
          <w:i w:val="0"/>
          <w:iCs w:val="0"/>
          <w:caps w:val="0"/>
          <w:smallCaps w:val="0"/>
          <w:color w:val="000000"/>
          <w:spacing w:val="0"/>
          <w:sz w:val="32"/>
          <w:szCs w:val="32"/>
          <w:shd w:val="clear" w:color="auto" w:fill="FFFFFF"/>
          <w:lang w:eastAsia="zh-CN"/>
        </w:rPr>
        <w:t>，</w:t>
      </w:r>
      <w:r>
        <w:rPr>
          <w:rFonts w:ascii="仿宋" w:eastAsia="仿宋" w:cs="仿宋" w:hint="eastAsia"/>
          <w:b w:val="0"/>
          <w:bCs w:val="0"/>
          <w:i w:val="0"/>
          <w:iCs w:val="0"/>
          <w:caps w:val="0"/>
          <w:smallCaps w:val="0"/>
          <w:color w:val="000000"/>
          <w:spacing w:val="0"/>
          <w:sz w:val="32"/>
          <w:szCs w:val="32"/>
          <w:shd w:val="clear" w:color="auto" w:fill="FFFFFF"/>
          <w:lang w:val="en-US" w:eastAsia="zh-CN"/>
        </w:rPr>
        <w:t>是</w:t>
      </w:r>
      <w:r>
        <w:rPr>
          <w:rFonts w:ascii="仿宋" w:eastAsia="仿宋" w:cs="仿宋" w:hint="eastAsia"/>
          <w:b w:val="0"/>
          <w:bCs w:val="0"/>
          <w:color w:val="000000"/>
          <w:sz w:val="32"/>
          <w:szCs w:val="32"/>
        </w:rPr>
        <w:t>一所</w:t>
      </w:r>
      <w:r>
        <w:rPr>
          <w:rFonts w:ascii="仿宋" w:eastAsia="仿宋" w:cs="仿宋" w:hint="eastAsia"/>
          <w:b w:val="0"/>
          <w:bCs w:val="0"/>
          <w:i w:val="0"/>
          <w:iCs w:val="0"/>
          <w:caps w:val="0"/>
          <w:smallCaps w:val="0"/>
          <w:color w:val="000000"/>
          <w:spacing w:val="0"/>
          <w:sz w:val="32"/>
          <w:szCs w:val="32"/>
          <w:shd w:val="clear" w:color="auto" w:fill="FFFFFF"/>
        </w:rPr>
        <w:t>集医疗、教学、科研、预防保健、健康管理、应急救援、母婴保健、红十字救助、医养结合、老年友善、互联网医院于一体的</w:t>
      </w:r>
      <w:r>
        <w:rPr>
          <w:rFonts w:ascii="仿宋" w:eastAsia="仿宋" w:cs="仿宋" w:hint="eastAsia"/>
          <w:b w:val="0"/>
          <w:bCs w:val="0"/>
          <w:color w:val="000000"/>
          <w:sz w:val="32"/>
          <w:szCs w:val="32"/>
        </w:rPr>
        <w:t>国家三级甲等</w:t>
      </w:r>
      <w:r>
        <w:rPr>
          <w:rFonts w:ascii="仿宋" w:eastAsia="仿宋" w:cs="仿宋" w:hint="eastAsia"/>
          <w:b w:val="0"/>
          <w:bCs w:val="0"/>
          <w:color w:val="000000"/>
          <w:sz w:val="32"/>
          <w:szCs w:val="32"/>
          <w:lang w:val="en-US" w:eastAsia="zh-CN"/>
        </w:rPr>
        <w:t>综合</w:t>
      </w:r>
      <w:r>
        <w:rPr>
          <w:rFonts w:ascii="仿宋" w:eastAsia="仿宋" w:cs="仿宋" w:hint="eastAsia"/>
          <w:b w:val="0"/>
          <w:bCs w:val="0"/>
          <w:color w:val="000000"/>
          <w:sz w:val="32"/>
          <w:szCs w:val="32"/>
        </w:rPr>
        <w:t>医院</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lang w:val="en-US" w:eastAsia="zh-CN"/>
        </w:rPr>
        <w:t>医院不仅</w:t>
      </w:r>
      <w:r>
        <w:rPr>
          <w:rFonts w:ascii="仿宋" w:eastAsia="仿宋" w:cs="仿宋" w:hint="eastAsia"/>
          <w:b w:val="0"/>
          <w:bCs w:val="0"/>
          <w:color w:val="000000"/>
          <w:sz w:val="32"/>
          <w:szCs w:val="32"/>
        </w:rPr>
        <w:t>为全市人民身体健康提供医疗与护理保健服务</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lang w:val="en-US" w:eastAsia="zh-CN"/>
        </w:rPr>
        <w:t>医疗服务还辐射至周边10余个县市；</w:t>
      </w:r>
      <w:r>
        <w:rPr>
          <w:rFonts w:ascii="仿宋" w:eastAsia="仿宋" w:cs="仿宋" w:hint="eastAsia"/>
          <w:b w:val="0"/>
          <w:bCs w:val="0"/>
          <w:color w:val="auto"/>
          <w:sz w:val="32"/>
          <w:szCs w:val="32"/>
        </w:rPr>
        <w:t>作为国家住院医师规范化培训基地</w:t>
      </w:r>
      <w:r>
        <w:rPr>
          <w:rFonts w:ascii="仿宋" w:eastAsia="仿宋" w:cs="仿宋" w:hint="eastAsia"/>
          <w:b w:val="0"/>
          <w:bCs w:val="0"/>
          <w:color w:val="auto"/>
          <w:sz w:val="32"/>
          <w:szCs w:val="32"/>
          <w:lang w:eastAsia="zh-CN"/>
        </w:rPr>
        <w:t>，</w:t>
      </w:r>
      <w:r>
        <w:rPr>
          <w:rFonts w:ascii="仿宋" w:eastAsia="仿宋" w:cs="仿宋" w:hint="eastAsia"/>
          <w:b w:val="0"/>
          <w:bCs w:val="0"/>
          <w:color w:val="auto"/>
          <w:sz w:val="32"/>
          <w:szCs w:val="32"/>
          <w:lang w:val="en-US" w:eastAsia="zh-CN"/>
        </w:rPr>
        <w:t>医院充分</w:t>
      </w:r>
      <w:r>
        <w:rPr>
          <w:rFonts w:ascii="仿宋" w:eastAsia="仿宋" w:cs="仿宋" w:hint="eastAsia"/>
          <w:b w:val="0"/>
          <w:bCs w:val="0"/>
          <w:color w:val="auto"/>
          <w:sz w:val="32"/>
          <w:szCs w:val="32"/>
        </w:rPr>
        <w:t>发挥科教研优势，为培养医学理论技能人才发挥引领作用</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lang w:val="en-US" w:eastAsia="zh-CN"/>
        </w:rPr>
        <w:t>医院还</w:t>
      </w:r>
      <w:r>
        <w:rPr>
          <w:rFonts w:ascii="仿宋" w:eastAsia="仿宋" w:cs="仿宋" w:hint="eastAsia"/>
          <w:b w:val="0"/>
          <w:bCs w:val="0"/>
          <w:color w:val="000000"/>
          <w:sz w:val="32"/>
          <w:szCs w:val="32"/>
        </w:rPr>
        <w:t>开展健康教育</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rPr>
        <w:t>承担预防保健</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rPr>
        <w:t>急危重症和疑难病症诊治</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rPr>
        <w:t>灾害事故的紧急救援</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rPr>
        <w:t>对下级医疗机构业务技术指导</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rPr>
        <w:t>“精准扶贫”</w:t>
      </w:r>
      <w:r>
        <w:rPr>
          <w:rFonts w:ascii="仿宋" w:eastAsia="仿宋" w:cs="仿宋" w:hint="eastAsia"/>
          <w:b w:val="0"/>
          <w:bCs w:val="0"/>
          <w:color w:val="000000"/>
          <w:sz w:val="32"/>
          <w:szCs w:val="32"/>
          <w:lang w:eastAsia="zh-CN"/>
        </w:rPr>
        <w:t>、</w:t>
      </w:r>
      <w:r>
        <w:rPr>
          <w:rFonts w:ascii="仿宋" w:eastAsia="仿宋" w:cs="仿宋" w:hint="eastAsia"/>
          <w:b w:val="0"/>
          <w:bCs w:val="0"/>
          <w:color w:val="000000"/>
          <w:sz w:val="32"/>
          <w:szCs w:val="32"/>
        </w:rPr>
        <w:t>对口医院支援</w:t>
      </w:r>
      <w:r>
        <w:rPr>
          <w:rFonts w:ascii="仿宋" w:eastAsia="仿宋" w:cs="仿宋" w:hint="eastAsia"/>
          <w:b w:val="0"/>
          <w:bCs w:val="0"/>
          <w:color w:val="000000"/>
          <w:sz w:val="32"/>
          <w:szCs w:val="32"/>
          <w:lang w:val="en-US" w:eastAsia="zh-CN"/>
        </w:rPr>
        <w:t>等工作。</w:t>
      </w:r>
    </w:p>
    <w:p>
      <w:pPr>
        <w:pStyle w:val="2"/>
        <w:rPr>
          <w:rStyle w:val="2Char"/>
          <w:rFonts w:ascii="Times New Roman" w:hAnsi="Times New Roman"/>
          <w:b w:val="0"/>
          <w:bCs w:val="0"/>
          <w:color w:val="auto"/>
          <w:highlight w:val="auto"/>
        </w:rPr>
      </w:pPr>
      <w:bookmarkStart w:id="15" w:name="_Toc15377200"/>
      <w:bookmarkStart w:id="16" w:name="_Toc15396601"/>
      <w:r>
        <w:rPr>
          <w:rFonts w:ascii="Times New Roman" w:eastAsia="黑体" w:hAnsi="Times New Roman" w:hint="eastAsia"/>
          <w:b w:val="0"/>
          <w:color w:val="auto"/>
          <w:highlight w:val="auto"/>
        </w:rPr>
        <w:t>二、机</w:t>
      </w:r>
      <w:r>
        <w:rPr>
          <w:rStyle w:val="2Char"/>
          <w:rFonts w:ascii="Times New Roman" w:eastAsia="黑体" w:hAnsi="Times New Roman" w:hint="eastAsia"/>
          <w:b w:val="0"/>
          <w:bCs w:val="0"/>
          <w:color w:val="auto"/>
          <w:highlight w:val="auto"/>
        </w:rPr>
        <w:t>构设置</w:t>
      </w:r>
      <w:bookmarkEnd w:id="15"/>
      <w:bookmarkEnd w:id="16"/>
    </w:p>
    <w:p>
      <w:pPr>
        <w:pStyle w:val="15"/>
        <w:adjustRightInd w:val="0"/>
        <w:snapToGrid w:val="0"/>
        <w:spacing w:beforeLines="0" w:before="93" w:line="600" w:lineRule="exact"/>
        <w:ind w:firstLineChars="200" w:firstLine="640"/>
        <w:rPr>
          <w:rFonts w:ascii="Times New Roman" w:eastAsia="仿宋_GB2312" w:cs="仿宋_GB2312" w:hAnsi="Times New Roman" w:hint="eastAsia"/>
          <w:color w:val="auto"/>
          <w:sz w:val="32"/>
          <w:szCs w:val="32"/>
          <w:lang w:eastAsia="zh-CN"/>
          <w:highlight w:val="auto"/>
        </w:rPr>
      </w:pPr>
      <w:r>
        <w:rPr>
          <w:rFonts w:ascii="仿宋_GB2312" w:eastAsia="仿宋_GB2312" w:cs="仿宋_GB2312" w:hint="eastAsia"/>
          <w:color w:val="auto"/>
          <w:sz w:val="32"/>
          <w:szCs w:val="32"/>
          <w:highlight w:val="auto"/>
        </w:rPr>
        <w:t>四川省攀枝花市中心医院</w:t>
      </w:r>
      <w:r>
        <w:rPr>
          <w:rFonts w:ascii="Times New Roman" w:eastAsia="仿宋_GB2312" w:cs="仿宋_GB2312" w:hAnsi="Times New Roman" w:hint="eastAsia"/>
          <w:color w:val="auto"/>
          <w:sz w:val="32"/>
          <w:szCs w:val="32"/>
          <w:highlight w:val="auto"/>
        </w:rPr>
        <w:t>下属二级</w:t>
      </w:r>
      <w:r>
        <w:rPr>
          <w:rFonts w:ascii="Times New Roman" w:eastAsia="仿宋_GB2312" w:cs="仿宋_GB2312" w:hAnsi="Times New Roman" w:hint="eastAsia"/>
          <w:color w:val="auto"/>
          <w:sz w:val="32"/>
          <w:szCs w:val="32"/>
          <w:lang w:eastAsia="zh-CN"/>
          <w:highlight w:val="auto"/>
        </w:rPr>
        <w:t>预算</w:t>
      </w:r>
      <w:r>
        <w:rPr>
          <w:rFonts w:ascii="Times New Roman" w:eastAsia="仿宋_GB2312" w:cs="仿宋_GB2312" w:hAnsi="Times New Roman" w:hint="eastAsia"/>
          <w:color w:val="auto"/>
          <w:sz w:val="32"/>
          <w:szCs w:val="32"/>
          <w:highlight w:val="auto"/>
        </w:rPr>
        <w:t>单位</w:t>
      </w:r>
      <w:r>
        <w:rPr>
          <w:rFonts w:eastAsia="仿宋_GB2312" w:cs="仿宋_GB2312" w:hint="eastAsia"/>
          <w:color w:val="auto"/>
          <w:sz w:val="32"/>
          <w:szCs w:val="32"/>
          <w:lang w:val="en-US" w:eastAsia="zh-CN"/>
          <w:highlight w:val="auto"/>
        </w:rPr>
        <w:t>0</w:t>
      </w:r>
      <w:r>
        <w:rPr>
          <w:rFonts w:ascii="Times New Roman" w:eastAsia="仿宋_GB2312" w:cs="仿宋_GB2312" w:hAnsi="Times New Roman" w:hint="eastAsia"/>
          <w:color w:val="auto"/>
          <w:sz w:val="32"/>
          <w:szCs w:val="32"/>
          <w:highlight w:val="auto"/>
        </w:rPr>
        <w:t>个</w:t>
      </w:r>
      <w:r>
        <w:rPr>
          <w:rFonts w:ascii="Times New Roman" w:cs="仿宋_GB2312" w:hAnsi="Times New Roman" w:hint="eastAsia"/>
          <w:color w:val="auto"/>
          <w:sz w:val="32"/>
          <w:szCs w:val="32"/>
          <w:lang w:eastAsia="zh-CN"/>
          <w:highlight w:val="auto"/>
        </w:rPr>
        <w:t>。</w:t>
      </w:r>
    </w:p>
    <w:p>
      <w:pPr>
        <w:widowControl/>
        <w:jc w:val="left"/>
        <w:rPr>
          <w:rFonts w:ascii="Times New Roman" w:eastAsia="仿宋" w:hAnsi="Times New Roman"/>
          <w:color w:val="auto"/>
          <w:kern w:val="0"/>
          <w:sz w:val="32"/>
          <w:szCs w:val="32"/>
          <w:highlight w:val="auto"/>
        </w:rPr>
      </w:pPr>
      <w:r>
        <w:rPr>
          <w:rFonts w:ascii="Times New Roman" w:eastAsia="仿宋" w:hAnsi="Times New Roman"/>
          <w:color w:val="auto"/>
          <w:sz w:val="32"/>
          <w:szCs w:val="32"/>
          <w:highlight w:val="auto"/>
        </w:rPr>
        <w:br w:type="page"/>
      </w:r>
    </w:p>
    <w:p>
      <w:pPr>
        <w:pStyle w:val="1"/>
        <w:jc w:val="center"/>
        <w:rPr>
          <w:rFonts w:ascii="Times New Roman" w:eastAsia="方正小标宋简体" w:cs="方正小标宋简体" w:hAnsi="Times New Roman" w:hint="eastAsia"/>
          <w:b w:val="0"/>
          <w:color w:val="auto"/>
          <w:highlight w:val="auto"/>
        </w:rPr>
      </w:pPr>
      <w:bookmarkStart w:id="17" w:name="_Toc15377204"/>
      <w:bookmarkStart w:id="18" w:name="_Toc15396602"/>
      <w:r>
        <w:rPr>
          <w:rFonts w:ascii="Times New Roman" w:eastAsia="方正小标宋简体" w:cs="方正小标宋简体" w:hAnsi="Times New Roman" w:hint="eastAsia"/>
          <w:b w:val="0"/>
          <w:color w:val="auto"/>
          <w:highlight w:val="auto"/>
        </w:rPr>
        <w:t>第二部分</w:t>
      </w:r>
      <w:r>
        <w:rPr>
          <w:rFonts w:ascii="Times New Roman" w:eastAsia="方正小标宋简体" w:cs="方正小标宋简体" w:hAnsi="Times New Roman" w:hint="eastAsia"/>
          <w:b w:val="0"/>
          <w:color w:val="auto"/>
          <w:lang w:val="en-US" w:eastAsia="zh-CN"/>
          <w:highlight w:val="auto"/>
        </w:rPr>
        <w:t xml:space="preserve"> </w:t>
      </w:r>
      <w:r>
        <w:rPr>
          <w:rFonts w:ascii="Times New Roman" w:eastAsia="方正小标宋简体" w:cs="方正小标宋简体" w:hAnsi="Times New Roman" w:hint="eastAsia"/>
          <w:b w:val="0"/>
          <w:color w:val="auto"/>
          <w:highlight w:val="auto"/>
        </w:rPr>
        <w:t xml:space="preserve"> </w:t>
      </w:r>
      <w:r>
        <w:rPr>
          <w:rFonts w:ascii="Times New Roman" w:eastAsia="方正小标宋简体" w:cs="方正小标宋简体" w:hAnsi="Times New Roman" w:hint="eastAsia"/>
          <w:b w:val="0"/>
          <w:color w:val="auto"/>
          <w:lang w:val="en-US" w:eastAsia="zh-CN"/>
          <w:highlight w:val="auto"/>
        </w:rPr>
        <w:t>2024年度</w:t>
      </w:r>
      <w:r>
        <w:rPr>
          <w:rFonts w:eastAsia="方正小标宋简体" w:cs="方正小标宋简体" w:hint="eastAsia"/>
          <w:b w:val="0"/>
          <w:color w:val="auto"/>
          <w:lang w:val="en-US" w:eastAsia="zh-CN"/>
          <w:highlight w:val="auto"/>
        </w:rPr>
        <w:t>单位</w:t>
      </w:r>
      <w:r>
        <w:rPr>
          <w:rFonts w:ascii="Times New Roman" w:eastAsia="方正小标宋简体" w:cs="方正小标宋简体" w:hAnsi="Times New Roman" w:hint="eastAsia"/>
          <w:b w:val="0"/>
          <w:color w:val="auto"/>
          <w:highlight w:val="auto"/>
        </w:rPr>
        <w:t>决算情况说明</w:t>
      </w:r>
      <w:bookmarkEnd w:id="17"/>
      <w:bookmarkEnd w:id="18"/>
    </w:p>
    <w:p>
      <w:pPr>
        <w:rPr>
          <w:rFonts w:ascii="Times New Roman" w:hAnsi="Times New Roman"/>
          <w:color w:val="auto"/>
          <w:highlight w:val="auto"/>
        </w:rPr>
      </w:pP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19" w:name="_Toc15396603"/>
      <w:bookmarkStart w:id="20" w:name="_Toc15377205"/>
      <w:r>
        <w:rPr>
          <w:rFonts w:ascii="Times New Roman" w:eastAsia="黑体" w:hAnsi="Times New Roman" w:hint="eastAsia"/>
          <w:color w:val="auto"/>
          <w:sz w:val="32"/>
          <w:szCs w:val="32"/>
          <w:lang w:eastAsia="zh-CN"/>
          <w:highlight w:val="auto"/>
        </w:rPr>
        <w:t>一、</w:t>
      </w:r>
      <w:r>
        <w:rPr>
          <w:rFonts w:ascii="Times New Roman" w:eastAsia="黑体" w:hAnsi="Times New Roman" w:hint="eastAsia"/>
          <w:color w:val="auto"/>
          <w:sz w:val="32"/>
          <w:szCs w:val="32"/>
          <w:highlight w:val="auto"/>
        </w:rPr>
        <w:t>收</w:t>
      </w:r>
      <w:r>
        <w:rPr>
          <w:rStyle w:val="2Char"/>
          <w:rFonts w:ascii="Times New Roman" w:eastAsia="黑体" w:hAnsi="Times New Roman" w:hint="eastAsia"/>
          <w:b w:val="0"/>
          <w:color w:val="auto"/>
          <w:highlight w:val="auto"/>
        </w:rPr>
        <w:t>入支出决算总体情况说明</w:t>
      </w:r>
      <w:bookmarkEnd w:id="19"/>
      <w:bookmarkEnd w:id="20"/>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仿宋" w:eastAsia="仿宋" w:cs="仿宋"/>
          <w:color w:val="auto"/>
          <w:sz w:val="32"/>
          <w:szCs w:val="32"/>
          <w:lang w:val="en-US" w:eastAsia="zh-CN"/>
          <w:highlight w:val="auto"/>
        </w:rPr>
      </w:pPr>
      <w:r>
        <w:rPr>
          <w:rFonts w:ascii="仿宋" w:eastAsia="仿宋" w:cs="仿宋" w:hint="eastAsia"/>
          <w:color w:val="auto"/>
          <w:sz w:val="32"/>
          <w:szCs w:val="32"/>
          <w:lang w:eastAsia="zh-CN"/>
          <w:highlight w:val="auto"/>
        </w:rPr>
        <w:t>2024年度收入</w:t>
      </w:r>
      <w:r>
        <w:rPr>
          <w:rFonts w:ascii="仿宋" w:eastAsia="仿宋" w:cs="仿宋" w:hint="eastAsia"/>
          <w:color w:val="auto"/>
          <w:sz w:val="32"/>
          <w:szCs w:val="32"/>
          <w:highlight w:val="auto"/>
        </w:rPr>
        <w:t>、</w:t>
      </w:r>
      <w:r>
        <w:rPr>
          <w:rFonts w:ascii="仿宋" w:eastAsia="仿宋" w:cs="仿宋" w:hint="eastAsia"/>
          <w:color w:val="auto"/>
          <w:sz w:val="32"/>
          <w:szCs w:val="32"/>
          <w:lang w:eastAsia="zh-CN"/>
          <w:highlight w:val="auto"/>
        </w:rPr>
        <w:t>支出</w:t>
      </w:r>
      <w:r>
        <w:rPr>
          <w:rFonts w:ascii="仿宋" w:eastAsia="仿宋" w:cs="仿宋" w:hint="eastAsia"/>
          <w:color w:val="auto"/>
          <w:sz w:val="32"/>
          <w:szCs w:val="32"/>
          <w:highlight w:val="auto"/>
        </w:rPr>
        <w:t>总计</w:t>
      </w:r>
      <w:r>
        <w:rPr>
          <w:rFonts w:ascii="仿宋" w:eastAsia="仿宋" w:cs="仿宋" w:hint="eastAsia"/>
          <w:color w:val="auto"/>
          <w:sz w:val="32"/>
          <w:szCs w:val="32"/>
          <w:lang w:eastAsia="zh-CN"/>
          <w:highlight w:val="auto"/>
        </w:rPr>
        <w:t>均为</w:t>
      </w:r>
      <w:r>
        <w:rPr>
          <w:rFonts w:ascii="仿宋" w:eastAsia="仿宋" w:cs="仿宋" w:hint="eastAsia"/>
          <w:sz w:val="32"/>
          <w:szCs w:val="32"/>
        </w:rPr>
        <w:t>183</w:t>
      </w:r>
      <w:r>
        <w:rPr>
          <w:rFonts w:ascii="仿宋" w:eastAsia="仿宋" w:cs="仿宋" w:hint="eastAsia"/>
          <w:sz w:val="32"/>
          <w:szCs w:val="32"/>
          <w:lang w:val="en-US" w:eastAsia="zh-CN"/>
        </w:rPr>
        <w:t>,</w:t>
      </w:r>
      <w:r>
        <w:rPr>
          <w:rFonts w:ascii="仿宋" w:eastAsia="仿宋" w:cs="仿宋" w:hint="eastAsia"/>
          <w:sz w:val="32"/>
          <w:szCs w:val="32"/>
        </w:rPr>
        <w:t>829</w:t>
      </w:r>
      <w:r>
        <w:rPr>
          <w:rFonts w:ascii="仿宋" w:eastAsia="仿宋" w:cs="仿宋" w:hint="eastAsia"/>
          <w:color w:val="auto"/>
          <w:sz w:val="32"/>
          <w:szCs w:val="32"/>
          <w:highlight w:val="auto"/>
        </w:rPr>
        <w:t>万元。与</w:t>
      </w:r>
      <w:r>
        <w:rPr>
          <w:rFonts w:ascii="仿宋" w:eastAsia="仿宋" w:cs="仿宋" w:hint="eastAsia"/>
          <w:color w:val="auto"/>
          <w:sz w:val="32"/>
          <w:szCs w:val="32"/>
          <w:lang w:eastAsia="zh-CN"/>
          <w:highlight w:val="auto"/>
        </w:rPr>
        <w:t>202</w:t>
      </w:r>
      <w:r>
        <w:rPr>
          <w:rFonts w:ascii="仿宋" w:eastAsia="仿宋" w:cs="仿宋" w:hint="eastAsia"/>
          <w:color w:val="auto"/>
          <w:sz w:val="32"/>
          <w:szCs w:val="32"/>
          <w:lang w:val="en-US" w:eastAsia="zh-CN"/>
          <w:highlight w:val="auto"/>
        </w:rPr>
        <w:t>3</w:t>
      </w:r>
      <w:r>
        <w:rPr>
          <w:rFonts w:ascii="仿宋" w:eastAsia="仿宋" w:cs="仿宋" w:hint="eastAsia"/>
          <w:color w:val="auto"/>
          <w:sz w:val="32"/>
          <w:szCs w:val="32"/>
          <w:highlight w:val="auto"/>
        </w:rPr>
        <w:t>年</w:t>
      </w:r>
      <w:r>
        <w:rPr>
          <w:rFonts w:ascii="仿宋" w:eastAsia="仿宋" w:cs="仿宋" w:hint="eastAsia"/>
          <w:color w:val="auto"/>
          <w:sz w:val="32"/>
          <w:szCs w:val="32"/>
          <w:lang w:eastAsia="zh-CN"/>
          <w:highlight w:val="auto"/>
        </w:rPr>
        <w:t>度</w:t>
      </w:r>
      <w:r>
        <w:rPr>
          <w:rFonts w:ascii="仿宋" w:eastAsia="仿宋" w:cs="仿宋" w:hint="eastAsia"/>
          <w:color w:val="auto"/>
          <w:sz w:val="32"/>
          <w:szCs w:val="32"/>
          <w:highlight w:val="auto"/>
        </w:rPr>
        <w:t>相比，</w:t>
      </w:r>
      <w:r>
        <w:rPr>
          <w:rFonts w:ascii="仿宋" w:eastAsia="仿宋" w:cs="仿宋" w:hint="eastAsia"/>
          <w:color w:val="auto"/>
          <w:sz w:val="32"/>
          <w:szCs w:val="32"/>
          <w:lang w:eastAsia="zh-CN"/>
          <w:highlight w:val="auto"/>
        </w:rPr>
        <w:t>收入</w:t>
      </w:r>
      <w:r>
        <w:rPr>
          <w:rFonts w:ascii="仿宋" w:eastAsia="仿宋" w:cs="仿宋" w:hint="eastAsia"/>
          <w:color w:val="auto"/>
          <w:sz w:val="32"/>
          <w:szCs w:val="32"/>
          <w:highlight w:val="auto"/>
        </w:rPr>
        <w:t>、</w:t>
      </w:r>
      <w:r>
        <w:rPr>
          <w:rFonts w:ascii="仿宋" w:eastAsia="仿宋" w:cs="仿宋" w:hint="eastAsia"/>
          <w:color w:val="auto"/>
          <w:sz w:val="32"/>
          <w:szCs w:val="32"/>
          <w:lang w:eastAsia="zh-CN"/>
          <w:highlight w:val="auto"/>
        </w:rPr>
        <w:t>支出</w:t>
      </w:r>
      <w:r>
        <w:rPr>
          <w:rFonts w:ascii="仿宋" w:eastAsia="仿宋" w:cs="仿宋" w:hint="eastAsia"/>
          <w:color w:val="auto"/>
          <w:sz w:val="32"/>
          <w:szCs w:val="32"/>
          <w:highlight w:val="auto"/>
        </w:rPr>
        <w:t>总计各增加</w:t>
      </w:r>
      <w:r>
        <w:rPr>
          <w:rFonts w:ascii="仿宋" w:eastAsia="仿宋" w:cs="仿宋" w:hint="eastAsia"/>
          <w:color w:val="auto"/>
          <w:sz w:val="32"/>
          <w:szCs w:val="32"/>
          <w:lang w:val="en-US" w:eastAsia="zh-CN"/>
          <w:highlight w:val="auto"/>
        </w:rPr>
        <w:t>15,360.28</w:t>
      </w:r>
      <w:r>
        <w:rPr>
          <w:rFonts w:ascii="仿宋" w:eastAsia="仿宋" w:cs="仿宋" w:hint="eastAsia"/>
          <w:color w:val="auto"/>
          <w:sz w:val="32"/>
          <w:szCs w:val="32"/>
          <w:highlight w:val="auto"/>
        </w:rPr>
        <w:t>万元，增长</w:t>
      </w:r>
      <w:r>
        <w:rPr>
          <w:rFonts w:ascii="仿宋" w:eastAsia="仿宋" w:cs="仿宋" w:hint="eastAsia"/>
          <w:color w:val="auto"/>
          <w:sz w:val="32"/>
          <w:szCs w:val="32"/>
          <w:lang w:val="en-US" w:eastAsia="zh-CN"/>
          <w:highlight w:val="auto"/>
        </w:rPr>
        <w:t>9.12</w:t>
      </w:r>
      <w:r>
        <w:rPr>
          <w:rFonts w:ascii="仿宋" w:eastAsia="仿宋" w:cs="仿宋" w:hint="eastAsia"/>
          <w:color w:val="auto"/>
          <w:sz w:val="32"/>
          <w:szCs w:val="32"/>
          <w:highlight w:val="auto"/>
        </w:rPr>
        <w:t>%。主要变动原因</w:t>
      </w:r>
      <w:r>
        <w:rPr>
          <w:rFonts w:ascii="仿宋" w:eastAsia="仿宋" w:cs="仿宋" w:hint="eastAsia"/>
          <w:color w:val="auto"/>
          <w:sz w:val="32"/>
          <w:szCs w:val="32"/>
          <w:lang w:val="en-US" w:eastAsia="zh-CN"/>
          <w:highlight w:val="auto"/>
        </w:rPr>
        <w:t>一</w:t>
      </w:r>
      <w:r>
        <w:rPr>
          <w:rFonts w:ascii="仿宋" w:eastAsia="仿宋" w:cs="仿宋" w:hint="eastAsia"/>
          <w:color w:val="auto"/>
          <w:sz w:val="32"/>
          <w:szCs w:val="32"/>
          <w:highlight w:val="auto"/>
        </w:rPr>
        <w:t>是</w:t>
      </w:r>
      <w:r>
        <w:rPr>
          <w:rFonts w:ascii="仿宋" w:eastAsia="仿宋" w:cs="仿宋" w:hint="eastAsia"/>
          <w:color w:val="auto"/>
          <w:sz w:val="32"/>
          <w:szCs w:val="32"/>
          <w:lang w:val="en-US" w:eastAsia="zh-CN"/>
          <w:highlight w:val="auto"/>
        </w:rPr>
        <w:t>医疗业务量同比增长，事业收入随之增加；二是事业收入中包含以前年度医保清算款6,400万元。</w:t>
      </w:r>
    </w:p>
    <w:p>
      <w:pPr>
        <w:keepNext w:val="0"/>
        <w:keepLines w:val="0"/>
        <w:pageBreakBefore w:val="0"/>
        <w:widowControl w:val="0"/>
        <w:kinsoku/>
        <w:wordWrap/>
        <w:overflowPunct/>
        <w:topLinePunct w:val="0"/>
        <w:autoSpaceDE/>
        <w:autoSpaceDN/>
        <w:bidi w:val="0"/>
        <w:adjustRightInd/>
        <w:snapToGrid/>
        <w:ind w:firstLineChars="200" w:firstLine="640"/>
        <w:textAlignment w:val="auto"/>
        <w:rPr>
          <w:rFonts w:ascii="Times New Roman" w:eastAsia="仿宋_GB2312" w:cs="仿宋_GB2312" w:hAnsi="Times New Roman" w:hint="eastAsia"/>
          <w:color w:val="auto"/>
          <w:sz w:val="32"/>
          <w:szCs w:val="32"/>
          <w:lang w:eastAsia="zh-CN"/>
          <w:highlight w:val="auto"/>
        </w:rPr>
      </w:pPr>
      <w:r>
        <w:rPr>
          <w:rFonts w:ascii="Times New Roman" w:eastAsia="仿宋_GB2312" w:cs="仿宋_GB2312" w:hAnsi="Times New Roman" w:hint="eastAsia"/>
          <w:color w:val="auto"/>
          <w:sz w:val="32"/>
          <w:szCs w:val="32"/>
          <w:lang w:eastAsia="zh-CN"/>
          <w:highlight w:val="auto"/>
        </w:rPr>
        <w:drawing>
          <wp:inline distT="0" distB="0" distL="114300" distR="114300">
            <wp:extent cx="4839970" cy="2755265"/>
            <wp:effectExtent l="0" t="0" r="10" b="11"/>
            <wp:docPr id="13" name="图片 2" descr="图片1"/>
            <wp:cNvGraphicFramePr>
              <a:graphicFrameLocks noChangeAspect="1"/>
            </wp:cNvGraphicFramePr>
            <a:graphic>
              <a:graphicData uri="http://schemas.openxmlformats.org/drawingml/2006/picture">
                <pic:pic>
                  <pic:nvPicPr>
                    <pic:cNvPr id="15" name="图片 2 15"/>
                    <pic:cNvPicPr/>
                  </pic:nvPicPr>
                  <pic:blipFill>
                    <a:blip r:embed="rId7"/>
                    <a:stretch>
                      <a:fillRect/>
                    </a:stretch>
                  </pic:blipFill>
                  <pic:spPr>
                    <a:xfrm rot="0">
                      <a:off x="0" y="0"/>
                      <a:ext cx="4839970" cy="2755265"/>
                    </a:xfrm>
                    <a:prstGeom prst="rect"/>
                    <a:noFill/>
                    <a:ln w="9525" cmpd="sng" cap="flat">
                      <a:noFill/>
                      <a:prstDash val="solid"/>
                      <a:miter/>
                    </a:ln>
                  </pic:spPr>
                </pic:pic>
              </a:graphicData>
            </a:graphic>
          </wp:inline>
        </w:drawing>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Fonts w:ascii="Times New Roman" w:eastAsia="黑体" w:hAnsi="Times New Roman" w:hint="eastAsia"/>
          <w:color w:val="auto"/>
          <w:sz w:val="32"/>
          <w:szCs w:val="32"/>
          <w:lang w:eastAsia="zh-CN"/>
          <w:highlight w:val="auto"/>
        </w:rPr>
      </w:pPr>
      <w:bookmarkStart w:id="21" w:name="_Toc15396604"/>
      <w:bookmarkStart w:id="22" w:name="_Toc15377206"/>
      <w:r>
        <w:rPr>
          <w:rFonts w:ascii="Times New Roman" w:eastAsia="黑体" w:hAnsi="Times New Roman" w:hint="eastAsia"/>
          <w:color w:val="auto"/>
          <w:sz w:val="32"/>
          <w:szCs w:val="32"/>
          <w:lang w:eastAsia="zh-CN"/>
          <w:highlight w:val="auto"/>
        </w:rPr>
        <w:t>二、收入决算情况说明</w:t>
      </w:r>
      <w:bookmarkEnd w:id="21"/>
      <w:bookmarkEnd w:id="22"/>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仿宋_GB2312" w:hAnsi="Times New Roman" w:hint="eastAsia"/>
          <w:b/>
          <w:bCs/>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2024年度本年收入合计</w:t>
      </w:r>
      <w:r>
        <w:rPr>
          <w:rFonts w:ascii="仿宋_GB2312" w:eastAsia="仿宋_GB2312" w:cs="仿宋_GB2312" w:hint="eastAsia"/>
          <w:sz w:val="32"/>
          <w:szCs w:val="32"/>
        </w:rPr>
        <w:t>146</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934.4万元，其中：一般公共预算财政拨款收入2</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123.51</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1.44</w:t>
      </w:r>
      <w:r>
        <w:rPr>
          <w:rFonts w:ascii="仿宋_GB2312" w:eastAsia="仿宋_GB2312" w:cs="仿宋_GB2312" w:hint="eastAsia"/>
          <w:color w:val="auto"/>
          <w:sz w:val="32"/>
          <w:szCs w:val="32"/>
          <w:lang w:eastAsia="zh-CN"/>
          <w:highlight w:val="auto"/>
        </w:rPr>
        <w:t>%；政府性基金预算财政拨款收入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%；国有资本经营预算财政拨款收入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%；上级补助收入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%；事业收入</w:t>
      </w:r>
      <w:r>
        <w:rPr>
          <w:rFonts w:ascii="仿宋_GB2312" w:eastAsia="仿宋_GB2312" w:cs="仿宋_GB2312" w:hint="eastAsia"/>
          <w:sz w:val="32"/>
          <w:szCs w:val="32"/>
        </w:rPr>
        <w:t>143</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022.96</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97.3</w:t>
      </w:r>
      <w:r>
        <w:rPr>
          <w:rFonts w:ascii="仿宋_GB2312" w:eastAsia="仿宋_GB2312" w:cs="仿宋_GB2312" w:hint="eastAsia"/>
          <w:sz w:val="32"/>
          <w:szCs w:val="32"/>
          <w:lang w:val="en-US" w:eastAsia="zh-CN"/>
        </w:rPr>
        <w:t>4</w:t>
      </w:r>
      <w:r>
        <w:rPr>
          <w:rFonts w:ascii="仿宋_GB2312" w:eastAsia="仿宋_GB2312" w:cs="仿宋_GB2312" w:hint="eastAsia"/>
          <w:color w:val="auto"/>
          <w:sz w:val="32"/>
          <w:szCs w:val="32"/>
          <w:lang w:eastAsia="zh-CN"/>
          <w:highlight w:val="auto"/>
        </w:rPr>
        <w:t>%；经营收入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%；附属单位上缴收入</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%；其他收入</w:t>
      </w:r>
      <w:r>
        <w:rPr>
          <w:rFonts w:ascii="仿宋_GB2312" w:eastAsia="仿宋_GB2312" w:cs="仿宋_GB2312" w:hint="eastAsia"/>
          <w:sz w:val="32"/>
          <w:szCs w:val="32"/>
        </w:rPr>
        <w:t>1</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787.94</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1.2</w:t>
      </w:r>
      <w:r>
        <w:rPr>
          <w:rFonts w:ascii="仿宋_GB2312" w:eastAsia="仿宋_GB2312" w:cs="仿宋_GB2312" w:hint="eastAsia"/>
          <w:sz w:val="32"/>
          <w:szCs w:val="32"/>
          <w:lang w:val="en-US" w:eastAsia="zh-CN"/>
        </w:rPr>
        <w:t>2</w:t>
      </w:r>
      <w:r>
        <w:rPr>
          <w:rFonts w:ascii="仿宋_GB2312" w:eastAsia="仿宋_GB2312" w:cs="仿宋_GB2312" w:hint="eastAsia"/>
          <w:color w:val="auto"/>
          <w:sz w:val="32"/>
          <w:szCs w:val="32"/>
          <w:lang w:eastAsia="zh-CN"/>
          <w:highlight w:val="auto"/>
        </w:rPr>
        <w:t>%。</w:t>
      </w:r>
    </w:p>
    <w:p>
      <w:pPr>
        <w:rPr>
          <w:rFonts w:ascii="Times New Roman" w:eastAsia="仿宋_GB2312" w:cs="仿宋_GB2312" w:hAnsi="Times New Roman" w:hint="eastAsia"/>
          <w:color w:val="auto"/>
          <w:sz w:val="32"/>
          <w:szCs w:val="32"/>
          <w:lang w:eastAsia="zh-CN"/>
          <w:highlight w:val="auto"/>
        </w:rPr>
      </w:pPr>
      <w:r>
        <w:rPr>
          <w:rFonts w:eastAsia="仿宋_GB2312" w:cs="仿宋_GB2312" w:hint="eastAsia"/>
          <w:color w:val="auto"/>
          <w:sz w:val="32"/>
          <w:szCs w:val="32"/>
          <w:lang w:val="en-US" w:eastAsia="zh-CN"/>
          <w:highlight w:val="auto"/>
        </w:rPr>
        <w:t xml:space="preserve">    </w:t>
      </w:r>
      <w:r>
        <w:rPr>
          <w:rFonts w:ascii="Times New Roman" w:eastAsia="仿宋_GB2312" w:cs="仿宋_GB2312" w:hAnsi="Times New Roman" w:hint="eastAsia"/>
          <w:color w:val="auto"/>
          <w:sz w:val="32"/>
          <w:szCs w:val="32"/>
          <w:lang w:eastAsia="zh-CN"/>
          <w:highlight w:val="auto"/>
        </w:rPr>
        <w:drawing>
          <wp:inline distT="0" distB="0" distL="114300" distR="114300">
            <wp:extent cx="4839970" cy="2755265"/>
            <wp:effectExtent l="0" t="1" r="10" b="10"/>
            <wp:docPr id="16" name="图片 3" descr="图片2"/>
            <wp:cNvGraphicFramePr>
              <a:graphicFrameLocks noChangeAspect="1"/>
            </wp:cNvGraphicFramePr>
            <a:graphic>
              <a:graphicData uri="http://schemas.openxmlformats.org/drawingml/2006/picture">
                <pic:pic>
                  <pic:nvPicPr>
                    <pic:cNvPr id="18" name="图片 3 18"/>
                    <pic:cNvPicPr/>
                  </pic:nvPicPr>
                  <pic:blipFill>
                    <a:blip r:embed="rId8"/>
                    <a:stretch>
                      <a:fillRect/>
                    </a:stretch>
                  </pic:blipFill>
                  <pic:spPr>
                    <a:xfrm rot="0">
                      <a:off x="0" y="0"/>
                      <a:ext cx="4839970" cy="2755265"/>
                    </a:xfrm>
                    <a:prstGeom prst="rect"/>
                    <a:noFill/>
                    <a:ln w="9525" cmpd="sng" cap="flat">
                      <a:noFill/>
                      <a:prstDash val="solid"/>
                      <a:miter/>
                    </a:ln>
                  </pic:spPr>
                </pic:pic>
              </a:graphicData>
            </a:graphic>
          </wp:inline>
        </w:drawing>
      </w:r>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outlineLvl w:val="1"/>
        <w:rPr>
          <w:rStyle w:val="2Char"/>
          <w:rFonts w:ascii="Times New Roman" w:eastAsia="黑体" w:hAnsi="Times New Roman" w:hint="eastAsia"/>
          <w:b w:val="0"/>
          <w:color w:val="auto"/>
          <w:highlight w:val="auto"/>
        </w:rPr>
      </w:pPr>
      <w:bookmarkStart w:id="23" w:name="_Toc15377207"/>
      <w:bookmarkStart w:id="24" w:name="_Toc15396605"/>
      <w:r>
        <w:rPr>
          <w:rFonts w:ascii="Times New Roman" w:eastAsia="黑体" w:hAnsi="Times New Roman" w:hint="eastAsia"/>
          <w:color w:val="auto"/>
          <w:sz w:val="32"/>
          <w:szCs w:val="32"/>
          <w:lang w:eastAsia="zh-CN"/>
          <w:highlight w:val="auto"/>
        </w:rPr>
        <w:t>三、</w:t>
      </w:r>
      <w:r>
        <w:rPr>
          <w:rFonts w:ascii="Times New Roman" w:eastAsia="黑体" w:hAnsi="Times New Roman" w:hint="eastAsia"/>
          <w:color w:val="auto"/>
          <w:sz w:val="32"/>
          <w:szCs w:val="32"/>
          <w:highlight w:val="auto"/>
        </w:rPr>
        <w:t>支</w:t>
      </w:r>
      <w:r>
        <w:rPr>
          <w:rStyle w:val="2Char"/>
          <w:rFonts w:ascii="Times New Roman" w:eastAsia="黑体" w:hAnsi="Times New Roman" w:hint="eastAsia"/>
          <w:b w:val="0"/>
          <w:color w:val="auto"/>
          <w:highlight w:val="auto"/>
        </w:rPr>
        <w:t>出决算情况说明</w:t>
      </w:r>
      <w:bookmarkEnd w:id="23"/>
      <w:bookmarkEnd w:id="24"/>
    </w:p>
    <w:p>
      <w:pPr>
        <w:pStyle w:val="32"/>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left"/>
        <w:textAlignment w:val="auto"/>
        <w:outlineLvl w:val="1"/>
        <w:rPr>
          <w:rFonts w:ascii="Times New Roman" w:eastAsia="仿宋_GB2312" w:cs="仿宋_GB2312" w:hAnsi="Times New Roman" w:hint="eastAsia"/>
          <w:color w:val="auto"/>
          <w:sz w:val="32"/>
          <w:szCs w:val="32"/>
          <w:lang w:eastAsia="zh-CN"/>
          <w:highlight w:val="auto"/>
        </w:rPr>
      </w:pPr>
      <w:r>
        <w:rPr>
          <w:rFonts w:ascii="仿宋_GB2312" w:eastAsia="仿宋_GB2312" w:cs="仿宋_GB2312" w:hint="eastAsia"/>
          <w:color w:val="auto"/>
          <w:sz w:val="32"/>
          <w:szCs w:val="32"/>
          <w:lang w:eastAsia="zh-CN"/>
          <w:highlight w:val="auto"/>
        </w:rPr>
        <w:t>2024年度本年支出合计</w:t>
      </w:r>
      <w:r>
        <w:rPr>
          <w:rFonts w:ascii="仿宋_GB2312" w:eastAsia="仿宋_GB2312" w:cs="仿宋_GB2312" w:hint="eastAsia"/>
          <w:sz w:val="32"/>
          <w:szCs w:val="32"/>
        </w:rPr>
        <w:t>144</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945.12</w:t>
      </w:r>
      <w:r>
        <w:rPr>
          <w:rFonts w:ascii="仿宋_GB2312" w:eastAsia="仿宋_GB2312" w:cs="仿宋_GB2312" w:hint="eastAsia"/>
          <w:color w:val="auto"/>
          <w:sz w:val="32"/>
          <w:szCs w:val="32"/>
          <w:lang w:eastAsia="zh-CN"/>
          <w:highlight w:val="auto"/>
        </w:rPr>
        <w:t>万元，其中：基本支出</w:t>
      </w:r>
      <w:r>
        <w:rPr>
          <w:rFonts w:ascii="仿宋_GB2312" w:eastAsia="仿宋_GB2312" w:cs="仿宋_GB2312" w:hint="eastAsia"/>
          <w:sz w:val="32"/>
          <w:szCs w:val="32"/>
        </w:rPr>
        <w:t>136</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367.83</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94.08</w:t>
      </w:r>
      <w:r>
        <w:rPr>
          <w:rFonts w:ascii="仿宋_GB2312" w:eastAsia="仿宋_GB2312" w:cs="仿宋_GB2312" w:hint="eastAsia"/>
          <w:color w:val="auto"/>
          <w:sz w:val="32"/>
          <w:szCs w:val="32"/>
          <w:lang w:eastAsia="zh-CN"/>
          <w:highlight w:val="auto"/>
        </w:rPr>
        <w:t>%；项目支出</w:t>
      </w:r>
      <w:r>
        <w:rPr>
          <w:rFonts w:ascii="仿宋_GB2312" w:eastAsia="仿宋_GB2312" w:cs="仿宋_GB2312" w:hint="eastAsia"/>
          <w:sz w:val="32"/>
          <w:szCs w:val="32"/>
        </w:rPr>
        <w:t>8</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577.29</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5.9</w:t>
      </w:r>
      <w:r>
        <w:rPr>
          <w:rFonts w:ascii="仿宋_GB2312" w:eastAsia="仿宋_GB2312" w:cs="仿宋_GB2312" w:hint="eastAsia"/>
          <w:sz w:val="32"/>
          <w:szCs w:val="32"/>
          <w:lang w:val="en-US" w:eastAsia="zh-CN"/>
        </w:rPr>
        <w:t>2</w:t>
      </w:r>
      <w:r>
        <w:rPr>
          <w:rFonts w:ascii="仿宋_GB2312" w:eastAsia="仿宋_GB2312" w:cs="仿宋_GB2312" w:hint="eastAsia"/>
          <w:color w:val="auto"/>
          <w:sz w:val="32"/>
          <w:szCs w:val="32"/>
          <w:lang w:eastAsia="zh-CN"/>
          <w:highlight w:val="auto"/>
        </w:rPr>
        <w:t>%；上缴上级支出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%；经营支出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%；对附属单位补助支出</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万元，占</w:t>
      </w:r>
      <w:r>
        <w:rPr>
          <w:rFonts w:ascii="仿宋_GB2312" w:eastAsia="仿宋_GB2312" w:cs="仿宋_GB2312" w:hint="eastAsia"/>
          <w:sz w:val="32"/>
          <w:szCs w:val="32"/>
        </w:rPr>
        <w:t>0</w:t>
      </w:r>
      <w:r>
        <w:rPr>
          <w:rFonts w:ascii="仿宋_GB2312" w:eastAsia="仿宋_GB2312" w:cs="仿宋_GB2312" w:hint="eastAsia"/>
          <w:color w:val="auto"/>
          <w:sz w:val="32"/>
          <w:szCs w:val="32"/>
          <w:lang w:eastAsia="zh-CN"/>
          <w:highlight w:val="auto"/>
        </w:rPr>
        <w:t>%。</w:t>
      </w:r>
    </w:p>
    <w:p>
      <w:pPr>
        <w:rPr>
          <w:rFonts w:ascii="Times New Roman" w:eastAsia="仿宋_GB2312" w:cs="仿宋_GB2312" w:hAnsi="Times New Roman"/>
          <w:color w:val="auto"/>
          <w:sz w:val="32"/>
          <w:szCs w:val="32"/>
          <w:lang w:val="en-US" w:eastAsia="zh-CN"/>
          <w:highlight w:val="auto"/>
        </w:rPr>
      </w:pPr>
      <w:r>
        <w:rPr>
          <w:rFonts w:eastAsia="仿宋_GB2312" w:cs="仿宋_GB2312" w:hint="eastAsia"/>
          <w:color w:val="auto"/>
          <w:sz w:val="32"/>
          <w:szCs w:val="32"/>
          <w:lang w:val="en-US" w:eastAsia="zh-CN"/>
          <w:highlight w:val="auto"/>
        </w:rPr>
        <w:t xml:space="preserve">    </w:t>
      </w:r>
      <w:r>
        <w:rPr>
          <w:rFonts w:ascii="Times New Roman" w:eastAsia="仿宋_GB2312" w:cs="仿宋_GB2312" w:hAnsi="Times New Roman"/>
          <w:color w:val="auto"/>
          <w:sz w:val="32"/>
          <w:szCs w:val="32"/>
          <w:lang w:val="en-US" w:eastAsia="zh-CN"/>
          <w:highlight w:val="auto"/>
        </w:rPr>
        <w:drawing>
          <wp:inline distT="0" distB="0" distL="114300" distR="114300">
            <wp:extent cx="4839970" cy="2755265"/>
            <wp:effectExtent l="0" t="0" r="10" b="10"/>
            <wp:docPr id="19" name="图片 4" descr="图片3"/>
            <wp:cNvGraphicFramePr>
              <a:graphicFrameLocks noChangeAspect="1"/>
            </wp:cNvGraphicFramePr>
            <a:graphic>
              <a:graphicData uri="http://schemas.openxmlformats.org/drawingml/2006/picture">
                <pic:pic>
                  <pic:nvPicPr>
                    <pic:cNvPr id="21" name="图片 4 21"/>
                    <pic:cNvPicPr/>
                  </pic:nvPicPr>
                  <pic:blipFill>
                    <a:blip r:embed="rId9"/>
                    <a:stretch>
                      <a:fillRect/>
                    </a:stretch>
                  </pic:blipFill>
                  <pic:spPr>
                    <a:xfrm rot="0">
                      <a:off x="0" y="0"/>
                      <a:ext cx="4839970" cy="2755265"/>
                    </a:xfrm>
                    <a:prstGeom prst="rect"/>
                    <a:noFill/>
                    <a:ln w="9525" cmpd="sng" cap="flat">
                      <a:noFill/>
                      <a:prstDash val="solid"/>
                      <a:miter/>
                    </a:ln>
                  </pic:spPr>
                </pic:pic>
              </a:graphicData>
            </a:graphic>
          </wp:inline>
        </w:drawing>
      </w:r>
    </w:p>
    <w:p>
      <w:pPr>
        <w:spacing w:line="600" w:lineRule="exact"/>
        <w:ind w:firstLineChars="200" w:firstLine="640"/>
        <w:outlineLvl w:val="1"/>
        <w:rPr>
          <w:rStyle w:val="2Char"/>
          <w:rFonts w:ascii="Times New Roman" w:eastAsia="黑体" w:hAnsi="Times New Roman"/>
          <w:b w:val="0"/>
          <w:color w:val="auto"/>
          <w:highlight w:val="auto"/>
        </w:rPr>
      </w:pPr>
      <w:bookmarkStart w:id="25" w:name="_Toc15377208"/>
      <w:bookmarkStart w:id="26" w:name="_Toc15396606"/>
      <w:r>
        <w:rPr>
          <w:rFonts w:ascii="Times New Roman" w:eastAsia="黑体" w:hAnsi="Times New Roman" w:hint="eastAsia"/>
          <w:color w:val="auto"/>
          <w:sz w:val="32"/>
          <w:szCs w:val="32"/>
          <w:highlight w:val="auto"/>
        </w:rPr>
        <w:t>四、财</w:t>
      </w:r>
      <w:r>
        <w:rPr>
          <w:rStyle w:val="2Char"/>
          <w:rFonts w:ascii="Times New Roman" w:eastAsia="黑体" w:hAnsi="Times New Roman" w:hint="eastAsia"/>
          <w:b w:val="0"/>
          <w:color w:val="auto"/>
          <w:highlight w:val="auto"/>
        </w:rPr>
        <w:t>政拨款收入支出决算总体情况说明</w:t>
      </w:r>
      <w:bookmarkEnd w:id="25"/>
      <w:bookmarkEnd w:id="26"/>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2024年度财政拨款收入、支出总计均为</w:t>
      </w:r>
      <w:r>
        <w:rPr>
          <w:rFonts w:ascii="仿宋_GB2312" w:eastAsia="仿宋_GB2312" w:cs="仿宋_GB2312" w:hint="eastAsia"/>
          <w:sz w:val="32"/>
          <w:szCs w:val="32"/>
        </w:rPr>
        <w:t>2</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123.51</w:t>
      </w:r>
      <w:r>
        <w:rPr>
          <w:rFonts w:ascii="Times New Roman" w:eastAsia="仿宋_GB2312" w:cs="仿宋_GB2312" w:hAnsi="Times New Roman" w:hint="eastAsia"/>
          <w:color w:val="auto"/>
          <w:kern w:val="2"/>
          <w:sz w:val="32"/>
          <w:szCs w:val="32"/>
          <w:lang w:val="en-US" w:eastAsia="zh-CN" w:bidi="ar-SA"/>
          <w:highlight w:val="auto"/>
        </w:rPr>
        <w:t>万元。与2023年度相比，财政拨款收入总计、支出总计各减少</w:t>
      </w:r>
      <w:r>
        <w:rPr>
          <w:rFonts w:eastAsia="仿宋_GB2312" w:cs="仿宋_GB2312" w:hint="eastAsia"/>
          <w:color w:val="auto"/>
          <w:kern w:val="2"/>
          <w:sz w:val="32"/>
          <w:szCs w:val="32"/>
          <w:lang w:val="en-US" w:eastAsia="zh-CN" w:bidi="ar-SA"/>
          <w:highlight w:val="auto"/>
        </w:rPr>
        <w:t>3，733.21</w:t>
      </w:r>
      <w:r>
        <w:rPr>
          <w:rFonts w:ascii="Times New Roman" w:eastAsia="仿宋_GB2312" w:cs="仿宋_GB2312" w:hAnsi="Times New Roman" w:hint="eastAsia"/>
          <w:color w:val="auto"/>
          <w:kern w:val="2"/>
          <w:sz w:val="32"/>
          <w:szCs w:val="32"/>
          <w:lang w:val="en-US" w:eastAsia="zh-CN" w:bidi="ar-SA"/>
          <w:highlight w:val="auto"/>
        </w:rPr>
        <w:t>万元，下降</w:t>
      </w:r>
      <w:r>
        <w:rPr>
          <w:rFonts w:eastAsia="仿宋_GB2312" w:cs="仿宋_GB2312" w:hint="eastAsia"/>
          <w:color w:val="auto"/>
          <w:kern w:val="2"/>
          <w:sz w:val="32"/>
          <w:szCs w:val="32"/>
          <w:lang w:val="en-US" w:eastAsia="zh-CN" w:bidi="ar-SA"/>
          <w:highlight w:val="auto"/>
        </w:rPr>
        <w:t>63.74</w:t>
      </w:r>
      <w:r>
        <w:rPr>
          <w:rFonts w:ascii="Times New Roman" w:eastAsia="仿宋_GB2312" w:cs="仿宋_GB2312" w:hAnsi="Times New Roman" w:hint="eastAsia"/>
          <w:color w:val="auto"/>
          <w:kern w:val="2"/>
          <w:sz w:val="32"/>
          <w:szCs w:val="32"/>
          <w:lang w:val="en-US" w:eastAsia="zh-CN" w:bidi="ar-SA"/>
          <w:highlight w:val="auto"/>
        </w:rPr>
        <w:t>%。主要变动原因是</w:t>
      </w:r>
      <w:r>
        <w:rPr>
          <w:rFonts w:ascii="仿宋" w:eastAsia="仿宋" w:hint="eastAsia"/>
          <w:color w:val="auto"/>
          <w:sz w:val="32"/>
          <w:szCs w:val="32"/>
          <w:lang w:val="en-US" w:eastAsia="zh-CN"/>
          <w:highlight w:val="auto"/>
        </w:rPr>
        <w:t>2023年有</w:t>
      </w:r>
      <w:r>
        <w:rPr>
          <w:rFonts w:ascii="仿宋" w:eastAsia="仿宋" w:cs="仿宋" w:hint="eastAsia"/>
          <w:sz w:val="32"/>
          <w:szCs w:val="32"/>
          <w:lang w:val="en-US" w:eastAsia="zh-CN"/>
          <w:highlight w:val="auto"/>
        </w:rPr>
        <w:t>医务人员临时性工作补助、代卫健委采购核酸检测设备、方舱医院建设三项特殊项目，项目资金随之增加，而2024年无此类特殊项目。</w:t>
      </w:r>
    </w:p>
    <w:p>
      <w:pPr>
        <w:spacing w:line="240" w:lineRule="auto"/>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4839970" cy="2755265"/>
            <wp:effectExtent l="0" t="0" r="10" b="10"/>
            <wp:docPr id="22" name="图片 10" descr="图片4"/>
            <wp:cNvGraphicFramePr>
              <a:graphicFrameLocks noChangeAspect="1"/>
            </wp:cNvGraphicFramePr>
            <a:graphic>
              <a:graphicData uri="http://schemas.openxmlformats.org/drawingml/2006/picture">
                <pic:pic>
                  <pic:nvPicPr>
                    <pic:cNvPr id="24" name="图片 10 24"/>
                    <pic:cNvPicPr/>
                  </pic:nvPicPr>
                  <pic:blipFill>
                    <a:blip r:embed="rId10"/>
                    <a:stretch>
                      <a:fillRect/>
                    </a:stretch>
                  </pic:blipFill>
                  <pic:spPr>
                    <a:xfrm rot="0">
                      <a:off x="0" y="0"/>
                      <a:ext cx="4839970" cy="2755265"/>
                    </a:xfrm>
                    <a:prstGeom prst="rect"/>
                    <a:noFill/>
                    <a:ln w="9525" cmpd="sng" cap="flat">
                      <a:noFill/>
                      <a:prstDash val="solid"/>
                      <a:miter/>
                    </a:ln>
                  </pic:spPr>
                </pic:pic>
              </a:graphicData>
            </a:graphic>
          </wp:inline>
        </w:drawing>
      </w:r>
    </w:p>
    <w:p>
      <w:pPr>
        <w:spacing w:line="600" w:lineRule="exact"/>
        <w:ind w:firstLineChars="200" w:firstLine="640"/>
        <w:outlineLvl w:val="1"/>
        <w:rPr>
          <w:rStyle w:val="2Char"/>
          <w:rFonts w:ascii="Times New Roman" w:eastAsia="黑体" w:hAnsi="Times New Roman"/>
          <w:b w:val="0"/>
          <w:color w:val="auto"/>
          <w:highlight w:val="auto"/>
        </w:rPr>
      </w:pPr>
      <w:bookmarkStart w:id="27" w:name="_Toc15396607"/>
      <w:bookmarkStart w:id="28" w:name="_Toc15377209"/>
      <w:r>
        <w:rPr>
          <w:rFonts w:ascii="Times New Roman" w:eastAsia="黑体" w:hAnsi="Times New Roman" w:hint="eastAsia"/>
          <w:color w:val="auto"/>
          <w:sz w:val="32"/>
          <w:szCs w:val="32"/>
          <w:highlight w:val="auto"/>
        </w:rPr>
        <w:t>五、</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般公共预算财政拨款支出决算情况说明</w:t>
      </w:r>
      <w:bookmarkEnd w:id="27"/>
      <w:bookmarkEnd w:id="28"/>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29" w:name="_Toc15377210"/>
      <w:r>
        <w:rPr>
          <w:rFonts w:ascii="Times New Roman" w:eastAsia="楷体_GB2312" w:cs="楷体_GB2312" w:hAnsi="Times New Roman" w:hint="eastAsia"/>
          <w:b/>
          <w:color w:val="auto"/>
          <w:sz w:val="32"/>
          <w:szCs w:val="32"/>
          <w:highlight w:val="auto"/>
        </w:rPr>
        <w:t>（一）一般公共预算财政拨款支出决算总体情况</w:t>
      </w:r>
      <w:bookmarkEnd w:id="29"/>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2</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123.51</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1.46</w:t>
      </w:r>
      <w:r>
        <w:rPr>
          <w:rFonts w:ascii="仿宋_GB2312" w:eastAsia="仿宋_GB2312" w:cs="仿宋_GB2312" w:hint="eastAsia"/>
          <w:color w:val="auto"/>
          <w:kern w:val="2"/>
          <w:sz w:val="32"/>
          <w:szCs w:val="32"/>
          <w:lang w:val="en-US" w:eastAsia="zh-CN" w:bidi="ar-SA"/>
          <w:highlight w:val="auto"/>
        </w:rPr>
        <w:t>%。与2023年度相比，一般公共预算财政拨款支出减少3,733.21万元，下降63.74%。主要变动原因是</w:t>
      </w:r>
      <w:r>
        <w:rPr>
          <w:rFonts w:ascii="仿宋" w:eastAsia="仿宋" w:hint="eastAsia"/>
          <w:color w:val="auto"/>
          <w:sz w:val="32"/>
          <w:szCs w:val="32"/>
          <w:lang w:val="en-US" w:eastAsia="zh-CN"/>
          <w:highlight w:val="auto"/>
        </w:rPr>
        <w:t>2023年有</w:t>
      </w:r>
      <w:r>
        <w:rPr>
          <w:rFonts w:ascii="仿宋" w:eastAsia="仿宋" w:cs="仿宋" w:hint="eastAsia"/>
          <w:sz w:val="32"/>
          <w:szCs w:val="32"/>
          <w:lang w:val="en-US" w:eastAsia="zh-CN"/>
          <w:highlight w:val="auto"/>
        </w:rPr>
        <w:t>医务人员临时性工作补助、代卫健委采购核酸检测设备、方舱医院建设三项特殊项目，支出随之增加，而2024年无此类特殊项目支出。</w:t>
      </w:r>
    </w:p>
    <w:p>
      <w:pPr>
        <w:spacing w:line="240" w:lineRule="auto"/>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5047615" cy="2785745"/>
            <wp:effectExtent l="0" t="0" r="14" b="11"/>
            <wp:docPr id="25" name="图片 11" descr="图片5"/>
            <wp:cNvGraphicFramePr>
              <a:graphicFrameLocks noChangeAspect="1"/>
            </wp:cNvGraphicFramePr>
            <a:graphic>
              <a:graphicData uri="http://schemas.openxmlformats.org/drawingml/2006/picture">
                <pic:pic>
                  <pic:nvPicPr>
                    <pic:cNvPr id="27" name="图片 11 27"/>
                    <pic:cNvPicPr/>
                  </pic:nvPicPr>
                  <pic:blipFill>
                    <a:blip r:embed="rId11"/>
                    <a:stretch>
                      <a:fillRect/>
                    </a:stretch>
                  </pic:blipFill>
                  <pic:spPr>
                    <a:xfrm rot="0">
                      <a:off x="0" y="0"/>
                      <a:ext cx="5047615" cy="2785745"/>
                    </a:xfrm>
                    <a:prstGeom prst="rect"/>
                    <a:noFill/>
                    <a:ln w="9525" cmpd="sng" cap="flat">
                      <a:noFill/>
                      <a:prstDash val="solid"/>
                      <a:miter/>
                    </a:ln>
                  </pic:spPr>
                </pic:pic>
              </a:graphicData>
            </a:graphic>
          </wp:inline>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0" w:name="_Toc15377211"/>
      <w:r>
        <w:rPr>
          <w:rFonts w:ascii="Times New Roman" w:eastAsia="楷体_GB2312" w:cs="楷体_GB2312" w:hAnsi="Times New Roman" w:hint="eastAsia"/>
          <w:b/>
          <w:color w:val="auto"/>
          <w:sz w:val="32"/>
          <w:szCs w:val="32"/>
          <w:highlight w:val="auto"/>
        </w:rPr>
        <w:t>（二）一般公共预算财政拨款支出决算结构情况</w:t>
      </w:r>
      <w:bookmarkEnd w:id="30"/>
    </w:p>
    <w:p>
      <w:pPr>
        <w:spacing w:line="600" w:lineRule="exact"/>
        <w:ind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2024年度一般公共预算财政拨款支出</w:t>
      </w:r>
      <w:r>
        <w:rPr>
          <w:rFonts w:ascii="仿宋_GB2312" w:eastAsia="仿宋_GB2312" w:cs="仿宋_GB2312" w:hint="eastAsia"/>
          <w:sz w:val="32"/>
          <w:szCs w:val="32"/>
        </w:rPr>
        <w:t>2</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123.51</w:t>
      </w:r>
      <w:r>
        <w:rPr>
          <w:rFonts w:ascii="仿宋_GB2312" w:eastAsia="仿宋_GB2312" w:cs="仿宋_GB2312" w:hint="eastAsia"/>
          <w:color w:val="auto"/>
          <w:kern w:val="2"/>
          <w:sz w:val="32"/>
          <w:szCs w:val="32"/>
          <w:lang w:val="en-US" w:eastAsia="zh-CN" w:bidi="ar-SA"/>
          <w:highlight w:val="auto"/>
        </w:rPr>
        <w:t>万元</w:t>
      </w:r>
      <w:r>
        <w:rPr>
          <w:rFonts w:ascii="Times New Roman" w:eastAsia="仿宋_GB2312" w:cs="仿宋_GB2312" w:hAnsi="Times New Roman" w:hint="eastAsia"/>
          <w:color w:val="auto"/>
          <w:kern w:val="2"/>
          <w:sz w:val="32"/>
          <w:szCs w:val="32"/>
          <w:lang w:val="en-US" w:eastAsia="zh-CN" w:bidi="ar-SA"/>
          <w:highlight w:val="auto"/>
        </w:rPr>
        <w:t>，主要用于以下方面</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一般公共服务支出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%；教育支出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%；科学技术支出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%；文化旅游体育与传媒支出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%；社会保障和就业支出</w:t>
      </w:r>
      <w:r>
        <w:rPr>
          <w:rFonts w:eastAsia="仿宋_GB2312" w:cs="仿宋_GB2312" w:hint="eastAsia"/>
          <w:color w:val="auto"/>
          <w:kern w:val="2"/>
          <w:sz w:val="32"/>
          <w:szCs w:val="32"/>
          <w:lang w:val="en-US" w:eastAsia="zh-CN" w:bidi="ar-SA"/>
          <w:highlight w:val="auto"/>
        </w:rPr>
        <w:t>826.55</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38.92</w:t>
      </w:r>
      <w:r>
        <w:rPr>
          <w:rFonts w:ascii="Times New Roman" w:eastAsia="仿宋_GB2312" w:cs="仿宋_GB2312" w:hAnsi="Times New Roman" w:hint="eastAsia"/>
          <w:color w:val="auto"/>
          <w:kern w:val="2"/>
          <w:sz w:val="32"/>
          <w:szCs w:val="32"/>
          <w:lang w:val="en-US" w:eastAsia="zh-CN" w:bidi="ar-SA"/>
          <w:highlight w:val="auto"/>
        </w:rPr>
        <w:t>%；卫生健康支出</w:t>
      </w:r>
      <w:r>
        <w:rPr>
          <w:rFonts w:eastAsia="仿宋_GB2312" w:cs="仿宋_GB2312" w:hint="eastAsia"/>
          <w:color w:val="auto"/>
          <w:kern w:val="2"/>
          <w:sz w:val="32"/>
          <w:szCs w:val="32"/>
          <w:lang w:val="en-US" w:eastAsia="zh-CN" w:bidi="ar-SA"/>
          <w:highlight w:val="auto"/>
        </w:rPr>
        <w:t>1,296.96</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61.08</w:t>
      </w:r>
      <w:r>
        <w:rPr>
          <w:rFonts w:ascii="Times New Roman" w:eastAsia="仿宋_GB2312" w:cs="仿宋_GB2312" w:hAnsi="Times New Roman" w:hint="eastAsia"/>
          <w:color w:val="auto"/>
          <w:kern w:val="2"/>
          <w:sz w:val="32"/>
          <w:szCs w:val="32"/>
          <w:lang w:val="en-US" w:eastAsia="zh-CN" w:bidi="ar-SA"/>
          <w:highlight w:val="auto"/>
        </w:rPr>
        <w:t>%；住房保障支出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万元，占</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240" w:lineRule="auto"/>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drawing>
          <wp:inline distT="0" distB="0" distL="114300" distR="114300">
            <wp:extent cx="4839970" cy="2755265"/>
            <wp:effectExtent l="0" t="0" r="10" b="10"/>
            <wp:docPr id="28" name="图片 13" descr="图片6"/>
            <wp:cNvGraphicFramePr>
              <a:graphicFrameLocks noChangeAspect="1"/>
            </wp:cNvGraphicFramePr>
            <a:graphic>
              <a:graphicData uri="http://schemas.openxmlformats.org/drawingml/2006/picture">
                <pic:pic>
                  <pic:nvPicPr>
                    <pic:cNvPr id="30" name="图片 13 30"/>
                    <pic:cNvPicPr/>
                  </pic:nvPicPr>
                  <pic:blipFill>
                    <a:blip r:embed="rId12"/>
                    <a:stretch>
                      <a:fillRect/>
                    </a:stretch>
                  </pic:blipFill>
                  <pic:spPr>
                    <a:xfrm rot="0">
                      <a:off x="0" y="0"/>
                      <a:ext cx="4839970" cy="2755265"/>
                    </a:xfrm>
                    <a:prstGeom prst="rect"/>
                    <a:noFill/>
                    <a:ln w="9525" cmpd="sng" cap="flat">
                      <a:noFill/>
                      <a:prstDash val="solid"/>
                      <a:miter/>
                    </a:ln>
                  </pic:spPr>
                </pic:pic>
              </a:graphicData>
            </a:graphic>
          </wp:inline>
        </w:drawing>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1" w:name="_Toc15377212"/>
      <w:r>
        <w:rPr>
          <w:rFonts w:ascii="Times New Roman" w:eastAsia="楷体_GB2312" w:cs="楷体_GB2312" w:hAnsi="Times New Roman" w:hint="eastAsia"/>
          <w:b/>
          <w:color w:val="auto"/>
          <w:sz w:val="32"/>
          <w:szCs w:val="32"/>
          <w:highlight w:val="auto"/>
        </w:rPr>
        <w:t>（三）一般公共预算财政拨款支出决算具体情况</w:t>
      </w:r>
      <w:bookmarkEnd w:id="31"/>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bookmarkStart w:id="32" w:name="_Toc15378460"/>
      <w:bookmarkStart w:id="33" w:name="_Toc15377444"/>
      <w:bookmarkStart w:id="34" w:name="_Toc15377213"/>
      <w:r>
        <w:rPr>
          <w:rFonts w:ascii="Times New Roman" w:eastAsia="仿宋_GB2312" w:cs="仿宋_GB2312" w:hAnsi="Times New Roman" w:hint="eastAsia"/>
          <w:color w:val="auto"/>
          <w:kern w:val="2"/>
          <w:sz w:val="32"/>
          <w:szCs w:val="32"/>
          <w:lang w:val="en-US" w:eastAsia="zh-CN" w:bidi="ar-SA"/>
          <w:highlight w:val="auto"/>
        </w:rPr>
        <w:t>2024年度一般公共预算财政拨款支出决算数为</w:t>
      </w:r>
      <w:r>
        <w:rPr>
          <w:rFonts w:ascii="仿宋_GB2312" w:eastAsia="仿宋_GB2312" w:cs="仿宋_GB2312" w:hint="eastAsia"/>
          <w:sz w:val="32"/>
          <w:szCs w:val="32"/>
        </w:rPr>
        <w:t>2</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123.51</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%。其中：</w:t>
      </w:r>
      <w:bookmarkEnd w:id="32"/>
      <w:bookmarkEnd w:id="33"/>
      <w:bookmarkEnd w:id="34"/>
    </w:p>
    <w:p>
      <w:pPr>
        <w:spacing w:line="600" w:lineRule="exact"/>
        <w:ind w:left="0"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rPr>
        <w:t>1.</w:t>
      </w:r>
      <w:r>
        <w:rPr>
          <w:rFonts w:ascii="Times New Roman" w:eastAsia="仿宋_GB2312" w:cs="仿宋_GB2312" w:hAnsi="Times New Roman" w:hint="eastAsia"/>
          <w:color w:val="auto"/>
          <w:kern w:val="2"/>
          <w:sz w:val="32"/>
          <w:szCs w:val="32"/>
          <w:lang w:val="en-US" w:eastAsia="zh-CN" w:bidi="ar-SA"/>
          <w:highlight w:val="auto"/>
        </w:rPr>
        <w:t>社会保障和就业（类）人力资源和社会保障管理事务（款）其他人力资源和社会保障管理事务支出（项）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179.75</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rPr>
        <w:t>2.</w:t>
      </w:r>
      <w:r>
        <w:rPr>
          <w:rFonts w:ascii="Times New Roman" w:eastAsia="仿宋_GB2312" w:cs="仿宋_GB2312" w:hAnsi="Times New Roman" w:hint="eastAsia"/>
          <w:color w:val="auto"/>
          <w:kern w:val="2"/>
          <w:sz w:val="32"/>
          <w:szCs w:val="32"/>
          <w:lang w:val="en-US" w:eastAsia="zh-CN" w:bidi="ar-SA"/>
          <w:highlight w:val="auto"/>
        </w:rPr>
        <w:t>社会保障和就业（类）行政事业单位养老支出（款）事业单位离退休（项）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629.44</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rPr>
        <w:t>3</w:t>
      </w:r>
      <w:r>
        <w:rPr>
          <w:rFonts w:ascii="Times New Roman" w:eastAsia="仿宋_GB2312" w:cs="仿宋_GB2312" w:hAnsi="Times New Roman" w:hint="eastAsia"/>
          <w:color w:val="auto"/>
          <w:kern w:val="2"/>
          <w:sz w:val="32"/>
          <w:szCs w:val="32"/>
          <w:lang w:val="en-US" w:eastAsia="zh-CN" w:bidi="ar-SA"/>
        </w:rPr>
        <w:t>.</w:t>
      </w:r>
      <w:r>
        <w:rPr>
          <w:rFonts w:ascii="Times New Roman" w:eastAsia="仿宋_GB2312" w:cs="仿宋_GB2312" w:hAnsi="Times New Roman" w:hint="eastAsia"/>
          <w:color w:val="auto"/>
          <w:kern w:val="2"/>
          <w:sz w:val="32"/>
          <w:szCs w:val="32"/>
          <w:lang w:val="en-US" w:eastAsia="zh-CN" w:bidi="ar-SA"/>
          <w:highlight w:val="auto"/>
        </w:rPr>
        <w:t>社会保障和就业（类）抚恤（款）死亡抚恤（项）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17.36</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4.</w:t>
      </w:r>
      <w:r>
        <w:rPr>
          <w:rFonts w:ascii="Times New Roman" w:eastAsia="仿宋_GB2312" w:cs="仿宋_GB2312" w:hAnsi="Times New Roman" w:hint="eastAsia"/>
          <w:color w:val="auto"/>
          <w:kern w:val="2"/>
          <w:sz w:val="32"/>
          <w:szCs w:val="32"/>
          <w:lang w:val="en-US" w:eastAsia="zh-CN" w:bidi="ar-SA"/>
          <w:highlight w:val="auto"/>
        </w:rPr>
        <w:t>卫生健康支出（类）公立医院（款）综合医院（项）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24.2</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5.</w:t>
      </w:r>
      <w:r>
        <w:rPr>
          <w:rFonts w:ascii="Times New Roman" w:eastAsia="仿宋_GB2312" w:cs="仿宋_GB2312" w:hAnsi="Times New Roman" w:hint="eastAsia"/>
          <w:color w:val="auto"/>
          <w:kern w:val="2"/>
          <w:sz w:val="32"/>
          <w:szCs w:val="32"/>
          <w:lang w:val="en-US" w:eastAsia="zh-CN" w:bidi="ar-SA"/>
          <w:highlight w:val="auto"/>
        </w:rPr>
        <w:t>卫生健康支出（类）公立医院（款）其他公立医院支出（项）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81</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6.卫生健康支出（类）公共卫生（款）基本公共卫生服务（项）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75</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7</w:t>
      </w:r>
      <w:r>
        <w:rPr>
          <w:rFonts w:ascii="Times New Roman" w:eastAsia="仿宋_GB2312" w:cs="仿宋_GB2312" w:hAnsi="Times New Roman" w:hint="eastAsia"/>
          <w:color w:val="auto"/>
          <w:kern w:val="2"/>
          <w:sz w:val="32"/>
          <w:szCs w:val="32"/>
          <w:lang w:val="en-US" w:eastAsia="zh-CN" w:bidi="ar-SA"/>
          <w:highlight w:val="auto"/>
        </w:rPr>
        <w:t>.卫生健康支出（类）公共卫生（款）重大公共卫生服务（项）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65.86</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8</w:t>
      </w:r>
      <w:r>
        <w:rPr>
          <w:rFonts w:ascii="Times New Roman" w:eastAsia="仿宋_GB2312" w:cs="仿宋_GB2312" w:hAnsi="Times New Roman" w:hint="eastAsia"/>
          <w:color w:val="auto"/>
          <w:kern w:val="2"/>
          <w:sz w:val="32"/>
          <w:szCs w:val="32"/>
          <w:lang w:val="en-US" w:eastAsia="zh-CN" w:bidi="ar-SA"/>
          <w:highlight w:val="auto"/>
        </w:rPr>
        <w:t>.卫生健康支出（类）公共卫生（款）其他公共卫生支出（项）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10.24</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ind w:left="0" w:firstLineChars="200" w:firstLine="640"/>
        <w:rPr>
          <w:rFonts w:eastAsia="仿宋_GB2312" w:cs="仿宋_GB2312" w:hint="eastAsia"/>
          <w:color w:val="auto"/>
          <w:kern w:val="2"/>
          <w:sz w:val="32"/>
          <w:szCs w:val="32"/>
          <w:lang w:val="en-US" w:eastAsia="zh-CN" w:bidi="ar-SA"/>
          <w:highlight w:val="auto"/>
        </w:rPr>
      </w:pPr>
      <w:r>
        <w:rPr>
          <w:rFonts w:eastAsia="仿宋_GB2312" w:cs="仿宋_GB2312" w:hint="eastAsia"/>
          <w:color w:val="auto"/>
          <w:kern w:val="2"/>
          <w:sz w:val="32"/>
          <w:szCs w:val="32"/>
          <w:lang w:val="en-US" w:eastAsia="zh-CN" w:bidi="ar-SA"/>
          <w:highlight w:val="auto"/>
        </w:rPr>
        <w:t>9</w:t>
      </w:r>
      <w:r>
        <w:rPr>
          <w:rFonts w:ascii="Times New Roman" w:eastAsia="仿宋_GB2312" w:cs="仿宋_GB2312" w:hAnsi="Times New Roman" w:hint="eastAsia"/>
          <w:color w:val="auto"/>
          <w:kern w:val="2"/>
          <w:sz w:val="32"/>
          <w:szCs w:val="32"/>
          <w:lang w:val="en-US" w:eastAsia="zh-CN" w:bidi="ar-SA"/>
          <w:highlight w:val="auto"/>
        </w:rPr>
        <w:t>.卫生健康支出（类）其他卫生健康支出（款）其他卫生健康支出（项）</w:t>
      </w:r>
      <w:r>
        <w:rPr>
          <w:rFonts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支出决算为</w:t>
      </w:r>
      <w:r>
        <w:rPr>
          <w:rFonts w:eastAsia="仿宋_GB2312" w:cs="仿宋_GB2312" w:hint="eastAsia"/>
          <w:color w:val="auto"/>
          <w:kern w:val="2"/>
          <w:sz w:val="32"/>
          <w:szCs w:val="32"/>
          <w:lang w:val="en-US" w:eastAsia="zh-CN" w:bidi="ar-SA"/>
          <w:highlight w:val="auto"/>
        </w:rPr>
        <w:t>1,040.66</w:t>
      </w:r>
      <w:r>
        <w:rPr>
          <w:rFonts w:ascii="Times New Roman" w:eastAsia="仿宋_GB2312" w:cs="仿宋_GB2312" w:hAnsi="Times New Roman" w:hint="eastAsia"/>
          <w:color w:val="auto"/>
          <w:kern w:val="2"/>
          <w:sz w:val="32"/>
          <w:szCs w:val="32"/>
          <w:lang w:val="en-US" w:eastAsia="zh-CN" w:bidi="ar-SA"/>
          <w:highlight w:val="auto"/>
        </w:rPr>
        <w:t>万元，完成预算</w:t>
      </w:r>
      <w:r>
        <w:rPr>
          <w:rFonts w:eastAsia="仿宋_GB2312" w:cs="仿宋_GB2312" w:hint="eastAsia"/>
          <w:color w:val="auto"/>
          <w:kern w:val="2"/>
          <w:sz w:val="32"/>
          <w:szCs w:val="32"/>
          <w:lang w:val="en-US" w:eastAsia="zh-CN" w:bidi="ar-SA"/>
          <w:highlight w:val="auto"/>
        </w:rPr>
        <w:t>100</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w:t>
      </w:r>
    </w:p>
    <w:p>
      <w:pPr>
        <w:spacing w:line="600" w:lineRule="exact"/>
        <w:rPr>
          <w:rFonts w:ascii="Times New Roman" w:eastAsia="仿宋_GB2312" w:cs="仿宋_GB2312" w:hAnsi="Times New Roman" w:hint="eastAsia"/>
          <w:color w:val="auto"/>
          <w:kern w:val="2"/>
          <w:sz w:val="32"/>
          <w:szCs w:val="32"/>
          <w:lang w:val="en-US" w:eastAsia="zh-CN" w:bidi="ar-SA"/>
          <w:highlight w:val="auto"/>
        </w:rPr>
      </w:pPr>
    </w:p>
    <w:p>
      <w:pPr>
        <w:tabs>
          <w:tab w:val="right" w:pos="8306"/>
        </w:tabs>
        <w:spacing w:line="600" w:lineRule="exact"/>
        <w:ind w:firstLine="640"/>
        <w:outlineLvl w:val="1"/>
        <w:rPr>
          <w:rStyle w:val="2Char"/>
          <w:rFonts w:ascii="Times New Roman" w:hAnsi="Times New Roman"/>
          <w:color w:val="auto"/>
          <w:highlight w:val="auto"/>
        </w:rPr>
      </w:pPr>
      <w:bookmarkStart w:id="35" w:name="_Toc15377214"/>
      <w:bookmarkStart w:id="36" w:name="_Toc15396608"/>
      <w:r>
        <w:rPr>
          <w:rFonts w:ascii="Times New Roman" w:eastAsia="黑体" w:hAnsi="Times New Roman" w:hint="eastAsia"/>
          <w:color w:val="auto"/>
          <w:sz w:val="32"/>
          <w:szCs w:val="32"/>
          <w:highlight w:val="auto"/>
        </w:rPr>
        <w:t>六</w:t>
      </w:r>
      <w:r>
        <w:rPr>
          <w:rFonts w:ascii="Times New Roman" w:eastAsia="黑体" w:hAnsi="Times New Roman" w:hint="eastAsia"/>
          <w:b/>
          <w:color w:val="auto"/>
          <w:sz w:val="32"/>
          <w:szCs w:val="32"/>
          <w:highlight w:val="auto"/>
        </w:rPr>
        <w:t>、一</w:t>
      </w:r>
      <w:r>
        <w:rPr>
          <w:rStyle w:val="2Char"/>
          <w:rFonts w:ascii="Times New Roman" w:eastAsia="黑体" w:hAnsi="Times New Roman" w:hint="eastAsia"/>
          <w:b w:val="0"/>
          <w:color w:val="auto"/>
          <w:highlight w:val="auto"/>
        </w:rPr>
        <w:t>般公共预算财政拨款基本支出决算情况说明</w:t>
      </w:r>
      <w:bookmarkEnd w:id="35"/>
      <w:bookmarkEnd w:id="36"/>
      <w:r>
        <w:rPr>
          <w:rStyle w:val="2Char"/>
          <w:rFonts w:ascii="Times New Roman" w:eastAsia="黑体" w:hAnsi="Times New Roman"/>
          <w:b w:val="0"/>
          <w:color w:val="auto"/>
          <w:highlight w:val="auto"/>
        </w:rPr>
        <w:tab/>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2024年度一般公共预算财政拨款基本支出</w:t>
      </w:r>
      <w:r>
        <w:rPr>
          <w:rFonts w:ascii="仿宋_GB2312" w:eastAsia="仿宋_GB2312" w:cs="仿宋_GB2312" w:hint="eastAsia"/>
          <w:sz w:val="32"/>
          <w:szCs w:val="32"/>
        </w:rPr>
        <w:t>815.5</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人员经费</w:t>
      </w:r>
      <w:r>
        <w:rPr>
          <w:rFonts w:ascii="仿宋_GB2312" w:eastAsia="仿宋_GB2312" w:cs="仿宋_GB2312" w:hint="eastAsia"/>
          <w:sz w:val="32"/>
          <w:szCs w:val="32"/>
        </w:rPr>
        <w:t>811.1</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元，主要包括：离休费、抚恤金、生活补助、医疗费补助、其他对个人和家庭的补助支出。</w:t>
        <w:br/>
        <w:t>　　公用经费</w:t>
      </w:r>
      <w:r>
        <w:rPr>
          <w:rFonts w:ascii="仿宋_GB2312" w:eastAsia="仿宋_GB2312" w:cs="仿宋_GB2312" w:hint="eastAsia"/>
          <w:sz w:val="32"/>
          <w:szCs w:val="32"/>
        </w:rPr>
        <w:t>4.4</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元，主要包括：其他商品和服务支出。</w:t>
      </w:r>
    </w:p>
    <w:p>
      <w:pPr>
        <w:spacing w:line="600" w:lineRule="exact"/>
        <w:ind w:firstLine="640"/>
        <w:outlineLvl w:val="1"/>
        <w:rPr>
          <w:rStyle w:val="2Char"/>
          <w:rFonts w:ascii="Times New Roman" w:eastAsia="黑体" w:hAnsi="Times New Roman"/>
          <w:b w:val="0"/>
          <w:color w:val="auto"/>
          <w:highlight w:val="auto"/>
        </w:rPr>
      </w:pPr>
      <w:bookmarkStart w:id="37" w:name="_Toc15377215"/>
      <w:bookmarkStart w:id="38" w:name="_Toc15396609"/>
      <w:r>
        <w:rPr>
          <w:rFonts w:ascii="Times New Roman" w:eastAsia="黑体" w:hAnsi="Times New Roman" w:hint="eastAsia"/>
          <w:color w:val="auto"/>
          <w:sz w:val="32"/>
          <w:szCs w:val="32"/>
          <w:highlight w:val="auto"/>
        </w:rPr>
        <w:t>七、</w:t>
      </w:r>
      <w:r>
        <w:rPr>
          <w:rStyle w:val="2Char"/>
          <w:rFonts w:ascii="Times New Roman" w:eastAsia="黑体" w:hAnsi="Times New Roman" w:hint="eastAsia"/>
          <w:b w:val="0"/>
          <w:color w:val="auto"/>
          <w:highlight w:val="auto"/>
        </w:rPr>
        <w:t>财政拨款</w:t>
      </w:r>
      <w:r>
        <w:rPr>
          <w:rStyle w:val="2Char"/>
          <w:rFonts w:ascii="Times New Roman" w:eastAsia="黑体" w:hAnsi="Times New Roman" w:hint="eastAsia"/>
          <w:color w:val="auto"/>
          <w:highlight w:val="auto"/>
        </w:rPr>
        <w:t>“</w:t>
      </w:r>
      <w:r>
        <w:rPr>
          <w:rStyle w:val="2Char"/>
          <w:rFonts w:ascii="Times New Roman" w:eastAsia="黑体" w:hAnsi="Times New Roman" w:hint="eastAsia"/>
          <w:b w:val="0"/>
          <w:color w:val="auto"/>
          <w:highlight w:val="auto"/>
        </w:rPr>
        <w:t>三公”经费支出决算情况说明</w:t>
      </w:r>
      <w:bookmarkEnd w:id="37"/>
      <w:bookmarkEnd w:id="38"/>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39" w:name="_Toc15377216"/>
      <w:r>
        <w:rPr>
          <w:rFonts w:ascii="Times New Roman" w:eastAsia="楷体_GB2312" w:cs="楷体_GB2312" w:hAnsi="Times New Roman" w:hint="eastAsia"/>
          <w:b/>
          <w:color w:val="auto"/>
          <w:sz w:val="32"/>
          <w:szCs w:val="32"/>
          <w:highlight w:val="auto"/>
        </w:rPr>
        <w:t>（一）“三公”经费财政拨款支出决算总体情况说明</w:t>
      </w:r>
      <w:bookmarkEnd w:id="39"/>
    </w:p>
    <w:p>
      <w:pPr>
        <w:spacing w:line="600" w:lineRule="exact"/>
        <w:ind w:firstLine="640"/>
        <w:rPr>
          <w:rFonts w:ascii="Times New Roman" w:eastAsia="仿宋_GB2312" w:cs="仿宋_GB2312" w:hAnsi="Times New Roman" w:hint="eastAsia"/>
          <w:b/>
          <w:bCs/>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2024年度“三公”经费财政拨款支出决算为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万元，完成预算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%，与上年持平</w:t>
      </w:r>
      <w:r>
        <w:rPr>
          <w:rFonts w:ascii="Times New Roman" w:eastAsia="仿宋_GB2312" w:cs="仿宋_GB2312" w:hAnsi="Times New Roman" w:hint="eastAsia"/>
          <w:color w:val="auto"/>
          <w:kern w:val="2"/>
          <w:sz w:val="32"/>
          <w:szCs w:val="32"/>
          <w:lang w:val="en-US" w:eastAsia="zh-CN" w:bidi="ar-SA"/>
          <w:highlight w:val="auto"/>
        </w:rPr>
        <w:t>。决算数与预算数持平的主要原因是</w:t>
      </w:r>
      <w:r>
        <w:rPr>
          <w:rFonts w:ascii="仿宋" w:eastAsia="仿宋" w:hint="eastAsia"/>
          <w:color w:val="auto"/>
          <w:sz w:val="32"/>
          <w:szCs w:val="32"/>
          <w:lang w:val="en-US" w:eastAsia="zh-CN"/>
          <w:highlight w:val="auto"/>
        </w:rPr>
        <w:t>均未安排“三公”</w:t>
      </w:r>
      <w:r>
        <w:rPr>
          <w:rFonts w:ascii="仿宋" w:eastAsia="仿宋" w:hint="eastAsia"/>
          <w:sz w:val="32"/>
          <w:szCs w:val="32"/>
          <w:lang w:val="en-US" w:eastAsia="zh-CN"/>
        </w:rPr>
        <w:t>经费财政拨款支出。</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0" w:name="_Toc15377217"/>
      <w:r>
        <w:rPr>
          <w:rFonts w:ascii="Times New Roman" w:eastAsia="楷体_GB2312" w:cs="楷体_GB2312" w:hAnsi="Times New Roman" w:hint="eastAsia"/>
          <w:b/>
          <w:color w:val="auto"/>
          <w:sz w:val="32"/>
          <w:szCs w:val="32"/>
          <w:highlight w:val="auto"/>
        </w:rPr>
        <w:t>（二）“三公”经费财政拨款支出决算具体情况说明</w:t>
      </w:r>
      <w:bookmarkEnd w:id="40"/>
    </w:p>
    <w:p>
      <w:pPr>
        <w:spacing w:line="600" w:lineRule="exact"/>
        <w:ind w:firstLine="640"/>
        <w:rPr>
          <w:rFonts w:ascii="仿宋_GB2312" w:eastAsia="仿宋_GB2312" w:cs="仿宋_GB2312"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2024年度“三公”经费财政拨款支出决算中，因公出国（境）费支出决算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万元，占0%；公务用车购置及运行维护费支出决算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万元，占0%；公务接待费支出决算</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万元，占0%。具体情况如下：</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1.因公出国（境）经费支出</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万元，完成预算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全年安排因公出国（境）团</w:t>
      </w:r>
      <w:r>
        <w:rPr>
          <w:rFonts w:ascii="仿宋_GB2312" w:eastAsia="仿宋_GB2312" w:cs="仿宋_GB2312" w:hint="eastAsia"/>
          <w:color w:val="auto"/>
          <w:kern w:val="2"/>
          <w:sz w:val="32"/>
          <w:szCs w:val="32"/>
          <w:lang w:val="en-US" w:eastAsia="zh-CN" w:bidi="ar-SA"/>
          <w:highlight w:val="auto"/>
        </w:rPr>
        <w:t>组</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次，出国（境）</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w:t>
      </w:r>
      <w:r>
        <w:rPr>
          <w:rFonts w:ascii="Times New Roman" w:eastAsia="仿宋_GB2312" w:cs="仿宋_GB2312" w:hAnsi="Times New Roman" w:hint="eastAsia"/>
          <w:color w:val="auto"/>
          <w:kern w:val="2"/>
          <w:sz w:val="32"/>
          <w:szCs w:val="32"/>
          <w:lang w:val="en-US" w:eastAsia="zh-CN" w:bidi="ar-SA"/>
          <w:highlight w:val="auto"/>
        </w:rPr>
        <w:t>。因公出国（境）支出决算</w:t>
      </w:r>
      <w:r>
        <w:rPr>
          <w:rFonts w:eastAsia="仿宋_GB2312" w:cs="仿宋_GB2312" w:hint="eastAsia"/>
          <w:color w:val="auto"/>
          <w:kern w:val="2"/>
          <w:sz w:val="32"/>
          <w:szCs w:val="32"/>
          <w:lang w:val="en-US" w:eastAsia="zh-CN" w:bidi="ar-SA"/>
          <w:highlight w:val="auto"/>
        </w:rPr>
        <w:t>与</w:t>
      </w:r>
      <w:r>
        <w:rPr>
          <w:rFonts w:ascii="Times New Roman" w:eastAsia="仿宋_GB2312" w:cs="仿宋_GB2312" w:hAnsi="Times New Roman" w:hint="eastAsia"/>
          <w:color w:val="auto"/>
          <w:kern w:val="2"/>
          <w:sz w:val="32"/>
          <w:szCs w:val="32"/>
          <w:lang w:val="en-US" w:eastAsia="zh-CN" w:bidi="ar-SA"/>
          <w:highlight w:val="auto"/>
        </w:rPr>
        <w:t>2023年</w:t>
      </w:r>
      <w:r>
        <w:rPr>
          <w:rFonts w:eastAsia="仿宋_GB2312" w:cs="仿宋_GB2312" w:hint="eastAsia"/>
          <w:color w:val="auto"/>
          <w:kern w:val="2"/>
          <w:sz w:val="32"/>
          <w:szCs w:val="32"/>
          <w:lang w:val="en-US" w:eastAsia="zh-CN" w:bidi="ar-SA"/>
          <w:highlight w:val="auto"/>
        </w:rPr>
        <w:t>持平</w:t>
      </w:r>
      <w:r>
        <w:rPr>
          <w:rFonts w:ascii="Times New Roman" w:eastAsia="仿宋_GB2312" w:cs="仿宋_GB2312" w:hAnsi="Times New Roman" w:hint="eastAsia"/>
          <w:color w:val="auto"/>
          <w:kern w:val="2"/>
          <w:sz w:val="32"/>
          <w:szCs w:val="32"/>
          <w:lang w:val="en-US" w:eastAsia="zh-CN" w:bidi="ar-SA"/>
          <w:highlight w:val="auto"/>
        </w:rPr>
        <w:t>。主要原因是</w:t>
      </w:r>
      <w:r>
        <w:rPr>
          <w:rFonts w:ascii="仿宋_GB2312" w:eastAsia="仿宋_GB2312" w:hint="eastAsia"/>
          <w:sz w:val="32"/>
          <w:szCs w:val="32"/>
          <w:lang w:val="en-US" w:eastAsia="zh-CN"/>
        </w:rPr>
        <w:t>均未安排财政拨款因公出国（境）经费支出。</w:t>
      </w:r>
    </w:p>
    <w:p>
      <w:pPr>
        <w:spacing w:line="600" w:lineRule="exact"/>
        <w:ind w:firstLine="640"/>
        <w:rPr>
          <w:rFonts w:ascii="仿宋_GB2312" w:eastAsia="仿宋_GB2312"/>
          <w:b/>
          <w:color w:val="auto"/>
          <w:sz w:val="32"/>
          <w:szCs w:val="32"/>
          <w:lang w:val="en-US" w:eastAsia="zh-CN"/>
          <w:highlight w:val="auto"/>
        </w:rPr>
      </w:pPr>
      <w:r>
        <w:rPr>
          <w:rFonts w:ascii="Times New Roman" w:eastAsia="仿宋_GB2312" w:cs="仿宋_GB2312" w:hAnsi="Times New Roman" w:hint="eastAsia"/>
          <w:b/>
          <w:bCs/>
          <w:color w:val="auto"/>
          <w:kern w:val="2"/>
          <w:sz w:val="32"/>
          <w:szCs w:val="32"/>
          <w:lang w:val="en-US" w:eastAsia="zh-CN" w:bidi="ar-SA"/>
          <w:highlight w:val="auto"/>
        </w:rPr>
        <w:t>2.公务用车购置及运行维护费支出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w:t>
      </w:r>
      <w:r>
        <w:rPr>
          <w:rFonts w:eastAsia="仿宋_GB2312" w:cs="仿宋_GB2312" w:hint="eastAsia"/>
          <w:b/>
          <w:bCs/>
          <w:color w:val="auto"/>
          <w:kern w:val="2"/>
          <w:sz w:val="32"/>
          <w:szCs w:val="32"/>
          <w:lang w:val="en-US" w:eastAsia="zh-CN" w:bidi="ar-SA"/>
          <w:highlight w:val="auto"/>
        </w:rPr>
        <w:t>，</w:t>
      </w:r>
      <w:r>
        <w:rPr>
          <w:rFonts w:ascii="Times New Roman" w:eastAsia="仿宋_GB2312" w:cs="仿宋_GB2312" w:hAnsi="Times New Roman" w:hint="eastAsia"/>
          <w:b/>
          <w:bCs/>
          <w:color w:val="auto"/>
          <w:kern w:val="2"/>
          <w:sz w:val="32"/>
          <w:szCs w:val="32"/>
          <w:lang w:val="en-US" w:eastAsia="zh-CN" w:bidi="ar-SA"/>
          <w:highlight w:val="auto"/>
        </w:rPr>
        <w:t>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公务用车购置及运行维护费支出决算</w:t>
      </w:r>
      <w:r>
        <w:rPr>
          <w:rFonts w:eastAsia="仿宋_GB2312" w:cs="仿宋_GB2312" w:hint="eastAsia"/>
          <w:color w:val="auto"/>
          <w:kern w:val="2"/>
          <w:sz w:val="32"/>
          <w:szCs w:val="32"/>
          <w:lang w:val="en-US" w:eastAsia="zh-CN" w:bidi="ar-SA"/>
          <w:highlight w:val="auto"/>
        </w:rPr>
        <w:t>与</w:t>
      </w:r>
      <w:r>
        <w:rPr>
          <w:rFonts w:ascii="Times New Roman" w:eastAsia="仿宋_GB2312" w:cs="仿宋_GB2312" w:hAnsi="Times New Roman" w:hint="eastAsia"/>
          <w:color w:val="auto"/>
          <w:kern w:val="2"/>
          <w:sz w:val="32"/>
          <w:szCs w:val="32"/>
          <w:lang w:val="en-US" w:eastAsia="zh-CN" w:bidi="ar-SA"/>
          <w:highlight w:val="auto"/>
        </w:rPr>
        <w:t>2023年度</w:t>
      </w:r>
      <w:r>
        <w:rPr>
          <w:rFonts w:eastAsia="仿宋_GB2312" w:cs="仿宋_GB2312" w:hint="eastAsia"/>
          <w:color w:val="auto"/>
          <w:kern w:val="2"/>
          <w:sz w:val="32"/>
          <w:szCs w:val="32"/>
          <w:lang w:val="en-US" w:eastAsia="zh-CN" w:bidi="ar-SA"/>
          <w:highlight w:val="auto"/>
        </w:rPr>
        <w:t>持平</w:t>
      </w:r>
      <w:r>
        <w:rPr>
          <w:rFonts w:ascii="Times New Roman" w:eastAsia="仿宋_GB2312" w:cs="仿宋_GB2312" w:hAnsi="Times New Roman" w:hint="eastAsia"/>
          <w:color w:val="auto"/>
          <w:kern w:val="2"/>
          <w:sz w:val="32"/>
          <w:szCs w:val="32"/>
          <w:lang w:val="en-US" w:eastAsia="zh-CN" w:bidi="ar-SA"/>
          <w:highlight w:val="auto"/>
        </w:rPr>
        <w:t>。主要原因是</w:t>
      </w:r>
      <w:r>
        <w:rPr>
          <w:rFonts w:ascii="仿宋_GB2312" w:eastAsia="仿宋_GB2312" w:hint="eastAsia"/>
          <w:sz w:val="32"/>
          <w:szCs w:val="32"/>
          <w:lang w:val="en-US" w:eastAsia="zh-CN"/>
        </w:rPr>
        <w:t>均未安排财政拨款公务用车购置及运行维护费支出。</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其中：公务用车购置支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万元。全年按规定更新购置公务用车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万元，越野车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万元，载客汽车</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辆、金额</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万元。截至2024年12月31日，单位共有公务用车</w:t>
      </w:r>
      <w:r>
        <w:rPr>
          <w:rFonts w:eastAsia="仿宋_GB2312" w:cs="仿宋_GB2312" w:hint="eastAsia"/>
          <w:color w:val="auto"/>
          <w:kern w:val="2"/>
          <w:sz w:val="32"/>
          <w:szCs w:val="32"/>
          <w:lang w:val="en-US" w:eastAsia="zh-CN" w:bidi="ar-SA"/>
          <w:highlight w:val="auto"/>
        </w:rPr>
        <w:t>14</w:t>
      </w:r>
      <w:r>
        <w:rPr>
          <w:rFonts w:ascii="Times New Roman" w:eastAsia="仿宋_GB2312" w:cs="仿宋_GB2312" w:hAnsi="Times New Roman" w:hint="eastAsia"/>
          <w:color w:val="auto"/>
          <w:kern w:val="2"/>
          <w:sz w:val="32"/>
          <w:szCs w:val="32"/>
          <w:lang w:val="en-US" w:eastAsia="zh-CN" w:bidi="ar-SA"/>
          <w:highlight w:val="auto"/>
        </w:rPr>
        <w:t>辆，其中：轿车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辆、越野车</w:t>
      </w:r>
      <w:r>
        <w:rPr>
          <w:rFonts w:eastAsia="仿宋_GB2312" w:cs="仿宋_GB2312" w:hint="eastAsia"/>
          <w:color w:val="auto"/>
          <w:kern w:val="2"/>
          <w:sz w:val="32"/>
          <w:szCs w:val="32"/>
          <w:lang w:val="en-US" w:eastAsia="zh-CN" w:bidi="ar-SA"/>
          <w:highlight w:val="auto"/>
        </w:rPr>
        <w:t>1</w:t>
      </w:r>
      <w:r>
        <w:rPr>
          <w:rFonts w:ascii="Times New Roman" w:eastAsia="仿宋_GB2312" w:cs="仿宋_GB2312" w:hAnsi="Times New Roman" w:hint="eastAsia"/>
          <w:color w:val="auto"/>
          <w:kern w:val="2"/>
          <w:sz w:val="32"/>
          <w:szCs w:val="32"/>
          <w:lang w:val="en-US" w:eastAsia="zh-CN" w:bidi="ar-SA"/>
          <w:highlight w:val="auto"/>
        </w:rPr>
        <w:t>辆、</w:t>
      </w:r>
      <w:r>
        <w:rPr>
          <w:rFonts w:eastAsia="仿宋_GB2312" w:cs="仿宋_GB2312" w:hint="eastAsia"/>
          <w:color w:val="auto"/>
          <w:kern w:val="2"/>
          <w:sz w:val="32"/>
          <w:szCs w:val="32"/>
          <w:lang w:val="en-US" w:eastAsia="zh-CN" w:bidi="ar-SA"/>
          <w:highlight w:val="auto"/>
        </w:rPr>
        <w:t>其他车型12</w:t>
      </w:r>
      <w:r>
        <w:rPr>
          <w:rFonts w:ascii="Times New Roman" w:eastAsia="仿宋_GB2312" w:cs="仿宋_GB2312" w:hAnsi="Times New Roman" w:hint="eastAsia"/>
          <w:color w:val="auto"/>
          <w:kern w:val="2"/>
          <w:sz w:val="32"/>
          <w:szCs w:val="32"/>
          <w:lang w:val="en-US" w:eastAsia="zh-CN" w:bidi="ar-SA"/>
          <w:highlight w:val="auto"/>
        </w:rPr>
        <w:t>辆。</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公务用车运行维护费支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万元。</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b/>
          <w:bCs/>
          <w:color w:val="auto"/>
          <w:kern w:val="2"/>
          <w:sz w:val="32"/>
          <w:szCs w:val="32"/>
          <w:lang w:val="en-US" w:eastAsia="zh-CN" w:bidi="ar-SA"/>
          <w:highlight w:val="auto"/>
        </w:rPr>
        <w:t>3.公务接待费支出</w:t>
      </w:r>
      <w:r>
        <w:rPr>
          <w:rFonts w:ascii="仿宋_GB2312" w:eastAsia="仿宋_GB2312" w:cs="仿宋_GB2312" w:hint="eastAsia"/>
          <w:b/>
          <w:bCs/>
          <w:color w:val="auto"/>
          <w:kern w:val="2"/>
          <w:sz w:val="32"/>
          <w:szCs w:val="32"/>
          <w:lang w:val="en-US" w:eastAsia="zh-CN" w:bidi="ar-SA"/>
          <w:highlight w:val="auto"/>
        </w:rPr>
        <w:t>0万</w:t>
      </w:r>
      <w:r>
        <w:rPr>
          <w:rFonts w:ascii="Times New Roman" w:eastAsia="仿宋_GB2312" w:cs="仿宋_GB2312" w:hAnsi="Times New Roman" w:hint="eastAsia"/>
          <w:b/>
          <w:bCs/>
          <w:color w:val="auto"/>
          <w:kern w:val="2"/>
          <w:sz w:val="32"/>
          <w:szCs w:val="32"/>
          <w:lang w:val="en-US" w:eastAsia="zh-CN" w:bidi="ar-SA"/>
          <w:highlight w:val="auto"/>
        </w:rPr>
        <w:t>元，完成预算</w:t>
      </w:r>
      <w:r>
        <w:rPr>
          <w:rFonts w:eastAsia="仿宋_GB2312" w:cs="仿宋_GB2312" w:hint="eastAsia"/>
          <w:b/>
          <w:bCs/>
          <w:color w:val="auto"/>
          <w:kern w:val="2"/>
          <w:sz w:val="32"/>
          <w:szCs w:val="32"/>
          <w:lang w:val="en-US" w:eastAsia="zh-CN" w:bidi="ar-SA"/>
          <w:highlight w:val="auto"/>
        </w:rPr>
        <w:t>0</w:t>
      </w:r>
      <w:r>
        <w:rPr>
          <w:rFonts w:ascii="Times New Roman" w:eastAsia="仿宋_GB2312" w:cs="仿宋_GB2312" w:hAnsi="Times New Roman" w:hint="eastAsia"/>
          <w:b/>
          <w:bCs/>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公务接待费支出决算</w:t>
      </w:r>
      <w:r>
        <w:rPr>
          <w:rFonts w:eastAsia="仿宋_GB2312" w:cs="仿宋_GB2312" w:hint="eastAsia"/>
          <w:color w:val="auto"/>
          <w:kern w:val="2"/>
          <w:sz w:val="32"/>
          <w:szCs w:val="32"/>
          <w:lang w:val="en-US" w:eastAsia="zh-CN" w:bidi="ar-SA"/>
          <w:highlight w:val="auto"/>
        </w:rPr>
        <w:t>与</w:t>
      </w:r>
      <w:r>
        <w:rPr>
          <w:rFonts w:ascii="Times New Roman" w:eastAsia="仿宋_GB2312" w:cs="仿宋_GB2312" w:hAnsi="Times New Roman" w:hint="eastAsia"/>
          <w:color w:val="auto"/>
          <w:kern w:val="2"/>
          <w:sz w:val="32"/>
          <w:szCs w:val="32"/>
          <w:lang w:val="en-US" w:eastAsia="zh-CN" w:bidi="ar-SA"/>
          <w:highlight w:val="auto"/>
        </w:rPr>
        <w:t>2023年度</w:t>
      </w:r>
      <w:r>
        <w:rPr>
          <w:rFonts w:eastAsia="仿宋_GB2312" w:cs="仿宋_GB2312" w:hint="eastAsia"/>
          <w:color w:val="auto"/>
          <w:kern w:val="2"/>
          <w:sz w:val="32"/>
          <w:szCs w:val="32"/>
          <w:lang w:val="en-US" w:eastAsia="zh-CN" w:bidi="ar-SA"/>
          <w:highlight w:val="auto"/>
        </w:rPr>
        <w:t>持平</w:t>
      </w:r>
      <w:r>
        <w:rPr>
          <w:rFonts w:ascii="Times New Roman" w:eastAsia="仿宋_GB2312" w:cs="仿宋_GB2312" w:hAnsi="Times New Roman" w:hint="eastAsia"/>
          <w:color w:val="auto"/>
          <w:kern w:val="2"/>
          <w:sz w:val="32"/>
          <w:szCs w:val="32"/>
          <w:lang w:val="en-US" w:eastAsia="zh-CN" w:bidi="ar-SA"/>
          <w:highlight w:val="auto"/>
        </w:rPr>
        <w:t>。主要原因是</w:t>
      </w:r>
      <w:r>
        <w:rPr>
          <w:rFonts w:ascii="仿宋_GB2312" w:eastAsia="仿宋_GB2312" w:hint="eastAsia"/>
          <w:sz w:val="32"/>
          <w:szCs w:val="32"/>
          <w:lang w:val="en-US" w:eastAsia="zh-CN"/>
        </w:rPr>
        <w:t>均未安排财政拨款公务接待费支出</w:t>
      </w:r>
      <w:r>
        <w:rPr>
          <w:rFonts w:ascii="Times New Roman" w:eastAsia="仿宋_GB2312" w:cs="仿宋_GB2312" w:hAnsi="Times New Roman" w:hint="eastAsia"/>
          <w:color w:val="auto"/>
          <w:kern w:val="2"/>
          <w:sz w:val="32"/>
          <w:szCs w:val="32"/>
          <w:lang w:val="en-US" w:eastAsia="zh-CN" w:bidi="ar-SA"/>
          <w:highlight w:val="auto"/>
        </w:rPr>
        <w:t>。其中：</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国内公务接待支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元。国内公务接</w:t>
      </w:r>
      <w:r>
        <w:rPr>
          <w:rFonts w:ascii="仿宋_GB2312" w:eastAsia="仿宋_GB2312" w:cs="仿宋_GB2312" w:hint="eastAsia"/>
          <w:color w:val="auto"/>
          <w:kern w:val="2"/>
          <w:sz w:val="32"/>
          <w:szCs w:val="32"/>
          <w:lang w:val="en-US" w:eastAsia="zh-CN" w:bidi="ar-SA"/>
          <w:highlight w:val="auto"/>
        </w:rPr>
        <w:t>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Times New Roman" w:eastAsia="仿宋_GB2312" w:cs="仿宋_GB2312" w:hAnsi="Times New Roman" w:hint="eastAsia"/>
          <w:color w:val="auto"/>
          <w:kern w:val="2"/>
          <w:sz w:val="32"/>
          <w:szCs w:val="32"/>
          <w:lang w:val="en-US" w:eastAsia="zh-CN" w:bidi="ar-SA"/>
          <w:highlight w:val="auto"/>
        </w:rPr>
        <w:t>人次（不包括陪同人员），共计支出</w:t>
      </w:r>
      <w:r>
        <w:rPr>
          <w:rFonts w:eastAsia="仿宋_GB2312" w:cs="仿宋_GB2312" w:hint="eastAsia"/>
          <w:color w:val="auto"/>
          <w:kern w:val="2"/>
          <w:sz w:val="32"/>
          <w:szCs w:val="32"/>
          <w:lang w:val="en-US" w:eastAsia="zh-CN" w:bidi="ar-SA"/>
          <w:highlight w:val="auto"/>
        </w:rPr>
        <w:t>0</w:t>
      </w:r>
      <w:r>
        <w:rPr>
          <w:rFonts w:ascii="Times New Roman" w:eastAsia="仿宋_GB2312" w:cs="仿宋_GB2312" w:hAnsi="Times New Roman" w:hint="eastAsia"/>
          <w:color w:val="auto"/>
          <w:kern w:val="2"/>
          <w:sz w:val="32"/>
          <w:szCs w:val="32"/>
          <w:lang w:val="en-US" w:eastAsia="zh-CN" w:bidi="ar-SA"/>
          <w:highlight w:val="auto"/>
        </w:rPr>
        <w:t>万元。</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外事接待支</w:t>
      </w:r>
      <w:r>
        <w:rPr>
          <w:rFonts w:ascii="仿宋_GB2312" w:eastAsia="仿宋_GB2312" w:cs="仿宋_GB2312" w:hint="eastAsia"/>
          <w:color w:val="auto"/>
          <w:kern w:val="2"/>
          <w:sz w:val="32"/>
          <w:szCs w:val="32"/>
          <w:lang w:val="en-US" w:eastAsia="zh-CN" w:bidi="ar-SA"/>
          <w:highlight w:val="auto"/>
        </w:rPr>
        <w:t>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万元。外事接待</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批次，</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人次（不包括陪同人员），共计支出0万</w:t>
      </w:r>
      <w:r>
        <w:rPr>
          <w:rFonts w:ascii="Times New Roman" w:eastAsia="仿宋_GB2312" w:cs="仿宋_GB2312" w:hAnsi="Times New Roman" w:hint="eastAsia"/>
          <w:color w:val="auto"/>
          <w:kern w:val="2"/>
          <w:sz w:val="32"/>
          <w:szCs w:val="32"/>
          <w:lang w:val="en-US" w:eastAsia="zh-CN" w:bidi="ar-SA"/>
          <w:highlight w:val="auto"/>
        </w:rPr>
        <w:t>元。</w:t>
      </w:r>
    </w:p>
    <w:p>
      <w:pPr>
        <w:spacing w:line="600" w:lineRule="exact"/>
        <w:ind w:firstLineChars="200" w:firstLine="640"/>
        <w:outlineLvl w:val="1"/>
        <w:rPr>
          <w:rStyle w:val="2Char"/>
          <w:rFonts w:ascii="Times New Roman" w:eastAsia="黑体" w:hAnsi="Times New Roman"/>
          <w:color w:val="auto"/>
          <w:highlight w:val="auto"/>
        </w:rPr>
      </w:pPr>
      <w:bookmarkStart w:id="41" w:name="_Toc15377218"/>
      <w:bookmarkStart w:id="42" w:name="_Toc15396610"/>
      <w:r>
        <w:rPr>
          <w:rFonts w:ascii="Times New Roman" w:eastAsia="黑体" w:hAnsi="Times New Roman" w:hint="eastAsia"/>
          <w:color w:val="auto"/>
          <w:sz w:val="32"/>
          <w:szCs w:val="32"/>
          <w:highlight w:val="auto"/>
        </w:rPr>
        <w:t>八、</w:t>
      </w:r>
      <w:r>
        <w:rPr>
          <w:rStyle w:val="2Char"/>
          <w:rFonts w:ascii="Times New Roman" w:eastAsia="黑体" w:hAnsi="Times New Roman" w:hint="eastAsia"/>
          <w:b w:val="0"/>
          <w:color w:val="auto"/>
          <w:highlight w:val="auto"/>
        </w:rPr>
        <w:t>政府性基金预算支出决算情况说明</w:t>
      </w:r>
      <w:bookmarkEnd w:id="41"/>
      <w:bookmarkEnd w:id="42"/>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2024年度政府性基金预算财政拨款支出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。与2023年度</w:t>
      </w:r>
      <w:r>
        <w:rPr>
          <w:rFonts w:eastAsia="仿宋_GB2312" w:cs="仿宋_GB2312" w:hint="eastAsia"/>
          <w:color w:val="auto"/>
          <w:kern w:val="2"/>
          <w:sz w:val="32"/>
          <w:szCs w:val="32"/>
          <w:lang w:val="en-US" w:eastAsia="zh-CN" w:bidi="ar-SA"/>
          <w:highlight w:val="auto"/>
        </w:rPr>
        <w:t>持平。</w:t>
      </w:r>
    </w:p>
    <w:p>
      <w:pPr>
        <w:spacing w:line="600" w:lineRule="exact"/>
        <w:ind w:left="630"/>
        <w:outlineLvl w:val="1"/>
        <w:rPr>
          <w:rStyle w:val="2Char"/>
          <w:rFonts w:ascii="Times New Roman" w:eastAsia="黑体" w:hAnsi="Times New Roman"/>
          <w:b w:val="0"/>
          <w:color w:val="auto"/>
          <w:highlight w:val="auto"/>
        </w:rPr>
      </w:pPr>
      <w:bookmarkStart w:id="43" w:name="_Toc15377219"/>
      <w:bookmarkStart w:id="44" w:name="_Toc15396611"/>
      <w:r>
        <w:rPr>
          <w:rStyle w:val="2Char"/>
          <w:rFonts w:ascii="Times New Roman" w:eastAsia="黑体" w:hAnsi="Times New Roman" w:hint="eastAsia"/>
          <w:b w:val="0"/>
          <w:color w:val="auto"/>
          <w:lang w:eastAsia="zh-CN"/>
          <w:highlight w:val="auto"/>
        </w:rPr>
        <w:t>九、</w:t>
      </w:r>
      <w:r>
        <w:rPr>
          <w:rStyle w:val="2Char"/>
          <w:rFonts w:ascii="Times New Roman" w:eastAsia="黑体" w:hAnsi="Times New Roman" w:hint="eastAsia"/>
          <w:b w:val="0"/>
          <w:color w:val="auto"/>
          <w:highlight w:val="auto"/>
        </w:rPr>
        <w:t>国有资本经营预算支出决算情况说明</w:t>
      </w:r>
      <w:bookmarkEnd w:id="43"/>
      <w:bookmarkEnd w:id="44"/>
    </w:p>
    <w:p>
      <w:pPr>
        <w:spacing w:line="600" w:lineRule="exact"/>
        <w:ind w:firstLine="640"/>
        <w:rPr>
          <w:rFonts w:ascii="Times New Roman" w:eastAsia="仿宋_GB2312" w:cs="仿宋_GB2312" w:hAnsi="Times New Roman"/>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2024年度国有资本经营预算财政拨款支出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万元，占本年支出合计的</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w:t>
      </w:r>
      <w:r>
        <w:rPr>
          <w:rFonts w:ascii="Times New Roman" w:eastAsia="仿宋_GB2312" w:cs="仿宋_GB2312" w:hAnsi="Times New Roman" w:hint="eastAsia"/>
          <w:color w:val="auto"/>
          <w:kern w:val="2"/>
          <w:sz w:val="32"/>
          <w:szCs w:val="32"/>
          <w:lang w:val="en-US" w:eastAsia="zh-CN" w:bidi="ar-SA"/>
          <w:highlight w:val="auto"/>
        </w:rPr>
        <w:t>。</w:t>
      </w:r>
      <w:r>
        <w:rPr>
          <w:rFonts w:eastAsia="仿宋_GB2312" w:cs="仿宋_GB2312" w:hint="eastAsia"/>
          <w:color w:val="auto"/>
          <w:kern w:val="2"/>
          <w:sz w:val="32"/>
          <w:szCs w:val="32"/>
          <w:lang w:val="en-US" w:eastAsia="zh-CN" w:bidi="ar-SA"/>
          <w:highlight w:val="auto"/>
        </w:rPr>
        <w:t>与2023年度持平。</w:t>
      </w:r>
    </w:p>
    <w:p>
      <w:pPr>
        <w:spacing w:line="600" w:lineRule="exact"/>
        <w:ind w:left="630"/>
        <w:outlineLvl w:val="1"/>
        <w:rPr>
          <w:rStyle w:val="2Char"/>
          <w:rFonts w:ascii="Times New Roman" w:eastAsia="黑体" w:hAnsi="Times New Roman" w:hint="eastAsia"/>
          <w:b w:val="0"/>
          <w:color w:val="auto"/>
          <w:highlight w:val="auto"/>
        </w:rPr>
      </w:pPr>
      <w:bookmarkStart w:id="45" w:name="_Toc15377221"/>
      <w:bookmarkStart w:id="46" w:name="_Toc15396612"/>
      <w:r>
        <w:rPr>
          <w:rStyle w:val="2Char"/>
          <w:rFonts w:ascii="Times New Roman" w:eastAsia="黑体" w:hAnsi="Times New Roman" w:hint="eastAsia"/>
          <w:b w:val="0"/>
          <w:color w:val="auto"/>
          <w:lang w:eastAsia="zh-CN"/>
          <w:highlight w:val="auto"/>
        </w:rPr>
        <w:t>十、</w:t>
      </w:r>
      <w:r>
        <w:rPr>
          <w:rStyle w:val="2Char"/>
          <w:rFonts w:ascii="Times New Roman" w:eastAsia="黑体" w:hAnsi="Times New Roman" w:hint="eastAsia"/>
          <w:b w:val="0"/>
          <w:color w:val="auto"/>
          <w:highlight w:val="auto"/>
        </w:rPr>
        <w:t>其他重要事项的情况说明</w:t>
      </w:r>
      <w:bookmarkEnd w:id="45"/>
      <w:bookmarkEnd w:id="46"/>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7" w:name="_Toc15377222"/>
      <w:r>
        <w:rPr>
          <w:rFonts w:ascii="Times New Roman" w:eastAsia="楷体_GB2312" w:cs="楷体_GB2312" w:hAnsi="Times New Roman" w:hint="eastAsia"/>
          <w:b/>
          <w:color w:val="auto"/>
          <w:sz w:val="32"/>
          <w:szCs w:val="32"/>
          <w:highlight w:val="auto"/>
        </w:rPr>
        <w:t>（一）机关运行经费支出情况</w:t>
      </w:r>
      <w:bookmarkEnd w:id="47"/>
    </w:p>
    <w:p>
      <w:pPr>
        <w:spacing w:line="600" w:lineRule="exact"/>
        <w:ind w:firstLineChars="200"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2024年度</w:t>
      </w:r>
      <w:r>
        <w:rPr>
          <w:rFonts w:ascii="仿宋_GB2312" w:eastAsia="仿宋_GB2312" w:cs="仿宋_GB2312" w:hint="eastAsia"/>
          <w:color w:val="auto"/>
          <w:kern w:val="2"/>
          <w:sz w:val="32"/>
          <w:szCs w:val="32"/>
          <w:lang w:val="en-US" w:eastAsia="zh-CN" w:bidi="ar-SA"/>
          <w:highlight w:val="auto"/>
        </w:rPr>
        <w:t>，</w:t>
      </w:r>
      <w:r>
        <w:rPr>
          <w:rFonts w:ascii="仿宋_GB2312" w:eastAsia="仿宋_GB2312" w:cs="仿宋_GB2312" w:hint="eastAsia"/>
          <w:sz w:val="32"/>
          <w:szCs w:val="32"/>
        </w:rPr>
        <w:t>四川省攀枝花市中心医院</w:t>
      </w:r>
      <w:r>
        <w:rPr>
          <w:rFonts w:ascii="仿宋_GB2312" w:eastAsia="仿宋_GB2312" w:cs="仿宋_GB2312" w:hint="eastAsia"/>
          <w:color w:val="auto"/>
          <w:kern w:val="2"/>
          <w:sz w:val="32"/>
          <w:szCs w:val="32"/>
          <w:lang w:val="en-US" w:eastAsia="zh-CN" w:bidi="ar-SA"/>
          <w:highlight w:val="auto"/>
        </w:rPr>
        <w:t>机关运行经费支出</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万</w:t>
      </w:r>
      <w:r>
        <w:rPr>
          <w:rFonts w:ascii="Times New Roman" w:eastAsia="仿宋_GB2312" w:cs="仿宋_GB2312" w:hAnsi="Times New Roman" w:hint="eastAsia"/>
          <w:color w:val="auto"/>
          <w:kern w:val="2"/>
          <w:sz w:val="32"/>
          <w:szCs w:val="32"/>
          <w:lang w:val="en-US" w:eastAsia="zh-CN" w:bidi="ar-SA"/>
          <w:highlight w:val="auto"/>
        </w:rPr>
        <w:t>元，与2023年度决算数持平。主要原因是</w:t>
      </w:r>
      <w:r>
        <w:rPr>
          <w:rFonts w:ascii="仿宋_GB2312" w:eastAsia="仿宋_GB2312" w:hint="eastAsia"/>
          <w:sz w:val="32"/>
          <w:szCs w:val="32"/>
          <w:lang w:val="en-US" w:eastAsia="zh-CN"/>
        </w:rPr>
        <w:t>均未安排机关运行经费支出。</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8" w:name="_Toc15377223"/>
      <w:r>
        <w:rPr>
          <w:rFonts w:ascii="Times New Roman" w:eastAsia="楷体_GB2312" w:cs="楷体_GB2312" w:hAnsi="Times New Roman" w:hint="eastAsia"/>
          <w:b/>
          <w:color w:val="auto"/>
          <w:sz w:val="32"/>
          <w:szCs w:val="32"/>
          <w:highlight w:val="auto"/>
        </w:rPr>
        <w:t>（二）政府采购支出情况</w:t>
      </w:r>
      <w:bookmarkEnd w:id="48"/>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2024年度，</w:t>
      </w:r>
      <w:r>
        <w:rPr>
          <w:rFonts w:ascii="仿宋_GB2312" w:eastAsia="仿宋_GB2312" w:cs="仿宋_GB2312" w:hint="eastAsia"/>
          <w:sz w:val="32"/>
          <w:szCs w:val="32"/>
        </w:rPr>
        <w:t>四川省攀枝花市中心医院</w:t>
      </w:r>
      <w:r>
        <w:rPr>
          <w:rFonts w:ascii="仿宋_GB2312" w:eastAsia="仿宋_GB2312" w:cs="仿宋_GB2312" w:hint="eastAsia"/>
          <w:color w:val="auto"/>
          <w:kern w:val="2"/>
          <w:sz w:val="32"/>
          <w:szCs w:val="32"/>
          <w:lang w:val="en-US" w:eastAsia="zh-CN" w:bidi="ar-SA"/>
          <w:highlight w:val="auto"/>
        </w:rPr>
        <w:t>政府采购支出总额</w:t>
      </w:r>
      <w:r>
        <w:rPr>
          <w:rFonts w:ascii="仿宋_GB2312" w:eastAsia="仿宋_GB2312" w:cs="仿宋_GB2312" w:hint="eastAsia"/>
          <w:sz w:val="32"/>
          <w:szCs w:val="32"/>
        </w:rPr>
        <w:t>15</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773.74</w:t>
      </w:r>
      <w:r>
        <w:rPr>
          <w:rFonts w:ascii="仿宋_GB2312" w:eastAsia="仿宋_GB2312" w:cs="仿宋_GB2312" w:hint="eastAsia"/>
          <w:color w:val="auto"/>
          <w:kern w:val="2"/>
          <w:sz w:val="32"/>
          <w:szCs w:val="32"/>
          <w:lang w:val="en-US" w:eastAsia="zh-CN" w:bidi="ar-SA"/>
          <w:highlight w:val="auto"/>
        </w:rPr>
        <w:t>万元，其中：政府采购货物支出</w:t>
      </w:r>
      <w:r>
        <w:rPr>
          <w:rFonts w:ascii="仿宋_GB2312" w:eastAsia="仿宋_GB2312" w:cs="仿宋_GB2312" w:hint="eastAsia"/>
          <w:sz w:val="32"/>
          <w:szCs w:val="32"/>
        </w:rPr>
        <w:t>4</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073.6</w:t>
      </w:r>
      <w:r>
        <w:rPr>
          <w:rFonts w:ascii="仿宋_GB2312" w:eastAsia="仿宋_GB2312" w:cs="仿宋_GB2312" w:hint="eastAsia"/>
          <w:color w:val="auto"/>
          <w:kern w:val="2"/>
          <w:sz w:val="32"/>
          <w:szCs w:val="32"/>
          <w:lang w:val="en-US" w:eastAsia="zh-CN" w:bidi="ar-SA"/>
          <w:highlight w:val="auto"/>
        </w:rPr>
        <w:t>万元、政府采购工程支出</w:t>
      </w:r>
      <w:r>
        <w:rPr>
          <w:rFonts w:ascii="仿宋_GB2312" w:eastAsia="仿宋_GB2312" w:cs="仿宋_GB2312" w:hint="eastAsia"/>
          <w:sz w:val="32"/>
          <w:szCs w:val="32"/>
        </w:rPr>
        <w:t>10</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179.83</w:t>
      </w:r>
      <w:r>
        <w:rPr>
          <w:rFonts w:ascii="仿宋_GB2312" w:eastAsia="仿宋_GB2312" w:cs="仿宋_GB2312" w:hint="eastAsia"/>
          <w:color w:val="auto"/>
          <w:kern w:val="2"/>
          <w:sz w:val="32"/>
          <w:szCs w:val="32"/>
          <w:lang w:val="en-US" w:eastAsia="zh-CN" w:bidi="ar-SA"/>
          <w:highlight w:val="auto"/>
        </w:rPr>
        <w:t>万元、政府采购服务支出</w:t>
      </w:r>
      <w:r>
        <w:rPr>
          <w:rFonts w:ascii="仿宋_GB2312" w:eastAsia="仿宋_GB2312" w:cs="仿宋_GB2312" w:hint="eastAsia"/>
          <w:sz w:val="32"/>
          <w:szCs w:val="32"/>
        </w:rPr>
        <w:t>1</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520.31</w:t>
      </w:r>
      <w:r>
        <w:rPr>
          <w:rFonts w:ascii="仿宋_GB2312" w:eastAsia="仿宋_GB2312" w:cs="仿宋_GB2312" w:hint="eastAsia"/>
          <w:color w:val="auto"/>
          <w:kern w:val="2"/>
          <w:sz w:val="32"/>
          <w:szCs w:val="32"/>
          <w:lang w:val="en-US" w:eastAsia="zh-CN" w:bidi="ar-SA"/>
          <w:highlight w:val="auto"/>
        </w:rPr>
        <w:t>万元。主要用于</w:t>
      </w:r>
      <w:r>
        <w:rPr>
          <w:rFonts w:ascii="仿宋_GB2312" w:eastAsia="仿宋_GB2312" w:hint="eastAsia"/>
          <w:color w:val="auto"/>
          <w:sz w:val="32"/>
          <w:szCs w:val="32"/>
          <w:lang w:val="en-US" w:eastAsia="zh-CN"/>
          <w:highlight w:val="auto"/>
        </w:rPr>
        <w:t>医疗设备购置、信息系统购置、病房提升改造工程采购等</w:t>
      </w:r>
      <w:r>
        <w:rPr>
          <w:rFonts w:ascii="仿宋_GB2312" w:eastAsia="仿宋_GB2312" w:cs="仿宋_GB2312" w:hint="eastAsia"/>
          <w:color w:val="auto"/>
          <w:kern w:val="2"/>
          <w:sz w:val="32"/>
          <w:szCs w:val="32"/>
          <w:lang w:val="en-US" w:eastAsia="zh-CN" w:bidi="ar-SA"/>
          <w:highlight w:val="auto"/>
        </w:rPr>
        <w:t>。授予中小企业合同金额</w:t>
      </w:r>
      <w:r>
        <w:rPr>
          <w:rFonts w:ascii="仿宋_GB2312" w:eastAsia="仿宋_GB2312" w:cs="仿宋_GB2312" w:hint="eastAsia"/>
          <w:sz w:val="32"/>
          <w:szCs w:val="32"/>
        </w:rPr>
        <w:t>13</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246.27</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83.97</w:t>
      </w:r>
      <w:r>
        <w:rPr>
          <w:rFonts w:ascii="仿宋_GB2312" w:eastAsia="仿宋_GB2312" w:cs="仿宋_GB2312" w:hint="eastAsia"/>
          <w:color w:val="auto"/>
          <w:kern w:val="2"/>
          <w:sz w:val="32"/>
          <w:szCs w:val="32"/>
          <w:lang w:val="en-US" w:eastAsia="zh-CN" w:bidi="ar-SA"/>
          <w:highlight w:val="auto"/>
        </w:rPr>
        <w:t>%，其中：授予小微企业合同金额</w:t>
      </w:r>
      <w:r>
        <w:rPr>
          <w:rFonts w:ascii="仿宋_GB2312" w:eastAsia="仿宋_GB2312" w:cs="仿宋_GB2312" w:hint="eastAsia"/>
          <w:sz w:val="32"/>
          <w:szCs w:val="32"/>
        </w:rPr>
        <w:t>11</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772.42</w:t>
      </w:r>
      <w:r>
        <w:rPr>
          <w:rFonts w:ascii="仿宋_GB2312" w:eastAsia="仿宋_GB2312" w:cs="仿宋_GB2312" w:hint="eastAsia"/>
          <w:color w:val="auto"/>
          <w:kern w:val="2"/>
          <w:sz w:val="32"/>
          <w:szCs w:val="32"/>
          <w:lang w:val="en-US" w:eastAsia="zh-CN" w:bidi="ar-SA"/>
          <w:highlight w:val="auto"/>
        </w:rPr>
        <w:t>万元，占政府采购支出总额的</w:t>
      </w:r>
      <w:r>
        <w:rPr>
          <w:rFonts w:ascii="仿宋_GB2312" w:eastAsia="仿宋_GB2312" w:cs="仿宋_GB2312" w:hint="eastAsia"/>
          <w:sz w:val="32"/>
          <w:szCs w:val="32"/>
        </w:rPr>
        <w:t>74.63</w:t>
      </w:r>
      <w:r>
        <w:rPr>
          <w:rFonts w:ascii="仿宋_GB2312" w:eastAsia="仿宋_GB2312" w:cs="仿宋_GB2312"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bookmarkStart w:id="49" w:name="_Toc15377224"/>
      <w:r>
        <w:rPr>
          <w:rFonts w:ascii="Times New Roman" w:eastAsia="楷体_GB2312" w:cs="楷体_GB2312" w:hAnsi="Times New Roman" w:hint="eastAsia"/>
          <w:b/>
          <w:color w:val="auto"/>
          <w:sz w:val="32"/>
          <w:szCs w:val="32"/>
          <w:highlight w:val="auto"/>
        </w:rPr>
        <w:t>（三）国有资产占有使用情况</w:t>
      </w:r>
      <w:bookmarkEnd w:id="49"/>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仿宋_GB2312" w:eastAsia="仿宋_GB2312" w:cs="仿宋_GB2312" w:hint="eastAsia"/>
          <w:color w:val="auto"/>
          <w:kern w:val="2"/>
          <w:sz w:val="32"/>
          <w:szCs w:val="32"/>
          <w:lang w:val="en-US" w:eastAsia="zh-CN" w:bidi="ar-SA"/>
          <w:highlight w:val="auto"/>
        </w:rPr>
        <w:t>截至2024年12月31日，</w:t>
      </w:r>
      <w:r>
        <w:rPr>
          <w:rFonts w:ascii="仿宋_GB2312" w:eastAsia="仿宋_GB2312" w:cs="仿宋_GB2312" w:hint="eastAsia"/>
          <w:sz w:val="32"/>
          <w:szCs w:val="32"/>
        </w:rPr>
        <w:t>四川省攀枝花市中心医院</w:t>
      </w:r>
      <w:r>
        <w:rPr>
          <w:rFonts w:ascii="仿宋_GB2312" w:eastAsia="仿宋_GB2312" w:cs="仿宋_GB2312" w:hint="eastAsia"/>
          <w:color w:val="auto"/>
          <w:kern w:val="2"/>
          <w:sz w:val="32"/>
          <w:szCs w:val="32"/>
          <w:lang w:val="en-US" w:eastAsia="zh-CN" w:bidi="ar-SA"/>
          <w:highlight w:val="auto"/>
        </w:rPr>
        <w:t>共有车辆</w:t>
      </w:r>
      <w:r>
        <w:rPr>
          <w:rFonts w:ascii="仿宋_GB2312" w:eastAsia="仿宋_GB2312" w:cs="仿宋_GB2312" w:hint="eastAsia"/>
          <w:sz w:val="32"/>
          <w:szCs w:val="32"/>
        </w:rPr>
        <w:t>14</w:t>
      </w:r>
      <w:r>
        <w:rPr>
          <w:rFonts w:ascii="仿宋_GB2312" w:eastAsia="仿宋_GB2312" w:cs="仿宋_GB2312" w:hint="eastAsia"/>
          <w:color w:val="auto"/>
          <w:kern w:val="2"/>
          <w:sz w:val="32"/>
          <w:szCs w:val="32"/>
          <w:lang w:val="en-US" w:eastAsia="zh-CN" w:bidi="ar-SA"/>
          <w:highlight w:val="auto"/>
        </w:rPr>
        <w:t>辆，其中：主要负责人用车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辆、机要通信用车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辆、应急保障用车</w:t>
      </w:r>
      <w:r>
        <w:rPr>
          <w:rFonts w:ascii="仿宋_GB2312" w:eastAsia="仿宋_GB2312" w:cs="仿宋_GB2312" w:hint="eastAsia"/>
          <w:sz w:val="32"/>
          <w:szCs w:val="32"/>
        </w:rPr>
        <w:t>0</w:t>
      </w:r>
      <w:r>
        <w:rPr>
          <w:rFonts w:ascii="仿宋_GB2312" w:eastAsia="仿宋_GB2312" w:cs="仿宋_GB2312" w:hint="eastAsia"/>
          <w:color w:val="auto"/>
          <w:kern w:val="2"/>
          <w:sz w:val="32"/>
          <w:szCs w:val="32"/>
          <w:lang w:val="en-US" w:eastAsia="zh-CN" w:bidi="ar-SA"/>
          <w:highlight w:val="auto"/>
        </w:rPr>
        <w:t>辆、其他用车</w:t>
      </w:r>
      <w:r>
        <w:rPr>
          <w:rFonts w:ascii="仿宋_GB2312" w:eastAsia="仿宋_GB2312" w:cs="仿宋_GB2312" w:hint="eastAsia"/>
          <w:sz w:val="32"/>
          <w:szCs w:val="32"/>
        </w:rPr>
        <w:t>3</w:t>
      </w:r>
      <w:r>
        <w:rPr>
          <w:rFonts w:ascii="仿宋_GB2312" w:eastAsia="仿宋_GB2312" w:cs="仿宋_GB2312" w:hint="eastAsia"/>
          <w:color w:val="auto"/>
          <w:kern w:val="2"/>
          <w:sz w:val="32"/>
          <w:szCs w:val="32"/>
          <w:lang w:val="en-US" w:eastAsia="zh-CN" w:bidi="ar-SA"/>
          <w:highlight w:val="auto"/>
        </w:rPr>
        <w:t>辆，其他用车主要是用于</w:t>
      </w:r>
      <w:r>
        <w:rPr>
          <w:rFonts w:ascii="仿宋" w:eastAsia="仿宋" w:cs="仿宋" w:hint="eastAsia"/>
          <w:color w:val="000000"/>
          <w:sz w:val="32"/>
          <w:szCs w:val="32"/>
        </w:rPr>
        <w:t>医疗业务</w:t>
      </w:r>
      <w:r>
        <w:rPr>
          <w:rFonts w:ascii="仿宋" w:eastAsia="仿宋" w:cs="仿宋" w:hint="eastAsia"/>
          <w:color w:val="000000"/>
          <w:sz w:val="32"/>
          <w:szCs w:val="32"/>
          <w:lang w:val="en-US" w:eastAsia="zh-CN"/>
        </w:rPr>
        <w:t>活动教授会诊、对口支援帮扶等</w:t>
      </w:r>
      <w:r>
        <w:rPr>
          <w:rFonts w:ascii="仿宋" w:eastAsia="仿宋" w:cs="仿宋" w:hint="eastAsia"/>
          <w:color w:val="000000"/>
          <w:sz w:val="32"/>
          <w:szCs w:val="32"/>
        </w:rPr>
        <w:t>用车</w:t>
      </w:r>
      <w:r>
        <w:rPr>
          <w:rFonts w:ascii="仿宋_GB2312" w:eastAsia="仿宋_GB2312" w:cs="仿宋_GB2312" w:hint="eastAsia"/>
          <w:color w:val="auto"/>
          <w:kern w:val="2"/>
          <w:sz w:val="32"/>
          <w:szCs w:val="32"/>
          <w:lang w:val="en-US" w:eastAsia="zh-CN" w:bidi="ar-SA"/>
          <w:highlight w:val="auto"/>
        </w:rPr>
        <w:t>。单价100万元（含）以上设备（不含车辆）</w:t>
      </w:r>
      <w:r>
        <w:rPr>
          <w:rFonts w:ascii="仿宋_GB2312" w:eastAsia="仿宋_GB2312" w:cs="仿宋_GB2312" w:hint="eastAsia"/>
          <w:sz w:val="32"/>
          <w:szCs w:val="32"/>
        </w:rPr>
        <w:t>132</w:t>
      </w:r>
      <w:r>
        <w:rPr>
          <w:rFonts w:ascii="仿宋_GB2312" w:eastAsia="仿宋_GB2312" w:cs="仿宋_GB2312" w:hint="eastAsia"/>
          <w:color w:val="auto"/>
          <w:kern w:val="2"/>
          <w:sz w:val="32"/>
          <w:szCs w:val="32"/>
          <w:lang w:val="en-US" w:eastAsia="zh-CN" w:bidi="ar-SA"/>
          <w:highlight w:val="auto"/>
        </w:rPr>
        <w:t>台（套）</w:t>
      </w:r>
      <w:r>
        <w:rPr>
          <w:rFonts w:ascii="Times New Roman" w:eastAsia="仿宋_GB2312" w:cs="仿宋_GB2312" w:hAnsi="Times New Roman" w:hint="eastAsia"/>
          <w:color w:val="auto"/>
          <w:kern w:val="2"/>
          <w:sz w:val="32"/>
          <w:szCs w:val="32"/>
          <w:lang w:val="en-US" w:eastAsia="zh-CN" w:bidi="ar-SA"/>
          <w:highlight w:val="auto"/>
        </w:rPr>
        <w:t>。</w:t>
      </w:r>
    </w:p>
    <w:p>
      <w:pPr>
        <w:spacing w:line="600" w:lineRule="exact"/>
        <w:ind w:firstLineChars="200" w:firstLine="640"/>
        <w:outlineLvl w:val="2"/>
        <w:rPr>
          <w:rFonts w:ascii="Times New Roman" w:eastAsia="楷体_GB2312" w:cs="楷体_GB2312" w:hAnsi="Times New Roman" w:hint="eastAsia"/>
          <w:b/>
          <w:color w:val="auto"/>
          <w:sz w:val="32"/>
          <w:szCs w:val="32"/>
          <w:highlight w:val="auto"/>
        </w:rPr>
      </w:pPr>
      <w:r>
        <w:rPr>
          <w:rFonts w:ascii="Times New Roman" w:eastAsia="楷体_GB2312" w:cs="楷体_GB2312" w:hAnsi="Times New Roman" w:hint="eastAsia"/>
          <w:b/>
          <w:color w:val="auto"/>
          <w:sz w:val="32"/>
          <w:szCs w:val="32"/>
          <w:highlight w:val="auto"/>
        </w:rPr>
        <w:t>（四）预算绩效管理情况</w:t>
      </w:r>
    </w:p>
    <w:p>
      <w:pPr>
        <w:spacing w:line="600" w:lineRule="exact"/>
        <w:ind w:firstLine="640"/>
        <w:rPr>
          <w:rFonts w:ascii="Times New Roman" w:eastAsia="仿宋_GB2312" w:cs="仿宋_GB2312" w:hAnsi="Times New Roman" w:hint="eastAsia"/>
          <w:color w:val="auto"/>
          <w:kern w:val="2"/>
          <w:sz w:val="32"/>
          <w:szCs w:val="32"/>
          <w:lang w:val="en-US" w:eastAsia="zh-CN" w:bidi="ar-SA"/>
          <w:highlight w:val="auto"/>
        </w:rPr>
      </w:pPr>
      <w:r>
        <w:rPr>
          <w:rFonts w:ascii="Times New Roman" w:eastAsia="仿宋_GB2312" w:cs="仿宋_GB2312" w:hAnsi="Times New Roman" w:hint="eastAsia"/>
          <w:color w:val="auto"/>
          <w:kern w:val="2"/>
          <w:sz w:val="32"/>
          <w:szCs w:val="32"/>
          <w:lang w:val="en-US" w:eastAsia="zh-CN" w:bidi="ar-SA"/>
          <w:highlight w:val="auto"/>
        </w:rPr>
        <w:t>根据预算绩效管理要求，</w:t>
      </w:r>
      <w:r>
        <w:rPr>
          <w:rFonts w:eastAsia="仿宋_GB2312" w:cs="仿宋_GB2312" w:hint="eastAsia"/>
          <w:color w:val="auto"/>
          <w:kern w:val="2"/>
          <w:sz w:val="32"/>
          <w:szCs w:val="32"/>
          <w:lang w:val="en-US" w:eastAsia="zh-CN" w:bidi="ar-SA"/>
          <w:highlight w:val="auto"/>
        </w:rPr>
        <w:t>四川省攀枝花市中心医院</w:t>
      </w:r>
      <w:r>
        <w:rPr>
          <w:rFonts w:ascii="Times New Roman" w:eastAsia="仿宋_GB2312" w:cs="仿宋_GB2312" w:hAnsi="Times New Roman" w:hint="eastAsia"/>
          <w:color w:val="auto"/>
          <w:kern w:val="2"/>
          <w:sz w:val="32"/>
          <w:szCs w:val="32"/>
          <w:lang w:val="en-US" w:eastAsia="zh-CN" w:bidi="ar-SA"/>
          <w:highlight w:val="auto"/>
        </w:rPr>
        <w:t>在2024年度预算编制阶段，组织对</w:t>
      </w:r>
      <w:r>
        <w:rPr>
          <w:rFonts w:eastAsia="仿宋_GB2312" w:cs="仿宋_GB2312" w:hint="eastAsia"/>
          <w:color w:val="auto"/>
          <w:kern w:val="2"/>
          <w:sz w:val="32"/>
          <w:szCs w:val="32"/>
          <w:lang w:val="en-US" w:eastAsia="zh-CN" w:bidi="ar-SA"/>
          <w:highlight w:val="auto"/>
        </w:rPr>
        <w:t>基本公共卫生服务、重大传染病防控、临床重点专科建设项目市级财政补助、医疗服务与保障能力提升等13</w:t>
      </w:r>
      <w:r>
        <w:rPr>
          <w:rFonts w:ascii="Times New Roman" w:eastAsia="仿宋_GB2312" w:cs="仿宋_GB2312" w:hAnsi="Times New Roman" w:hint="eastAsia"/>
          <w:color w:val="auto"/>
          <w:kern w:val="2"/>
          <w:sz w:val="32"/>
          <w:szCs w:val="32"/>
          <w:lang w:val="en-US" w:eastAsia="zh-CN" w:bidi="ar-SA"/>
          <w:highlight w:val="auto"/>
        </w:rPr>
        <w:t>个项目开展了预算事前绩效评估，对</w:t>
      </w:r>
      <w:r>
        <w:rPr>
          <w:rFonts w:eastAsia="仿宋_GB2312" w:cs="仿宋_GB2312" w:hint="eastAsia"/>
          <w:color w:val="auto"/>
          <w:kern w:val="2"/>
          <w:sz w:val="32"/>
          <w:szCs w:val="32"/>
          <w:lang w:val="en-US" w:eastAsia="zh-CN" w:bidi="ar-SA"/>
          <w:highlight w:val="auto"/>
        </w:rPr>
        <w:t>13</w:t>
      </w:r>
      <w:r>
        <w:rPr>
          <w:rFonts w:ascii="Times New Roman" w:eastAsia="仿宋_GB2312" w:cs="仿宋_GB2312" w:hAnsi="Times New Roman" w:hint="eastAsia"/>
          <w:color w:val="auto"/>
          <w:kern w:val="2"/>
          <w:sz w:val="32"/>
          <w:szCs w:val="32"/>
          <w:lang w:val="en-US" w:eastAsia="zh-CN" w:bidi="ar-SA"/>
          <w:highlight w:val="auto"/>
        </w:rPr>
        <w:t>个项目编制了绩效目标，预算执行过程中，选取</w:t>
      </w:r>
      <w:r>
        <w:rPr>
          <w:rFonts w:eastAsia="仿宋_GB2312" w:cs="仿宋_GB2312" w:hint="eastAsia"/>
          <w:color w:val="auto"/>
          <w:kern w:val="2"/>
          <w:sz w:val="32"/>
          <w:szCs w:val="32"/>
          <w:lang w:val="en-US" w:eastAsia="zh-CN" w:bidi="ar-SA"/>
          <w:highlight w:val="auto"/>
        </w:rPr>
        <w:t>13</w:t>
      </w:r>
      <w:r>
        <w:rPr>
          <w:rFonts w:ascii="Times New Roman" w:eastAsia="仿宋_GB2312" w:cs="仿宋_GB2312" w:hAnsi="Times New Roman" w:hint="eastAsia"/>
          <w:color w:val="auto"/>
          <w:kern w:val="2"/>
          <w:sz w:val="32"/>
          <w:szCs w:val="32"/>
          <w:lang w:val="en-US" w:eastAsia="zh-CN" w:bidi="ar-SA"/>
          <w:highlight w:val="auto"/>
        </w:rPr>
        <w:t>个项目开展绩效监控。</w:t>
      </w:r>
    </w:p>
    <w:p>
      <w:pPr>
        <w:spacing w:line="600" w:lineRule="exact"/>
        <w:jc w:val="center"/>
        <w:outlineLvl w:val="0"/>
        <w:rPr>
          <w:rFonts w:ascii="Times New Roman" w:eastAsia="黑体" w:hAnsi="Times New Roman" w:hint="eastAsia"/>
          <w:color w:val="auto"/>
          <w:sz w:val="44"/>
          <w:szCs w:val="44"/>
          <w:highlight w:val="auto"/>
        </w:rPr>
      </w:pPr>
      <w:bookmarkStart w:id="50" w:name="_Toc15396613"/>
      <w:bookmarkStart w:id="51" w:name="_Toc15377225"/>
      <w:r>
        <w:rPr>
          <w:rFonts w:ascii="Times New Roman" w:eastAsia="黑体" w:hAnsi="Times New Roman" w:hint="eastAsia"/>
          <w:color w:val="auto"/>
          <w:sz w:val="44"/>
          <w:szCs w:val="44"/>
          <w:highlight w:val="auto"/>
        </w:rPr>
        <w:t>第</w:t>
      </w:r>
      <w:r>
        <w:rPr>
          <w:rFonts w:eastAsia="黑体" w:hint="eastAsia"/>
          <w:color w:val="auto"/>
          <w:sz w:val="44"/>
          <w:szCs w:val="44"/>
          <w:lang w:eastAsia="zh-CN"/>
          <w:highlight w:val="auto"/>
        </w:rPr>
        <w:t>三</w:t>
      </w:r>
      <w:r>
        <w:rPr>
          <w:rFonts w:ascii="Times New Roman" w:eastAsia="黑体" w:hAnsi="Times New Roman" w:hint="eastAsia"/>
          <w:color w:val="auto"/>
          <w:sz w:val="44"/>
          <w:szCs w:val="44"/>
          <w:highlight w:val="auto"/>
        </w:rPr>
        <w:t>部分</w:t>
      </w:r>
      <w:r>
        <w:rPr>
          <w:rFonts w:ascii="Times New Roman" w:eastAsia="黑体" w:hAnsi="Times New Roman" w:hint="eastAsia"/>
          <w:color w:val="auto"/>
          <w:sz w:val="44"/>
          <w:szCs w:val="44"/>
          <w:lang w:val="en-US" w:eastAsia="zh-CN"/>
          <w:highlight w:val="auto"/>
        </w:rPr>
        <w:t xml:space="preserve"> </w:t>
      </w:r>
      <w:r>
        <w:rPr>
          <w:rFonts w:eastAsia="黑体"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名词解释</w:t>
      </w:r>
      <w:bookmarkEnd w:id="50"/>
      <w:bookmarkEnd w:id="51"/>
    </w:p>
    <w:p>
      <w:pPr>
        <w:spacing w:line="600" w:lineRule="exact"/>
        <w:jc w:val="left"/>
        <w:rPr>
          <w:rFonts w:ascii="Times New Roman" w:hAnsi="Times New Roman"/>
          <w:b/>
          <w:color w:val="auto"/>
          <w:sz w:val="44"/>
          <w:szCs w:val="44"/>
          <w:highlight w:val="auto"/>
        </w:rPr>
      </w:pPr>
    </w:p>
    <w:p>
      <w:pPr>
        <w:pStyle w:val="3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仿宋" w:eastAsia="仿宋" w:cs="仿宋" w:hint="eastAsia"/>
          <w:color w:val="auto"/>
          <w:sz w:val="32"/>
          <w:szCs w:val="32"/>
          <w:highlight w:val="auto"/>
        </w:rPr>
      </w:pPr>
      <w:bookmarkStart w:id="52" w:name="_Toc15377226"/>
      <w:r>
        <w:rPr>
          <w:rFonts w:ascii="仿宋" w:eastAsia="仿宋" w:cs="仿宋" w:hint="eastAsia"/>
          <w:color w:val="auto"/>
          <w:sz w:val="32"/>
          <w:szCs w:val="32"/>
          <w:highlight w:val="auto"/>
        </w:rPr>
        <w:t>1.财政拨款收入：指按照部门隶属关系从同级财政部门取得的各类财政拨款，包括：基本拨款收入和项目拨款收入。</w:t>
      </w:r>
    </w:p>
    <w:p>
      <w:pPr>
        <w:pStyle w:val="3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仿宋" w:eastAsia="仿宋" w:cs="仿宋" w:hint="eastAsia"/>
          <w:color w:val="auto"/>
          <w:sz w:val="32"/>
          <w:szCs w:val="32"/>
          <w:highlight w:val="auto"/>
        </w:rPr>
      </w:pPr>
      <w:r>
        <w:rPr>
          <w:rFonts w:ascii="仿宋" w:eastAsia="仿宋" w:cs="仿宋" w:hint="eastAsia"/>
          <w:color w:val="auto"/>
          <w:sz w:val="32"/>
          <w:szCs w:val="32"/>
          <w:highlight w:val="auto"/>
        </w:rPr>
        <w:t>2.事业收入：指医院开展医教研等业务活动及辅助活动所取得的收入，不包括从同级政府部门取得的各类财政拨款。包括医疗收入、科教收入。</w:t>
      </w:r>
    </w:p>
    <w:p>
      <w:pPr>
        <w:pStyle w:val="3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仿宋" w:eastAsia="仿宋" w:cs="仿宋" w:hint="eastAsia"/>
          <w:color w:val="auto"/>
          <w:sz w:val="32"/>
          <w:szCs w:val="32"/>
          <w:highlight w:val="auto"/>
        </w:rPr>
      </w:pPr>
      <w:r>
        <w:rPr>
          <w:rFonts w:ascii="仿宋" w:eastAsia="仿宋" w:cs="仿宋" w:hint="eastAsia"/>
          <w:color w:val="auto"/>
          <w:sz w:val="32"/>
          <w:szCs w:val="32"/>
          <w:highlight w:val="auto"/>
        </w:rPr>
        <w:t>3.其他收入：指单位取得的除上述收入以外的各项收入。主要是捐赠收入、利息收入、其他收入等。</w:t>
      </w:r>
    </w:p>
    <w:p>
      <w:pPr>
        <w:pStyle w:val="3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仿宋" w:eastAsia="仿宋" w:cs="仿宋" w:hint="eastAsia"/>
          <w:color w:val="auto"/>
          <w:sz w:val="32"/>
          <w:szCs w:val="32"/>
          <w:highlight w:val="auto"/>
        </w:rPr>
      </w:pPr>
      <w:r>
        <w:rPr>
          <w:rFonts w:ascii="仿宋" w:eastAsia="仿宋" w:cs="仿宋" w:hint="eastAsia"/>
          <w:color w:val="auto"/>
          <w:sz w:val="32"/>
          <w:szCs w:val="32"/>
          <w:highlight w:val="auto"/>
        </w:rPr>
        <w:t>4</w:t>
      </w:r>
      <w:r>
        <w:rPr>
          <w:rFonts w:ascii="仿宋" w:eastAsia="仿宋" w:cs="仿宋" w:hint="eastAsia"/>
          <w:color w:val="auto"/>
          <w:sz w:val="32"/>
          <w:szCs w:val="32"/>
          <w:lang w:eastAsia="zh-CN"/>
          <w:highlight w:val="auto"/>
        </w:rPr>
        <w:t>.</w:t>
      </w:r>
      <w:r>
        <w:rPr>
          <w:rFonts w:ascii="仿宋" w:eastAsia="仿宋" w:cs="仿宋" w:hint="eastAsia"/>
          <w:color w:val="auto"/>
          <w:sz w:val="32"/>
          <w:szCs w:val="32"/>
          <w:highlight w:val="auto"/>
        </w:rPr>
        <w:t>年初结转和结余：指以前年度尚未完成、结转到本年按有关规定继续使用的资金。</w:t>
      </w:r>
    </w:p>
    <w:p>
      <w:pPr>
        <w:keepNext w:val="0"/>
        <w:keepLines w:val="0"/>
        <w:pageBreakBefore w:val="0"/>
        <w:widowControl w:val="0"/>
        <w:kinsoku/>
        <w:wordWrap/>
        <w:overflowPunct/>
        <w:topLinePunct w:val="0"/>
        <w:bidi w:val="0"/>
        <w:snapToGrid/>
        <w:spacing w:line="600" w:lineRule="exact"/>
        <w:ind w:firstLineChars="200" w:firstLine="640"/>
        <w:textAlignment w:val="auto"/>
        <w:rPr>
          <w:rStyle w:val="25"/>
          <w:rFonts w:ascii="仿宋" w:eastAsia="仿宋" w:cs="仿宋" w:hint="eastAsia"/>
          <w:b w:val="0"/>
          <w:bCs/>
          <w:sz w:val="32"/>
          <w:szCs w:val="32"/>
        </w:rPr>
      </w:pPr>
      <w:r>
        <w:rPr>
          <w:rFonts w:ascii="仿宋" w:eastAsia="仿宋" w:cs="仿宋" w:hint="eastAsia"/>
          <w:color w:val="auto"/>
          <w:sz w:val="32"/>
          <w:szCs w:val="32"/>
          <w:lang w:val="en-US" w:eastAsia="zh-CN"/>
          <w:highlight w:val="auto"/>
        </w:rPr>
        <w:t>5</w:t>
      </w:r>
      <w:r>
        <w:rPr>
          <w:rFonts w:ascii="仿宋" w:eastAsia="仿宋" w:cs="仿宋" w:hint="eastAsia"/>
          <w:color w:val="auto"/>
          <w:sz w:val="32"/>
          <w:szCs w:val="32"/>
          <w:highlight w:val="auto"/>
        </w:rPr>
        <w:t>.结余分配：指事业单位按照会计制度规定缴纳的所得税、提取的专用结余以及转入非财政拨款结余的金额等。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6</w:t>
      </w:r>
      <w:r>
        <w:rPr>
          <w:rStyle w:val="25"/>
          <w:rFonts w:ascii="仿宋" w:eastAsia="仿宋" w:cs="仿宋" w:hint="eastAsia"/>
          <w:b w:val="0"/>
          <w:bCs w:val="0"/>
          <w:color w:val="auto"/>
          <w:sz w:val="32"/>
          <w:szCs w:val="32"/>
          <w:highlight w:val="auto"/>
        </w:rPr>
        <w:t xml:space="preserve">.社会保障和就业（类）人力资源和社会保障管理事务（款）其他人力资源和社会保障管理事务支出（项）: </w:t>
      </w:r>
      <w:r>
        <w:rPr>
          <w:rFonts w:ascii="仿宋" w:eastAsia="仿宋" w:cs="仿宋" w:hint="eastAsia"/>
          <w:color w:val="auto"/>
          <w:sz w:val="32"/>
          <w:szCs w:val="32"/>
          <w:lang w:val="en-US" w:eastAsia="zh-CN"/>
        </w:rPr>
        <w:t>指人力资源和社会保障管理事务支出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7</w:t>
      </w:r>
      <w:r>
        <w:rPr>
          <w:rStyle w:val="25"/>
          <w:rFonts w:ascii="仿宋" w:eastAsia="仿宋" w:cs="仿宋" w:hint="eastAsia"/>
          <w:b w:val="0"/>
          <w:bCs w:val="0"/>
          <w:color w:val="auto"/>
          <w:sz w:val="32"/>
          <w:szCs w:val="32"/>
          <w:highlight w:val="auto"/>
        </w:rPr>
        <w:t xml:space="preserve">.社会保障和就业（类）行政事业单位养老支出（款）事业单位离退休（项）: </w:t>
      </w:r>
      <w:r>
        <w:rPr>
          <w:rFonts w:ascii="仿宋" w:eastAsia="仿宋" w:cs="仿宋" w:hint="eastAsia"/>
          <w:color w:val="auto"/>
          <w:sz w:val="32"/>
          <w:szCs w:val="32"/>
          <w:lang w:val="en-US" w:eastAsia="zh-CN"/>
          <w:highlight w:val="auto"/>
        </w:rPr>
        <w:t>指事业单位开支的离退休经费</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b w:val="0"/>
          <w:bCs w:val="0"/>
          <w:color w:val="FF0000"/>
          <w:sz w:val="32"/>
          <w:szCs w:val="32"/>
          <w:highlight w:val="auto"/>
        </w:rPr>
      </w:pPr>
      <w:r>
        <w:rPr>
          <w:rStyle w:val="25"/>
          <w:rFonts w:ascii="仿宋" w:eastAsia="仿宋" w:cs="仿宋" w:hint="eastAsia"/>
          <w:b w:val="0"/>
          <w:bCs w:val="0"/>
          <w:color w:val="auto"/>
          <w:sz w:val="32"/>
          <w:szCs w:val="32"/>
          <w:lang w:val="en-US" w:eastAsia="zh-CN"/>
          <w:highlight w:val="auto"/>
        </w:rPr>
        <w:t>8</w:t>
      </w:r>
      <w:r>
        <w:rPr>
          <w:rStyle w:val="25"/>
          <w:rFonts w:ascii="仿宋" w:eastAsia="仿宋" w:cs="仿宋" w:hint="eastAsia"/>
          <w:b w:val="0"/>
          <w:bCs w:val="0"/>
          <w:color w:val="auto"/>
          <w:sz w:val="32"/>
          <w:szCs w:val="32"/>
          <w:highlight w:val="auto"/>
        </w:rPr>
        <w:t xml:space="preserve">.社会保障和就业（类）抚恤（款）死亡抚恤（项）: </w:t>
      </w:r>
      <w:r>
        <w:rPr>
          <w:rFonts w:ascii="仿宋" w:eastAsia="仿宋" w:cs="仿宋" w:hint="eastAsia"/>
          <w:color w:val="auto"/>
          <w:sz w:val="32"/>
          <w:szCs w:val="32"/>
          <w:lang w:val="en-US" w:eastAsia="zh-CN"/>
          <w:highlight w:val="auto"/>
        </w:rPr>
        <w:t>指按规定用于烈士和牺牲、病故人员家属的一次性和定期抚恤金以及丧葬补助费</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Style w:val="25"/>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9</w:t>
      </w:r>
      <w:r>
        <w:rPr>
          <w:rStyle w:val="25"/>
          <w:rFonts w:ascii="仿宋" w:eastAsia="仿宋" w:cs="仿宋" w:hint="eastAsia"/>
          <w:b w:val="0"/>
          <w:bCs w:val="0"/>
          <w:color w:val="auto"/>
          <w:sz w:val="32"/>
          <w:szCs w:val="32"/>
          <w:highlight w:val="auto"/>
        </w:rPr>
        <w:t>.</w:t>
      </w:r>
      <w:r>
        <w:rPr>
          <w:rFonts w:ascii="仿宋" w:eastAsia="仿宋" w:cs="仿宋" w:hint="eastAsia"/>
          <w:b w:val="0"/>
          <w:bCs w:val="0"/>
          <w:color w:val="auto"/>
          <w:sz w:val="32"/>
          <w:szCs w:val="32"/>
          <w:highlight w:val="auto"/>
        </w:rPr>
        <w:t>卫生健康</w:t>
      </w:r>
      <w:r>
        <w:rPr>
          <w:rStyle w:val="25"/>
          <w:rFonts w:ascii="仿宋" w:eastAsia="仿宋" w:cs="仿宋" w:hint="eastAsia"/>
          <w:b w:val="0"/>
          <w:bCs w:val="0"/>
          <w:color w:val="auto"/>
          <w:sz w:val="32"/>
          <w:szCs w:val="32"/>
          <w:highlight w:val="auto"/>
        </w:rPr>
        <w:t>（类）公立医院（款）综合医院（项）:</w:t>
      </w:r>
      <w:r>
        <w:rPr>
          <w:rStyle w:val="25"/>
          <w:rFonts w:ascii="仿宋" w:eastAsia="仿宋" w:cs="仿宋" w:hint="eastAsia"/>
          <w:b w:val="0"/>
          <w:bCs w:val="0"/>
          <w:color w:val="auto"/>
          <w:sz w:val="32"/>
          <w:szCs w:val="32"/>
          <w:lang w:val="en-US" w:eastAsia="zh-CN"/>
          <w:highlight w:val="auto"/>
        </w:rPr>
        <w:t>指卫生健康、中医部门所属的城市综合性医院、独立门诊、教学医院、疗养院和县医院的支出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sz w:val="32"/>
          <w:szCs w:val="32"/>
          <w:lang w:val="en-US" w:eastAsia="zh-CN"/>
        </w:rPr>
      </w:pPr>
      <w:r>
        <w:rPr>
          <w:rStyle w:val="25"/>
          <w:rFonts w:ascii="仿宋" w:eastAsia="仿宋" w:cs="仿宋" w:hint="eastAsia"/>
          <w:b w:val="0"/>
          <w:bCs w:val="0"/>
          <w:color w:val="auto"/>
          <w:sz w:val="32"/>
          <w:szCs w:val="32"/>
          <w:lang w:val="en-US" w:eastAsia="zh-CN"/>
          <w:highlight w:val="auto"/>
        </w:rPr>
        <w:t>10</w:t>
      </w:r>
      <w:r>
        <w:rPr>
          <w:rStyle w:val="25"/>
          <w:rFonts w:ascii="仿宋" w:eastAsia="仿宋" w:cs="仿宋" w:hint="eastAsia"/>
          <w:b w:val="0"/>
          <w:bCs w:val="0"/>
          <w:color w:val="auto"/>
          <w:sz w:val="32"/>
          <w:szCs w:val="32"/>
          <w:highlight w:val="auto"/>
        </w:rPr>
        <w:t>.</w:t>
      </w:r>
      <w:r>
        <w:rPr>
          <w:rFonts w:ascii="仿宋" w:eastAsia="仿宋" w:cs="仿宋" w:hint="eastAsia"/>
          <w:b w:val="0"/>
          <w:bCs w:val="0"/>
          <w:color w:val="auto"/>
          <w:sz w:val="32"/>
          <w:szCs w:val="32"/>
          <w:highlight w:val="auto"/>
        </w:rPr>
        <w:t>卫生健康</w:t>
      </w:r>
      <w:r>
        <w:rPr>
          <w:rStyle w:val="25"/>
          <w:rFonts w:ascii="仿宋" w:eastAsia="仿宋" w:cs="仿宋" w:hint="eastAsia"/>
          <w:b w:val="0"/>
          <w:bCs w:val="0"/>
          <w:color w:val="auto"/>
          <w:sz w:val="32"/>
          <w:szCs w:val="32"/>
          <w:highlight w:val="auto"/>
        </w:rPr>
        <w:t>（类）公立医院（款）</w:t>
      </w:r>
      <w:r>
        <w:rPr>
          <w:rStyle w:val="25"/>
          <w:rFonts w:ascii="仿宋" w:eastAsia="仿宋" w:cs="仿宋" w:hint="eastAsia"/>
          <w:b w:val="0"/>
          <w:bCs w:val="0"/>
          <w:color w:val="auto"/>
          <w:sz w:val="32"/>
          <w:szCs w:val="32"/>
          <w:lang w:val="en-US" w:eastAsia="zh-CN"/>
          <w:highlight w:val="auto"/>
        </w:rPr>
        <w:t>其他公立医院支出</w:t>
      </w:r>
      <w:r>
        <w:rPr>
          <w:rStyle w:val="25"/>
          <w:rFonts w:ascii="仿宋" w:eastAsia="仿宋" w:cs="仿宋" w:hint="eastAsia"/>
          <w:b w:val="0"/>
          <w:bCs w:val="0"/>
          <w:color w:val="auto"/>
          <w:sz w:val="32"/>
          <w:szCs w:val="32"/>
          <w:highlight w:val="auto"/>
        </w:rPr>
        <w:t>（项）:</w:t>
      </w:r>
      <w:r>
        <w:rPr>
          <w:rStyle w:val="25"/>
          <w:rFonts w:ascii="仿宋" w:eastAsia="仿宋" w:cs="仿宋" w:hint="eastAsia"/>
          <w:b w:val="0"/>
          <w:bCs w:val="0"/>
          <w:color w:val="auto"/>
          <w:sz w:val="32"/>
          <w:szCs w:val="32"/>
          <w:lang w:val="en-US" w:eastAsia="zh-CN"/>
          <w:highlight w:val="auto"/>
        </w:rPr>
        <w:t>指其他用于公立医院方面的支出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11</w:t>
      </w:r>
      <w:r>
        <w:rPr>
          <w:rStyle w:val="25"/>
          <w:rFonts w:ascii="仿宋" w:eastAsia="仿宋" w:cs="仿宋" w:hint="eastAsia"/>
          <w:b w:val="0"/>
          <w:bCs w:val="0"/>
          <w:color w:val="auto"/>
          <w:sz w:val="32"/>
          <w:szCs w:val="32"/>
          <w:highlight w:val="auto"/>
        </w:rPr>
        <w:t>.</w:t>
      </w:r>
      <w:r>
        <w:rPr>
          <w:rFonts w:ascii="仿宋" w:eastAsia="仿宋" w:cs="仿宋" w:hint="eastAsia"/>
          <w:b w:val="0"/>
          <w:bCs w:val="0"/>
          <w:color w:val="auto"/>
          <w:sz w:val="32"/>
          <w:szCs w:val="32"/>
          <w:highlight w:val="auto"/>
        </w:rPr>
        <w:t>卫生健康</w:t>
      </w:r>
      <w:r>
        <w:rPr>
          <w:rStyle w:val="25"/>
          <w:rFonts w:ascii="仿宋" w:eastAsia="仿宋" w:cs="仿宋" w:hint="eastAsia"/>
          <w:b w:val="0"/>
          <w:bCs w:val="0"/>
          <w:color w:val="auto"/>
          <w:sz w:val="32"/>
          <w:szCs w:val="32"/>
          <w:highlight w:val="auto"/>
        </w:rPr>
        <w:t>（类）公共卫生（款）基本公共卫生服务（项）:</w:t>
      </w:r>
      <w:r>
        <w:rPr>
          <w:rFonts w:ascii="仿宋" w:eastAsia="仿宋" w:cs="仿宋" w:hint="eastAsia"/>
          <w:color w:val="auto"/>
          <w:sz w:val="32"/>
          <w:szCs w:val="32"/>
          <w:lang w:val="en-US" w:eastAsia="zh-CN"/>
          <w:highlight w:val="auto"/>
        </w:rPr>
        <w:t>指基本公共卫生服务支出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Style w:val="25"/>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12</w:t>
      </w:r>
      <w:r>
        <w:rPr>
          <w:rStyle w:val="25"/>
          <w:rFonts w:ascii="仿宋" w:eastAsia="仿宋" w:cs="仿宋" w:hint="eastAsia"/>
          <w:b w:val="0"/>
          <w:bCs w:val="0"/>
          <w:color w:val="auto"/>
          <w:sz w:val="32"/>
          <w:szCs w:val="32"/>
          <w:highlight w:val="auto"/>
        </w:rPr>
        <w:t>.</w:t>
      </w:r>
      <w:r>
        <w:rPr>
          <w:rFonts w:ascii="仿宋" w:eastAsia="仿宋" w:cs="仿宋" w:hint="eastAsia"/>
          <w:b w:val="0"/>
          <w:bCs w:val="0"/>
          <w:color w:val="auto"/>
          <w:sz w:val="32"/>
          <w:szCs w:val="32"/>
          <w:highlight w:val="auto"/>
        </w:rPr>
        <w:t>卫生健康</w:t>
      </w:r>
      <w:r>
        <w:rPr>
          <w:rStyle w:val="25"/>
          <w:rFonts w:ascii="仿宋" w:eastAsia="仿宋" w:cs="仿宋" w:hint="eastAsia"/>
          <w:b w:val="0"/>
          <w:bCs w:val="0"/>
          <w:color w:val="auto"/>
          <w:sz w:val="32"/>
          <w:szCs w:val="32"/>
          <w:highlight w:val="auto"/>
        </w:rPr>
        <w:t>（类）公共卫生（款）重大公共卫生服务（项）:</w:t>
      </w:r>
      <w:r>
        <w:rPr>
          <w:rFonts w:ascii="仿宋" w:eastAsia="仿宋" w:cs="仿宋" w:hint="eastAsia"/>
          <w:color w:val="auto"/>
          <w:sz w:val="32"/>
          <w:szCs w:val="32"/>
          <w:lang w:val="en-US" w:eastAsia="zh-CN"/>
          <w:highlight w:val="auto"/>
        </w:rPr>
        <w:t>指重大疾病、重大传染病预防控制等重大公共卫生服务项目支出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13</w:t>
      </w:r>
      <w:r>
        <w:rPr>
          <w:rStyle w:val="25"/>
          <w:rFonts w:ascii="仿宋" w:eastAsia="仿宋" w:cs="仿宋" w:hint="eastAsia"/>
          <w:b w:val="0"/>
          <w:bCs w:val="0"/>
          <w:color w:val="auto"/>
          <w:sz w:val="32"/>
          <w:szCs w:val="32"/>
          <w:highlight w:val="auto"/>
        </w:rPr>
        <w:t>.</w:t>
      </w:r>
      <w:r>
        <w:rPr>
          <w:rFonts w:ascii="仿宋" w:eastAsia="仿宋" w:cs="仿宋" w:hint="eastAsia"/>
          <w:b w:val="0"/>
          <w:bCs w:val="0"/>
          <w:color w:val="auto"/>
          <w:sz w:val="32"/>
          <w:szCs w:val="32"/>
          <w:highlight w:val="auto"/>
        </w:rPr>
        <w:t>卫生健康</w:t>
      </w:r>
      <w:r>
        <w:rPr>
          <w:rStyle w:val="25"/>
          <w:rFonts w:ascii="仿宋" w:eastAsia="仿宋" w:cs="仿宋" w:hint="eastAsia"/>
          <w:b w:val="0"/>
          <w:bCs w:val="0"/>
          <w:color w:val="auto"/>
          <w:sz w:val="32"/>
          <w:szCs w:val="32"/>
          <w:highlight w:val="auto"/>
        </w:rPr>
        <w:t>（类）公共卫生（款）其他公共卫生支出（项）:</w:t>
      </w:r>
      <w:r>
        <w:rPr>
          <w:rFonts w:ascii="仿宋" w:eastAsia="仿宋" w:cs="仿宋" w:hint="eastAsia"/>
          <w:color w:val="auto"/>
          <w:sz w:val="32"/>
          <w:szCs w:val="32"/>
          <w:lang w:val="en-US" w:eastAsia="zh-CN"/>
          <w:highlight w:val="auto"/>
        </w:rPr>
        <w:t>指其他用于公共卫生方面的支出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Style w:val="25"/>
          <w:rFonts w:ascii="仿宋" w:eastAsia="仿宋" w:cs="仿宋" w:hint="eastAsia"/>
          <w:b w:val="0"/>
          <w:bCs w:val="0"/>
          <w:color w:val="auto"/>
          <w:sz w:val="32"/>
          <w:szCs w:val="32"/>
          <w:highlight w:val="auto"/>
        </w:rPr>
      </w:pPr>
      <w:r>
        <w:rPr>
          <w:rStyle w:val="25"/>
          <w:rFonts w:ascii="仿宋" w:eastAsia="仿宋" w:cs="仿宋" w:hint="eastAsia"/>
          <w:b w:val="0"/>
          <w:bCs w:val="0"/>
          <w:color w:val="auto"/>
          <w:sz w:val="32"/>
          <w:szCs w:val="32"/>
          <w:lang w:val="en-US" w:eastAsia="zh-CN"/>
          <w:highlight w:val="auto"/>
        </w:rPr>
        <w:t>14</w:t>
      </w:r>
      <w:r>
        <w:rPr>
          <w:rStyle w:val="25"/>
          <w:rFonts w:ascii="仿宋" w:eastAsia="仿宋" w:cs="仿宋" w:hint="eastAsia"/>
          <w:b w:val="0"/>
          <w:bCs w:val="0"/>
          <w:color w:val="auto"/>
          <w:sz w:val="32"/>
          <w:szCs w:val="32"/>
          <w:highlight w:val="auto"/>
        </w:rPr>
        <w:t>.</w:t>
      </w:r>
      <w:r>
        <w:rPr>
          <w:rFonts w:ascii="仿宋" w:eastAsia="仿宋" w:cs="仿宋" w:hint="eastAsia"/>
          <w:b w:val="0"/>
          <w:bCs w:val="0"/>
          <w:color w:val="auto"/>
          <w:sz w:val="32"/>
          <w:szCs w:val="32"/>
          <w:highlight w:val="auto"/>
        </w:rPr>
        <w:t>卫生健康</w:t>
      </w:r>
      <w:r>
        <w:rPr>
          <w:rStyle w:val="25"/>
          <w:rFonts w:ascii="仿宋" w:eastAsia="仿宋" w:cs="仿宋" w:hint="eastAsia"/>
          <w:b w:val="0"/>
          <w:bCs w:val="0"/>
          <w:color w:val="auto"/>
          <w:sz w:val="32"/>
          <w:szCs w:val="32"/>
          <w:highlight w:val="auto"/>
        </w:rPr>
        <w:t>（类）其他卫生健康支出（款）其他卫生健康支出（项）:</w:t>
      </w:r>
      <w:r>
        <w:rPr>
          <w:rFonts w:ascii="仿宋" w:eastAsia="仿宋" w:cs="仿宋" w:hint="eastAsia"/>
          <w:color w:val="auto"/>
          <w:sz w:val="32"/>
          <w:szCs w:val="32"/>
          <w:lang w:val="en-US" w:eastAsia="zh-CN"/>
          <w:highlight w:val="auto"/>
        </w:rPr>
        <w:t>指其他用于卫生健康方面的支出</w:t>
      </w:r>
      <w:r>
        <w:rPr>
          <w:rStyle w:val="25"/>
          <w:rFonts w:ascii="仿宋" w:eastAsia="仿宋" w:cs="仿宋" w:hint="eastAsia"/>
          <w:b w:val="0"/>
          <w:bCs w:val="0"/>
          <w:color w:val="auto"/>
          <w:sz w:val="32"/>
          <w:szCs w:val="32"/>
          <w:highlight w:val="auto"/>
        </w:rPr>
        <w:t>。</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color w:val="auto"/>
          <w:sz w:val="32"/>
          <w:szCs w:val="32"/>
          <w:highlight w:val="auto"/>
        </w:rPr>
      </w:pPr>
      <w:r>
        <w:rPr>
          <w:rFonts w:ascii="仿宋" w:eastAsia="仿宋" w:cs="仿宋" w:hint="eastAsia"/>
          <w:color w:val="auto"/>
          <w:sz w:val="32"/>
          <w:szCs w:val="32"/>
          <w:lang w:val="en-US" w:eastAsia="zh-CN"/>
          <w:highlight w:val="auto"/>
        </w:rPr>
        <w:t>15</w:t>
      </w:r>
      <w:r>
        <w:rPr>
          <w:rFonts w:ascii="仿宋" w:eastAsia="仿宋" w:cs="仿宋" w:hint="eastAsia"/>
          <w:color w:val="auto"/>
          <w:sz w:val="32"/>
          <w:szCs w:val="32"/>
          <w:highlight w:val="auto"/>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color w:val="auto"/>
          <w:sz w:val="32"/>
          <w:szCs w:val="32"/>
          <w:highlight w:val="auto"/>
        </w:rPr>
      </w:pPr>
      <w:r>
        <w:rPr>
          <w:rFonts w:ascii="仿宋" w:eastAsia="仿宋" w:cs="仿宋" w:hint="eastAsia"/>
          <w:color w:val="auto"/>
          <w:sz w:val="32"/>
          <w:szCs w:val="32"/>
          <w:lang w:val="en-US" w:eastAsia="zh-CN"/>
          <w:highlight w:val="auto"/>
        </w:rPr>
        <w:t>16</w:t>
      </w:r>
      <w:r>
        <w:rPr>
          <w:rFonts w:ascii="仿宋" w:eastAsia="仿宋" w:cs="仿宋" w:hint="eastAsia"/>
          <w:color w:val="auto"/>
          <w:sz w:val="32"/>
          <w:szCs w:val="32"/>
          <w:highlight w:val="auto"/>
        </w:rPr>
        <w:t xml:space="preserve">.项目支出：指在基本支出之外为完成特定行政任务和事业发展目标所发生的支出。 </w:t>
      </w:r>
    </w:p>
    <w:p>
      <w:pPr>
        <w:pStyle w:val="31"/>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40"/>
        <w:textAlignment w:val="auto"/>
        <w:rPr>
          <w:rFonts w:ascii="仿宋" w:eastAsia="仿宋" w:cs="仿宋" w:hint="eastAsia"/>
          <w:color w:val="auto"/>
          <w:sz w:val="32"/>
          <w:szCs w:val="32"/>
          <w:highlight w:val="auto"/>
        </w:rPr>
      </w:pPr>
      <w:r>
        <w:rPr>
          <w:rFonts w:cs="仿宋" w:hint="eastAsia"/>
          <w:color w:val="auto"/>
          <w:sz w:val="32"/>
          <w:szCs w:val="32"/>
          <w:lang w:val="en-US" w:eastAsia="zh-CN"/>
          <w:highlight w:val="auto"/>
        </w:rPr>
        <w:t>17</w:t>
      </w:r>
      <w:r>
        <w:rPr>
          <w:rFonts w:ascii="仿宋" w:eastAsia="仿宋" w:cs="仿宋" w:hint="eastAsia"/>
          <w:color w:val="auto"/>
          <w:sz w:val="32"/>
          <w:szCs w:val="32"/>
          <w:highlight w:val="auto"/>
        </w:rPr>
        <w:t>.“三公”经费：指</w:t>
      </w:r>
      <w:r>
        <w:rPr>
          <w:rFonts w:ascii="仿宋" w:eastAsia="仿宋" w:cs="仿宋" w:hint="eastAsia"/>
          <w:color w:val="auto"/>
          <w:sz w:val="32"/>
          <w:szCs w:val="32"/>
          <w:lang w:eastAsia="zh-CN"/>
          <w:highlight w:val="auto"/>
        </w:rPr>
        <w:t>单位</w:t>
      </w:r>
      <w:r>
        <w:rPr>
          <w:rFonts w:ascii="仿宋" w:eastAsia="仿宋" w:cs="仿宋" w:hint="eastAsia"/>
          <w:color w:val="auto"/>
          <w:sz w:val="32"/>
          <w:szCs w:val="32"/>
          <w:highlight w:val="auto"/>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600" w:lineRule="exact"/>
        <w:ind w:firstLineChars="200" w:firstLine="640"/>
        <w:textAlignment w:val="auto"/>
        <w:rPr>
          <w:rFonts w:ascii="仿宋" w:eastAsia="仿宋" w:cs="仿宋" w:hint="eastAsia"/>
          <w:b/>
          <w:sz w:val="32"/>
          <w:szCs w:val="32"/>
        </w:rPr>
      </w:pPr>
      <w:r>
        <w:rPr>
          <w:rFonts w:ascii="仿宋" w:eastAsia="仿宋" w:cs="仿宋" w:hint="eastAsia"/>
          <w:color w:val="auto"/>
          <w:sz w:val="32"/>
          <w:szCs w:val="32"/>
          <w:lang w:val="en-US" w:eastAsia="zh-CN"/>
          <w:highlight w:val="auto"/>
        </w:rPr>
        <w:t>18</w:t>
      </w:r>
      <w:r>
        <w:rPr>
          <w:rFonts w:ascii="仿宋" w:eastAsia="仿宋" w:cs="仿宋" w:hint="eastAsia"/>
          <w:color w:val="auto"/>
          <w:sz w:val="32"/>
          <w:szCs w:val="32"/>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Times New Roman" w:eastAsia="黑体" w:hAnsi="Times New Roman" w:hint="eastAsia"/>
          <w:color w:val="auto"/>
          <w:sz w:val="44"/>
          <w:szCs w:val="44"/>
          <w:highlight w:val="auto"/>
        </w:rPr>
      </w:pPr>
      <w:r>
        <w:rPr>
          <w:rFonts w:ascii="Times New Roman" w:eastAsia="仿宋_GB2312" w:cs="仿宋_GB2312" w:hAnsi="Times New Roman" w:hint="eastAsia"/>
          <w:color w:val="auto"/>
          <w:kern w:val="2"/>
          <w:sz w:val="32"/>
          <w:szCs w:val="32"/>
          <w:lang w:val="en-US" w:eastAsia="zh-CN" w:bidi="ar-SA"/>
          <w:highlight w:val="auto"/>
        </w:rPr>
        <w:br w:type="page"/>
      </w:r>
      <w:bookmarkStart w:id="53" w:name="_Toc15396614"/>
      <w:r>
        <w:rPr>
          <w:rFonts w:ascii="Times New Roman" w:eastAsia="黑体" w:hAnsi="Times New Roman" w:hint="eastAsia"/>
          <w:color w:val="auto"/>
          <w:sz w:val="44"/>
          <w:szCs w:val="44"/>
          <w:highlight w:val="auto"/>
        </w:rPr>
        <w:t>第四部分</w:t>
      </w:r>
      <w:r>
        <w:rPr>
          <w:rFonts w:ascii="Times New Roman" w:eastAsia="黑体" w:hAnsi="Times New Roman" w:hint="eastAsia"/>
          <w:color w:val="auto"/>
          <w:sz w:val="44"/>
          <w:szCs w:val="44"/>
          <w:lang w:val="en-US" w:eastAsia="zh-CN"/>
          <w:highlight w:val="auto"/>
        </w:rPr>
        <w:t xml:space="preserve"> </w:t>
      </w:r>
      <w:r>
        <w:rPr>
          <w:rFonts w:ascii="Times New Roman" w:eastAsia="黑体" w:hAnsi="Times New Roman" w:hint="eastAsia"/>
          <w:color w:val="auto"/>
          <w:sz w:val="44"/>
          <w:szCs w:val="44"/>
          <w:highlight w:val="auto"/>
        </w:rPr>
        <w:t xml:space="preserve"> 附件</w:t>
      </w:r>
      <w:bookmarkEnd w:id="53"/>
    </w:p>
    <w:p>
      <w:pPr>
        <w:pStyle w:val="15"/>
        <w:rPr>
          <w:rFonts w:ascii="仿宋" w:eastAsia="仿宋" w:cs="仿宋" w:hint="eastAsia"/>
          <w:color w:val="auto"/>
          <w:sz w:val="32"/>
          <w:szCs w:val="32"/>
          <w:lang w:val="en-US" w:eastAsia="zh-CN"/>
          <w:highlight w:val="auto"/>
        </w:rPr>
      </w:pPr>
    </w:p>
    <w:p>
      <w:pPr>
        <w:pStyle w:val="15"/>
        <w:ind w:firstLineChars="200" w:firstLine="640"/>
        <w:rPr>
          <w:rFonts w:ascii="仿宋" w:eastAsia="仿宋" w:cs="仿宋"/>
          <w:color w:val="auto"/>
          <w:sz w:val="32"/>
          <w:szCs w:val="32"/>
          <w:lang w:val="en-US" w:eastAsia="zh-CN"/>
          <w:highlight w:val="auto"/>
        </w:rPr>
      </w:pPr>
      <w:r>
        <w:rPr>
          <w:rFonts w:ascii="仿宋" w:eastAsia="仿宋" w:cs="仿宋" w:hint="eastAsia"/>
          <w:color w:val="auto"/>
          <w:sz w:val="32"/>
          <w:szCs w:val="32"/>
          <w:lang w:val="en-US" w:eastAsia="zh-CN"/>
          <w:highlight w:val="auto"/>
        </w:rPr>
        <w:t>部门预算项目支出绩效自评表（2024年度）见附件3。</w:t>
      </w:r>
    </w:p>
    <w:p>
      <w:pPr>
        <w:widowControl/>
        <w:jc w:val="center"/>
        <w:rPr>
          <w:rFonts w:ascii="Times New Roman" w:eastAsia="黑体" w:hAnsi="Times New Roman" w:hint="eastAsia"/>
          <w:color w:val="auto"/>
          <w:sz w:val="44"/>
          <w:szCs w:val="44"/>
          <w:highlight w:val="auto"/>
        </w:rPr>
      </w:pPr>
      <w:bookmarkStart w:id="54" w:name="_Toc15396618"/>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center"/>
        <w:rPr>
          <w:rFonts w:ascii="Times New Roman" w:eastAsia="黑体" w:hAnsi="Times New Roman" w:hint="eastAsia"/>
          <w:color w:val="auto"/>
          <w:sz w:val="44"/>
          <w:szCs w:val="44"/>
          <w:highlight w:val="auto"/>
        </w:rPr>
      </w:pPr>
    </w:p>
    <w:p>
      <w:pPr>
        <w:widowControl/>
        <w:jc w:val="both"/>
        <w:rPr>
          <w:rFonts w:ascii="Times New Roman" w:eastAsia="黑体" w:hAnsi="Times New Roman" w:hint="eastAsia"/>
          <w:color w:val="auto"/>
          <w:sz w:val="44"/>
          <w:szCs w:val="44"/>
          <w:highlight w:val="auto"/>
        </w:rPr>
      </w:pPr>
    </w:p>
    <w:p>
      <w:pPr>
        <w:widowControl/>
        <w:jc w:val="center"/>
        <w:rPr>
          <w:rFonts w:ascii="Times New Roman" w:eastAsia="仿宋" w:hAnsi="Times New Roman" w:hint="eastAsia"/>
          <w:b w:val="0"/>
          <w:color w:val="auto"/>
          <w:highlight w:val="auto"/>
        </w:rPr>
      </w:pPr>
      <w:r>
        <w:rPr>
          <w:rFonts w:ascii="Times New Roman" w:eastAsia="黑体" w:hAnsi="Times New Roman" w:hint="eastAsia"/>
          <w:color w:val="auto"/>
          <w:sz w:val="44"/>
          <w:szCs w:val="44"/>
          <w:highlight w:val="auto"/>
        </w:rPr>
        <w:t>第</w:t>
      </w:r>
      <w:r>
        <w:rPr>
          <w:rStyle w:val="1Char"/>
          <w:rFonts w:ascii="Times New Roman" w:eastAsia="黑体" w:hAnsi="Times New Roman" w:hint="eastAsia"/>
          <w:b w:val="0"/>
          <w:color w:val="auto"/>
          <w:highlight w:val="auto"/>
        </w:rPr>
        <w:t>五部分 附表</w:t>
      </w:r>
      <w:bookmarkStart w:id="55" w:name="_Toc15396619"/>
      <w:bookmarkEnd w:id="52"/>
      <w:bookmarkEnd w:id="54"/>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一、收入支出决算总表</w:t>
      </w:r>
      <w:bookmarkEnd w:id="55"/>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6" w:name="_Toc15396620"/>
      <w:r>
        <w:rPr>
          <w:rFonts w:ascii="Times New Roman" w:eastAsia="仿宋_GB2312" w:cs="仿宋_GB2312" w:hAnsi="Times New Roman" w:hint="eastAsia"/>
          <w:color w:val="auto"/>
          <w:sz w:val="32"/>
          <w:szCs w:val="32"/>
          <w:highlight w:val="auto"/>
        </w:rPr>
        <w:t>二、收入决算表</w:t>
      </w:r>
      <w:bookmarkEnd w:id="56"/>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7" w:name="_Toc15396621"/>
      <w:r>
        <w:rPr>
          <w:rFonts w:ascii="Times New Roman" w:eastAsia="仿宋_GB2312" w:cs="仿宋_GB2312" w:hAnsi="Times New Roman" w:hint="eastAsia"/>
          <w:color w:val="auto"/>
          <w:sz w:val="32"/>
          <w:szCs w:val="32"/>
          <w:highlight w:val="auto"/>
        </w:rPr>
        <w:t>三、支出决算表</w:t>
      </w:r>
      <w:bookmarkEnd w:id="57"/>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8" w:name="_Toc15396622"/>
      <w:r>
        <w:rPr>
          <w:rFonts w:ascii="Times New Roman" w:eastAsia="仿宋_GB2312" w:cs="仿宋_GB2312" w:hAnsi="Times New Roman" w:hint="eastAsia"/>
          <w:color w:val="auto"/>
          <w:sz w:val="32"/>
          <w:szCs w:val="32"/>
          <w:highlight w:val="auto"/>
        </w:rPr>
        <w:t>四、财政拨款收入支出决算总表</w:t>
      </w:r>
      <w:bookmarkEnd w:id="58"/>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59" w:name="_Toc15396623"/>
      <w:r>
        <w:rPr>
          <w:rFonts w:ascii="Times New Roman" w:eastAsia="仿宋_GB2312" w:cs="仿宋_GB2312" w:hAnsi="Times New Roman" w:hint="eastAsia"/>
          <w:color w:val="auto"/>
          <w:sz w:val="32"/>
          <w:szCs w:val="32"/>
          <w:highlight w:val="auto"/>
        </w:rPr>
        <w:t>五、财政拨款支出决算明细表</w:t>
      </w:r>
      <w:bookmarkStart w:id="60" w:name="_Toc15396624"/>
      <w:bookmarkEnd w:id="59"/>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r>
        <w:rPr>
          <w:rFonts w:ascii="Times New Roman" w:eastAsia="仿宋_GB2312" w:cs="仿宋_GB2312" w:hAnsi="Times New Roman" w:hint="eastAsia"/>
          <w:color w:val="auto"/>
          <w:sz w:val="32"/>
          <w:szCs w:val="32"/>
          <w:highlight w:val="auto"/>
        </w:rPr>
        <w:t>六、一般公共预算财政拨款支出决算表</w:t>
      </w:r>
      <w:bookmarkEnd w:id="60"/>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1" w:name="_Toc15396625"/>
      <w:r>
        <w:rPr>
          <w:rFonts w:ascii="Times New Roman" w:eastAsia="仿宋_GB2312" w:cs="仿宋_GB2312" w:hAnsi="Times New Roman" w:hint="eastAsia"/>
          <w:color w:val="auto"/>
          <w:sz w:val="32"/>
          <w:szCs w:val="32"/>
          <w:highlight w:val="auto"/>
        </w:rPr>
        <w:t>七、一般公共预算财政拨款支出决算明细表</w:t>
      </w:r>
      <w:bookmarkEnd w:id="61"/>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2" w:name="_Toc15396626"/>
      <w:r>
        <w:rPr>
          <w:rFonts w:ascii="Times New Roman" w:eastAsia="仿宋_GB2312" w:cs="仿宋_GB2312" w:hAnsi="Times New Roman" w:hint="eastAsia"/>
          <w:color w:val="auto"/>
          <w:sz w:val="32"/>
          <w:szCs w:val="32"/>
          <w:highlight w:val="auto"/>
        </w:rPr>
        <w:t>八、一般公共预算财政拨款基本支出决算表</w:t>
      </w:r>
      <w:bookmarkEnd w:id="62"/>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3" w:name="_Toc15396627"/>
      <w:r>
        <w:rPr>
          <w:rFonts w:ascii="Times New Roman" w:eastAsia="仿宋_GB2312" w:cs="仿宋_GB2312" w:hAnsi="Times New Roman" w:hint="eastAsia"/>
          <w:color w:val="auto"/>
          <w:sz w:val="32"/>
          <w:szCs w:val="32"/>
          <w:highlight w:val="auto"/>
        </w:rPr>
        <w:t>九、一般公共预算财政拨款项目支出决算表</w:t>
      </w:r>
      <w:bookmarkEnd w:id="63"/>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64" w:name="_Toc15396628"/>
      <w:r>
        <w:rPr>
          <w:rFonts w:ascii="Times New Roman" w:eastAsia="仿宋_GB2312" w:cs="仿宋_GB2312" w:hAnsi="Times New Roman" w:hint="eastAsia"/>
          <w:color w:val="auto"/>
          <w:sz w:val="32"/>
          <w:szCs w:val="32"/>
          <w:highlight w:val="auto"/>
        </w:rPr>
        <w:t>十、</w:t>
      </w:r>
      <w:bookmarkEnd w:id="64"/>
      <w:r>
        <w:rPr>
          <w:rFonts w:ascii="Times New Roman" w:eastAsia="仿宋_GB2312" w:cs="仿宋_GB2312" w:hAnsi="Times New Roman" w:hint="eastAsia"/>
          <w:color w:val="auto"/>
          <w:sz w:val="32"/>
          <w:szCs w:val="32"/>
          <w:highlight w:val="auto"/>
        </w:rPr>
        <w:t>政府性基金预算财政拨款收入支出决算表</w:t>
      </w:r>
      <w:r>
        <w:rPr>
          <w:rFonts w:eastAsia="仿宋_GB2312" w:cs="仿宋_GB2312" w:hint="eastAsia"/>
          <w:color w:val="auto"/>
          <w:sz w:val="32"/>
          <w:szCs w:val="32"/>
          <w:lang w:eastAsia="zh-CN"/>
          <w:highlight w:val="auto"/>
        </w:rPr>
        <w:t>（</w:t>
      </w:r>
      <w:r>
        <w:rPr>
          <w:rFonts w:eastAsia="仿宋_GB2312" w:cs="仿宋_GB2312" w:hint="eastAsia"/>
          <w:color w:val="auto"/>
          <w:sz w:val="32"/>
          <w:szCs w:val="32"/>
          <w:lang w:val="en-US" w:eastAsia="zh-CN"/>
          <w:highlight w:val="auto"/>
        </w:rPr>
        <w:t>此表无数据</w:t>
      </w:r>
      <w:r>
        <w:rPr>
          <w:rFonts w:eastAsia="仿宋_GB2312" w:cs="仿宋_GB2312" w:hint="eastAsia"/>
          <w:color w:val="auto"/>
          <w:sz w:val="32"/>
          <w:szCs w:val="32"/>
          <w:lang w:eastAsia="zh-CN"/>
          <w:highlight w:val="auto"/>
        </w:rPr>
        <w:t>）</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65" w:name="_Toc15396629"/>
      <w:r>
        <w:rPr>
          <w:rFonts w:ascii="Times New Roman" w:eastAsia="仿宋_GB2312" w:cs="仿宋_GB2312" w:hAnsi="Times New Roman" w:hint="eastAsia"/>
          <w:color w:val="auto"/>
          <w:sz w:val="32"/>
          <w:szCs w:val="32"/>
          <w:highlight w:val="auto"/>
        </w:rPr>
        <w:t>十一、</w:t>
      </w:r>
      <w:bookmarkEnd w:id="65"/>
      <w:r>
        <w:rPr>
          <w:rFonts w:ascii="Times New Roman" w:eastAsia="仿宋_GB2312" w:cs="仿宋_GB2312" w:hAnsi="Times New Roman" w:hint="eastAsia"/>
          <w:color w:val="auto"/>
          <w:sz w:val="32"/>
          <w:szCs w:val="32"/>
          <w:highlight w:val="auto"/>
        </w:rPr>
        <w:t>国有资本经营预算</w:t>
      </w:r>
      <w:r>
        <w:rPr>
          <w:rFonts w:ascii="Times New Roman" w:eastAsia="仿宋_GB2312" w:cs="仿宋_GB2312" w:hAnsi="Times New Roman" w:hint="eastAsia"/>
          <w:color w:val="auto"/>
          <w:sz w:val="32"/>
          <w:szCs w:val="32"/>
          <w:lang w:eastAsia="zh-CN"/>
          <w:highlight w:val="auto"/>
        </w:rPr>
        <w:t>财政拨款收入</w:t>
      </w:r>
      <w:r>
        <w:rPr>
          <w:rFonts w:ascii="Times New Roman" w:eastAsia="仿宋_GB2312" w:cs="仿宋_GB2312" w:hAnsi="Times New Roman" w:hint="eastAsia"/>
          <w:color w:val="auto"/>
          <w:sz w:val="32"/>
          <w:szCs w:val="32"/>
          <w:highlight w:val="auto"/>
        </w:rPr>
        <w:t>支出决算表</w:t>
      </w:r>
      <w:r>
        <w:rPr>
          <w:rFonts w:eastAsia="仿宋_GB2312" w:cs="仿宋_GB2312" w:hint="eastAsia"/>
          <w:color w:val="auto"/>
          <w:sz w:val="32"/>
          <w:szCs w:val="32"/>
          <w:lang w:eastAsia="zh-CN"/>
          <w:highlight w:val="auto"/>
        </w:rPr>
        <w:t>（</w:t>
      </w:r>
      <w:r>
        <w:rPr>
          <w:rFonts w:eastAsia="仿宋_GB2312" w:cs="仿宋_GB2312" w:hint="eastAsia"/>
          <w:color w:val="auto"/>
          <w:sz w:val="32"/>
          <w:szCs w:val="32"/>
          <w:lang w:val="en-US" w:eastAsia="zh-CN"/>
          <w:highlight w:val="auto"/>
        </w:rPr>
        <w:t>此表无数据</w:t>
      </w:r>
      <w:r>
        <w:rPr>
          <w:rFonts w:eastAsia="仿宋_GB2312" w:cs="仿宋_GB2312" w:hint="eastAsia"/>
          <w:color w:val="auto"/>
          <w:sz w:val="32"/>
          <w:szCs w:val="32"/>
          <w:lang w:eastAsia="zh-CN"/>
          <w:highlight w:val="auto"/>
        </w:rPr>
        <w:t>）</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highlight w:val="auto"/>
        </w:rPr>
      </w:pPr>
      <w:bookmarkStart w:id="66" w:name="_Toc15396630"/>
      <w:r>
        <w:rPr>
          <w:rFonts w:ascii="Times New Roman" w:eastAsia="仿宋_GB2312" w:cs="仿宋_GB2312" w:hAnsi="Times New Roman" w:hint="eastAsia"/>
          <w:color w:val="auto"/>
          <w:sz w:val="32"/>
          <w:szCs w:val="32"/>
          <w:highlight w:val="auto"/>
        </w:rPr>
        <w:t>十二、</w:t>
      </w:r>
      <w:bookmarkEnd w:id="66"/>
      <w:r>
        <w:rPr>
          <w:rFonts w:ascii="Times New Roman" w:eastAsia="仿宋_GB2312" w:cs="仿宋_GB2312" w:hAnsi="Times New Roman" w:hint="eastAsia"/>
          <w:color w:val="auto"/>
          <w:sz w:val="32"/>
          <w:szCs w:val="32"/>
          <w:lang w:eastAsia="zh-CN"/>
          <w:highlight w:val="auto"/>
        </w:rPr>
        <w:t>国有资本经营预算财政拨款支出决算表</w:t>
      </w:r>
      <w:r>
        <w:rPr>
          <w:rFonts w:eastAsia="仿宋_GB2312" w:cs="仿宋_GB2312" w:hint="eastAsia"/>
          <w:color w:val="auto"/>
          <w:sz w:val="32"/>
          <w:szCs w:val="32"/>
          <w:lang w:eastAsia="zh-CN"/>
          <w:highlight w:val="auto"/>
        </w:rPr>
        <w:t>（</w:t>
      </w:r>
      <w:r>
        <w:rPr>
          <w:rFonts w:eastAsia="仿宋_GB2312" w:cs="仿宋_GB2312" w:hint="eastAsia"/>
          <w:color w:val="auto"/>
          <w:sz w:val="32"/>
          <w:szCs w:val="32"/>
          <w:lang w:val="en-US" w:eastAsia="zh-CN"/>
          <w:highlight w:val="auto"/>
        </w:rPr>
        <w:t>此表无数据</w:t>
      </w:r>
      <w:r>
        <w:rPr>
          <w:rFonts w:eastAsia="仿宋_GB2312" w:cs="仿宋_GB2312" w:hint="eastAsia"/>
          <w:color w:val="auto"/>
          <w:sz w:val="32"/>
          <w:szCs w:val="32"/>
          <w:lang w:eastAsia="zh-CN"/>
          <w:highlight w:val="auto"/>
        </w:rPr>
        <w:t>）</w:t>
      </w:r>
    </w:p>
    <w:p>
      <w:pPr>
        <w:pStyle w:val="24"/>
        <w:keepNext w:val="0"/>
        <w:keepLines w:val="0"/>
        <w:pageBreakBefore w:val="0"/>
        <w:widowControl w:val="0"/>
        <w:tabs>
          <w:tab w:val="right" w:leader="dot" w:pos="8296"/>
        </w:tabs>
        <w:kinsoku/>
        <w:wordWrap/>
        <w:overflowPunct/>
        <w:topLinePunct w:val="0"/>
        <w:autoSpaceDE/>
        <w:autoSpaceDN/>
        <w:bidi w:val="0"/>
        <w:adjustRightInd w:val="0"/>
        <w:snapToGrid w:val="0"/>
        <w:spacing w:line="560" w:lineRule="exact"/>
        <w:jc w:val="left"/>
        <w:textAlignment w:val="auto"/>
        <w:rPr>
          <w:rFonts w:ascii="Times New Roman" w:eastAsia="仿宋_GB2312" w:cs="仿宋_GB2312" w:hAnsi="Times New Roman" w:hint="eastAsia"/>
          <w:color w:val="auto"/>
          <w:sz w:val="32"/>
          <w:szCs w:val="32"/>
          <w:lang w:eastAsia="zh-CN"/>
          <w:highlight w:val="auto"/>
        </w:rPr>
      </w:pPr>
      <w:bookmarkStart w:id="67" w:name="_Toc15396631"/>
      <w:r>
        <w:rPr>
          <w:rFonts w:ascii="Times New Roman" w:eastAsia="仿宋_GB2312" w:cs="仿宋_GB2312" w:hAnsi="Times New Roman" w:hint="eastAsia"/>
          <w:color w:val="auto"/>
          <w:sz w:val="32"/>
          <w:szCs w:val="32"/>
          <w:highlight w:val="auto"/>
        </w:rPr>
        <w:t>十三、</w:t>
      </w:r>
      <w:bookmarkEnd w:id="67"/>
      <w:r>
        <w:rPr>
          <w:rFonts w:ascii="Times New Roman" w:eastAsia="仿宋_GB2312" w:cs="仿宋_GB2312" w:hAnsi="Times New Roman" w:hint="eastAsia"/>
          <w:color w:val="auto"/>
          <w:sz w:val="32"/>
          <w:szCs w:val="32"/>
          <w:lang w:eastAsia="zh-CN"/>
          <w:highlight w:val="auto"/>
        </w:rPr>
        <w:t>财政拨款“三公”经费支出决算表</w:t>
      </w:r>
      <w:r>
        <w:rPr>
          <w:rFonts w:eastAsia="仿宋_GB2312" w:cs="仿宋_GB2312" w:hint="eastAsia"/>
          <w:color w:val="auto"/>
          <w:sz w:val="32"/>
          <w:szCs w:val="32"/>
          <w:lang w:eastAsia="zh-CN"/>
          <w:highlight w:val="auto"/>
        </w:rPr>
        <w:t>（</w:t>
      </w:r>
      <w:r>
        <w:rPr>
          <w:rFonts w:eastAsia="仿宋_GB2312" w:cs="仿宋_GB2312" w:hint="eastAsia"/>
          <w:color w:val="auto"/>
          <w:sz w:val="32"/>
          <w:szCs w:val="32"/>
          <w:lang w:val="en-US" w:eastAsia="zh-CN"/>
          <w:highlight w:val="auto"/>
        </w:rPr>
        <w:t>此表无数据</w:t>
      </w:r>
      <w:r>
        <w:rPr>
          <w:rFonts w:eastAsia="仿宋_GB2312" w:cs="仿宋_GB2312" w:hint="eastAsia"/>
          <w:color w:val="auto"/>
          <w:sz w:val="32"/>
          <w:szCs w:val="32"/>
          <w:lang w:eastAsia="zh-CN"/>
          <w:highlight w:val="auto"/>
        </w:rPr>
        <w:t>）</w:t>
      </w:r>
    </w:p>
    <w:p>
      <w:pPr>
        <w:rPr>
          <w:rFonts w:ascii="Times New Roman" w:hAnsi="Times New Roman" w:hint="eastAsia"/>
          <w:lang w:eastAsia="zh-CN"/>
        </w:rPr>
      </w:pPr>
    </w:p>
    <w:sectPr>
      <w:footerReference w:type="default" r:id="rId5"/>
      <w:footerReference w:type="first" r:id="rId6"/>
      <w:pgSz w:w="11906" w:h="16838"/>
      <w:pgMar w:top="1440" w:right="1800" w:bottom="1440" w:left="1800" w:header="851" w:footer="992" w:gutter="0"/>
      <w:pgNumType w:start="4"/>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EFF" w:usb1="C000785B" w:usb2="00000009" w:usb3="00000000" w:csb0="400001FF" w:csb1="FFFF0000"/>
  </w:font>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_GB2312">
    <w:altName w:val="仿宋"/>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
    <w:altName w:val="Arial"/>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8"/>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20"/>
                            <w:tabs>
                              <w:tab w:val="center" w:pos="4153"/>
                              <w:tab w:val="right" w:pos="8306"/>
                            </w:tabs>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type="#_x0000_t202" id="文本框 8 3" o:spid="_x0000_s3" filled="f" stroked="f" strokeweight="0.5pt" style="position:absolute;margin-left:0.0pt;margin-top:0.0pt;width:4.56301pt;height:10.988999pt;z-index:37;mso-position-horizontal:center;mso-position-horizontal-relative:margin;mso-position-vertical:absolute;mso-wrap-distance-left:8.999863pt;mso-wrap-distance-right:8.999863pt;mso-wrap-style:none;">
              <v:stroke color="#000000"/>
              <v:textbox id="854"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- 2 -</w:t>
                    </w:r>
                    <w:r>
                      <w:fldChar w:fldCharType="end"/>
                    </w:r>
                  </w:p>
                </w:txbxContent>
              </v:textbox>
            </v:shape>
          </w:pict>
        </mc:Fallback>
      </mc:AlternateContent>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39"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4" name="文本框 9"/>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5">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9 6" o:spid="_x0000_s6" filled="f" stroked="f" strokeweight="0.5pt" style="position:absolute;margin-left:0.0pt;margin-top:0.0pt;width:4.56301pt;height:10.988999pt;z-index:39;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33" behindDoc="0" locked="0" layoutInCell="1" hidden="0" allowOverlap="1">
              <wp:simplePos x="0" y="0"/>
              <wp:positionH relativeFrom="margin">
                <wp:align>center</wp:align>
              </wp:positionH>
              <wp:positionV relativeFrom="paragraph">
                <wp:posOffset>0</wp:posOffset>
              </wp:positionV>
              <wp:extent cx="115900" cy="139560"/>
              <wp:effectExtent l="0" t="0" r="0" b="0"/>
              <wp:wrapNone/>
              <wp:docPr id="7" name="文本框 1"/>
              <wp:cNvGraphicFramePr>
                <a:graphicFrameLocks noChangeAspect="0"/>
              </wp:cNvGraphicFramePr>
              <a:graphic>
                <a:graphicData uri="http://schemas.microsoft.com/office/word/2010/wordprocessingShape">
                  <wps:wsp>
                    <wps:cNvSpPr/>
                    <wps:spPr>
                      <a:xfrm rot="0">
                        <a:off x="0" y="0"/>
                        <a:ext cx="115900" cy="139560"/>
                      </a:xfrm>
                      <a:prstGeom prst="rect"/>
                      <a:noFill/>
                      <a:ln w="6350" cmpd="sng" cap="flat">
                        <a:noFill/>
                        <a:prstDash val="solid"/>
                        <a:round/>
                      </a:ln>
                    </wps:spPr>
                    <wps:txbx id="8">
                      <w:txbxContent>
                        <w:p>
                          <w:pPr>
                            <w:pStyle w:val="20"/>
                            <w:tabs>
                              <w:tab w:val="center" w:pos="4153"/>
                              <w:tab w:val="right" w:pos="8306"/>
                            </w:tabs>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type="#_x0000_t202" id="文本框 1 9" o:spid="_x0000_s9" filled="f" stroked="f" strokeweight="0.5pt" style="position:absolute;margin-left:0.0pt;margin-top:0.0pt;width:9.125998pt;height:10.988999pt;z-index:33;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- 2 -</w:t>
                    </w:r>
                    <w:r>
                      <w:fldChar w:fldCharType="end"/>
                    </w:r>
                  </w:p>
                </w:txbxContent>
              </v:textbox>
            </v:shape>
          </w:pict>
        </mc:Fallback>
      </mc:AlternateContent>
    </w:r>
  </w:p>
  <w:p>
    <w:pPr>
      <w:pStyle w:val="20"/>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35"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0" name="文本框 5"/>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11">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5 12" o:spid="_x0000_s12" filled="f" stroked="f" strokeweight="0.5pt" style="position:absolute;margin-left:0.0pt;margin-top:0.0pt;width:4.56301pt;height:10.988999pt;z-index:35;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899"/>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footnote text"/>
    <w:basedOn w:val="0"/>
    <w:next w:val="17"/>
    <w:pPr>
      <w:snapToGrid w:val="0"/>
      <w:jc w:val="left"/>
    </w:pPr>
    <w:rPr>
      <w:sz w:val="18"/>
      <w:szCs w:val="1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四号正文"/>
    <w:basedOn w:val="0"/>
    <w:pPr>
      <w:spacing w:line="360" w:lineRule="auto"/>
    </w:pPr>
    <w:rPr>
      <w:rFonts w:ascii="??" w:eastAsia="宋体" w:hAnsi="??"/>
      <w:color w:val="000000"/>
      <w:kern w:val="0"/>
      <w:sz w:val="28"/>
      <w:szCs w:val="21"/>
      <w:lang w:val="zh-CN"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image" Target="media/14.png"/><Relationship Id="rId8" Type="http://schemas.openxmlformats.org/officeDocument/2006/relationships/image" Target="media/17.png"/><Relationship Id="rId9" Type="http://schemas.openxmlformats.org/officeDocument/2006/relationships/image" Target="media/20.png"/><Relationship Id="rId10" Type="http://schemas.openxmlformats.org/officeDocument/2006/relationships/image" Target="media/23.png"/><Relationship Id="rId11" Type="http://schemas.openxmlformats.org/officeDocument/2006/relationships/image" Target="media/26.png"/><Relationship Id="rId12" Type="http://schemas.openxmlformats.org/officeDocument/2006/relationships/image" Target="media/29.png"/><Relationship Id="rId13" Type="http://schemas.openxmlformats.org/officeDocument/2006/relationships/styles" Target="styles.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105</TotalTime>
  <Application>Yozo_Office27021597764231179</Application>
  <Pages>17</Pages>
  <Words>4824</Words>
  <Characters>5335</Characters>
  <Lines>290</Lines>
  <Paragraphs>127</Paragraphs>
  <CharactersWithSpaces>5417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2025-08-06T17:34:00Z</cp:lastPrinted>
  <dcterms:created xsi:type="dcterms:W3CDTF">2020-08-09T09:49:00Z</dcterms:created>
  <dcterms:modified xsi:type="dcterms:W3CDTF">2025-09-11T07:41:13Z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957ACF446DB94DAFB1257682C68BC317</vt:lpwstr>
  </property>
  <property fmtid="{D5CDD505-2E9C-101B-9397-08002B2CF9AE}" pid="4" name="KSOTemplateDocerSaveRecord">
    <vt:lpwstr>eyJoZGlkIjoiYjVhOTdmYThkOWI3OTNiZDM0OWFiYWQyYzM0YjA3YjUiLCJ1c2VySWQiOiI2NjU5NDc0MDkifQ==</vt:lpwstr>
  </property>
</Properties>
</file>