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jc w:val="center"/>
        <w:rPr>
          <w:rFonts w:ascii="方正小标宋简体" w:eastAsia="方正小标宋简体" w:cs="Times New Roman" w:hint="eastAsia"/>
          <w:color w:val="auto"/>
          <w:kern w:val="2"/>
          <w:sz w:val="44"/>
          <w:szCs w:val="44"/>
          <w:lang w:val="en-US" w:eastAsia="zh-CN" w:bidi="ar-SA"/>
          <w:highlight w:val="auto"/>
        </w:rPr>
      </w:pPr>
      <w:r>
        <w:rPr>
          <w:rFonts w:ascii="方正小标宋简体" w:eastAsia="方正小标宋简体" w:cs="Times New Roman" w:hint="eastAsia"/>
          <w:color w:val="auto"/>
          <w:kern w:val="2"/>
          <w:sz w:val="44"/>
          <w:szCs w:val="44"/>
          <w:lang w:val="en-US" w:eastAsia="zh-CN" w:bidi="ar-SA"/>
          <w:highlight w:val="auto"/>
        </w:rPr>
        <w:t>2024年度攀枝花市第二人民医院</w:t>
      </w:r>
    </w:p>
    <w:p>
      <w:pPr>
        <w:pStyle w:val="15"/>
        <w:jc w:val="center"/>
        <w:rPr>
          <w:rFonts w:ascii="方正小标宋简体" w:eastAsia="方正小标宋简体" w:cs="Times New Roman"/>
          <w:color w:val="auto"/>
          <w:kern w:val="2"/>
          <w:sz w:val="44"/>
          <w:szCs w:val="44"/>
          <w:lang w:val="en-US" w:eastAsia="zh-CN" w:bidi="ar-SA"/>
          <w:highlight w:val="auto"/>
        </w:rPr>
      </w:pPr>
      <w:r>
        <w:rPr>
          <w:rFonts w:ascii="方正小标宋简体" w:eastAsia="方正小标宋简体" w:cs="Times New Roman" w:hint="eastAsia"/>
          <w:color w:val="auto"/>
          <w:kern w:val="2"/>
          <w:sz w:val="44"/>
          <w:szCs w:val="44"/>
          <w:lang w:val="en-US" w:eastAsia="zh-CN" w:bidi="ar-SA"/>
          <w:highlight w:val="auto"/>
        </w:rPr>
        <w:t>单位决算公开编制说明</w:t>
      </w:r>
    </w:p>
    <w:p>
      <w:pPr>
        <w:widowControl/>
        <w:jc w:val="center"/>
        <w:rPr>
          <w:rFonts w:ascii="黑体" w:eastAsia="黑体"/>
          <w:color w:val="auto"/>
          <w:sz w:val="48"/>
          <w:szCs w:val="48"/>
          <w:highlight w:val="auto"/>
        </w:rPr>
      </w:pPr>
      <w:r>
        <w:rPr>
          <w:rFonts w:ascii="黑体" w:eastAsia="黑体" w:hint="eastAsia"/>
          <w:color w:val="auto"/>
          <w:sz w:val="48"/>
          <w:szCs w:val="48"/>
          <w:highlight w:val="auto"/>
        </w:rPr>
        <w:t>目录</w:t>
      </w:r>
    </w:p>
    <w:p>
      <w:pPr>
        <w:widowControl/>
        <w:jc w:val="center"/>
        <w:rPr>
          <w:rFonts w:ascii="黑体" w:eastAsia="黑体" w:cs="Times New Roman"/>
          <w:color w:val="auto"/>
          <w:sz w:val="28"/>
          <w:szCs w:val="28"/>
          <w:highlight w:val="auto"/>
        </w:rPr>
      </w:pPr>
    </w:p>
    <w:p>
      <w:pPr>
        <w:pStyle w:val="22"/>
        <w:tabs>
          <w:tab w:val="right" w:leader="dot" w:pos="8296"/>
        </w:tabs>
        <w:rPr>
          <w:color w:val="auto"/>
          <w:highlight w:val="auto"/>
        </w:rPr>
      </w:pPr>
      <w:r>
        <w:rPr>
          <w:rFonts w:hint="eastAsia"/>
          <w:color w:val="auto"/>
          <w:highlight w:val="auto"/>
        </w:rPr>
        <w:t>公开时间：20</w:t>
      </w:r>
      <w:r>
        <w:rPr>
          <w:rFonts w:hint="eastAsia"/>
          <w:color w:val="auto"/>
          <w:lang w:val="en-US" w:eastAsia="zh-CN"/>
          <w:highlight w:val="auto"/>
        </w:rPr>
        <w:t>25</w:t>
      </w:r>
      <w:r>
        <w:rPr>
          <w:rFonts w:hint="eastAsia"/>
          <w:color w:val="auto"/>
          <w:highlight w:val="auto"/>
        </w:rPr>
        <w:t>年</w:t>
      </w:r>
      <w:r>
        <w:rPr>
          <w:rFonts w:hint="eastAsia"/>
          <w:color w:val="auto"/>
          <w:lang w:val="en-US" w:eastAsia="zh-CN"/>
          <w:highlight w:val="auto"/>
        </w:rPr>
        <w:t>9</w:t>
      </w:r>
      <w:r>
        <w:rPr>
          <w:rFonts w:hint="eastAsia"/>
          <w:color w:val="auto"/>
          <w:highlight w:val="auto"/>
        </w:rPr>
        <w:t>月</w:t>
      </w:r>
      <w:r>
        <w:rPr>
          <w:color w:val="auto"/>
          <w:lang w:val="en-US" w:eastAsia="zh-CN"/>
          <w:highlight w:val="auto"/>
        </w:rPr>
        <w:t>11</w:t>
      </w:r>
      <w:bookmarkStart w:id="0" w:name="_GoBack"/>
      <w:bookmarkEnd w:id="0"/>
      <w:r>
        <w:rPr>
          <w:rFonts w:hint="eastAsia"/>
          <w:color w:val="auto"/>
          <w:highlight w:val="auto"/>
        </w:rPr>
        <w:t>日</w:t>
      </w:r>
    </w:p>
    <w:p>
      <w:pPr>
        <w:rPr>
          <w:rFonts w:ascii="Times New Roman" w:hAnsi="Times New Roman"/>
          <w:color w:val="auto"/>
          <w:highlight w:val="auto"/>
        </w:rPr>
      </w:pP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黑体" w:cs="黑体" w:hAnsi="Times New Roman" w:hint="eastAsia"/>
          <w:color w:val="auto"/>
          <w:sz w:val="32"/>
          <w:szCs w:val="32"/>
          <w:highlight w:val="auto"/>
        </w:rPr>
      </w:pPr>
      <w:r>
        <w:rPr>
          <w:rFonts w:ascii="Times New Roman" w:eastAsia="黑体" w:cs="黑体" w:hAnsi="Times New Roman" w:hint="eastAsia"/>
          <w:color w:val="auto"/>
          <w:sz w:val="32"/>
          <w:szCs w:val="32"/>
          <w:highlight w:val="auto"/>
        </w:rPr>
        <w:t>第一部分 部门概况</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一、</w:t>
      </w:r>
      <w:r>
        <w:rPr>
          <w:rFonts w:ascii="Times New Roman" w:eastAsia="仿宋_GB2312" w:cs="仿宋_GB2312" w:hAnsi="Times New Roman" w:hint="eastAsia"/>
          <w:color w:val="auto"/>
          <w:sz w:val="32"/>
          <w:szCs w:val="32"/>
          <w:lang w:eastAsia="zh-CN"/>
          <w:highlight w:val="auto"/>
        </w:rPr>
        <w:t>部门职责</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二、机构设置</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黑体" w:cs="黑体" w:hAnsi="Times New Roman" w:hint="eastAsia"/>
          <w:color w:val="auto"/>
          <w:sz w:val="32"/>
          <w:szCs w:val="32"/>
          <w:highlight w:val="auto"/>
        </w:rPr>
      </w:pPr>
      <w:r>
        <w:rPr>
          <w:rFonts w:ascii="Times New Roman" w:eastAsia="黑体" w:cs="黑体" w:hAnsi="Times New Roman" w:hint="eastAsia"/>
          <w:color w:val="auto"/>
          <w:sz w:val="32"/>
          <w:szCs w:val="32"/>
          <w:highlight w:val="auto"/>
        </w:rPr>
        <w:t>第二部分</w:t>
      </w:r>
      <w:r>
        <w:rPr>
          <w:rFonts w:ascii="Times New Roman" w:eastAsia="黑体" w:cs="黑体" w:hAnsi="Times New Roman" w:hint="eastAsia"/>
          <w:color w:val="auto"/>
          <w:sz w:val="32"/>
          <w:szCs w:val="32"/>
          <w:lang w:val="en-US" w:eastAsia="zh-CN"/>
          <w:highlight w:val="auto"/>
        </w:rPr>
        <w:t xml:space="preserve"> 2024年度</w:t>
      </w:r>
      <w:r>
        <w:rPr>
          <w:rFonts w:ascii="Times New Roman" w:eastAsia="黑体" w:cs="黑体" w:hAnsi="Times New Roman" w:hint="eastAsia"/>
          <w:color w:val="auto"/>
          <w:sz w:val="32"/>
          <w:szCs w:val="32"/>
          <w:highlight w:val="auto"/>
        </w:rPr>
        <w:t>部门决算情况说明</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一、收入支出决算总体情况说明</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二、收入决算情况说明</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三、支出决算情况说明</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四、财政拨款收入支出决算总体情况说明</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五、一般公共预算财政拨款支出决算情况说明</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六、一般公共预算财政拨款基本支出决算情况说明</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七、财政拨款</w:t>
      </w:r>
      <w:r>
        <w:rPr>
          <w:rFonts w:ascii="Times New Roman" w:eastAsia="仿宋_GB2312" w:cs="仿宋_GB2312" w:hAnsi="Times New Roman" w:hint="eastAsia"/>
          <w:color w:val="auto"/>
          <w:sz w:val="32"/>
          <w:szCs w:val="32"/>
          <w:lang w:eastAsia="zh-CN"/>
          <w:highlight w:val="auto"/>
        </w:rPr>
        <w:t>“</w:t>
      </w:r>
      <w:r>
        <w:rPr>
          <w:rFonts w:ascii="Times New Roman" w:eastAsia="仿宋_GB2312" w:cs="仿宋_GB2312" w:hAnsi="Times New Roman" w:hint="eastAsia"/>
          <w:color w:val="auto"/>
          <w:sz w:val="32"/>
          <w:szCs w:val="32"/>
          <w:highlight w:val="auto"/>
        </w:rPr>
        <w:t>三公”经费支出决算情况说明</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八、政府性基金预算支出决算情况说明</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九、</w:t>
      </w:r>
      <w:r>
        <w:rPr>
          <w:rFonts w:ascii="Times New Roman" w:eastAsia="仿宋_GB2312" w:cs="仿宋_GB2312" w:hAnsi="Times New Roman" w:hint="eastAsia"/>
          <w:color w:val="auto"/>
          <w:sz w:val="32"/>
          <w:szCs w:val="32"/>
          <w:lang w:eastAsia="zh-CN"/>
          <w:highlight w:val="auto"/>
        </w:rPr>
        <w:t>国</w:t>
      </w:r>
      <w:r>
        <w:rPr>
          <w:rFonts w:ascii="Times New Roman" w:eastAsia="仿宋_GB2312" w:cs="仿宋_GB2312" w:hAnsi="Times New Roman" w:hint="eastAsia"/>
          <w:color w:val="auto"/>
          <w:sz w:val="32"/>
          <w:szCs w:val="32"/>
          <w:highlight w:val="auto"/>
        </w:rPr>
        <w:t>有资本经营预算支出决算情况说明</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lang w:eastAsia="zh-CN"/>
          <w:highlight w:val="auto"/>
        </w:rPr>
        <w:t>十</w:t>
      </w:r>
      <w:r>
        <w:rPr>
          <w:rFonts w:ascii="Times New Roman" w:eastAsia="仿宋_GB2312" w:cs="仿宋_GB2312" w:hAnsi="Times New Roman" w:hint="eastAsia"/>
          <w:color w:val="auto"/>
          <w:sz w:val="32"/>
          <w:szCs w:val="32"/>
          <w:highlight w:val="auto"/>
        </w:rPr>
        <w:t>、其他重要事项的情况说明</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黑体" w:cs="黑体" w:hAnsi="Times New Roman" w:hint="eastAsia"/>
          <w:color w:val="auto"/>
          <w:sz w:val="32"/>
          <w:szCs w:val="32"/>
          <w:highlight w:val="auto"/>
        </w:rPr>
      </w:pPr>
      <w:r>
        <w:rPr>
          <w:rFonts w:ascii="Times New Roman" w:eastAsia="黑体" w:cs="黑体" w:hAnsi="Times New Roman" w:hint="eastAsia"/>
          <w:color w:val="auto"/>
          <w:sz w:val="32"/>
          <w:szCs w:val="32"/>
          <w:highlight w:val="auto"/>
        </w:rPr>
        <w:t>第三部分 名词解释</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黑体" w:cs="黑体" w:hAnsi="Times New Roman" w:hint="eastAsia"/>
          <w:color w:val="auto"/>
          <w:sz w:val="32"/>
          <w:szCs w:val="32"/>
          <w:highlight w:val="auto"/>
        </w:rPr>
      </w:pPr>
      <w:r>
        <w:rPr>
          <w:rFonts w:ascii="Times New Roman" w:eastAsia="黑体" w:cs="黑体" w:hAnsi="Times New Roman" w:hint="eastAsia"/>
          <w:color w:val="auto"/>
          <w:sz w:val="32"/>
          <w:szCs w:val="32"/>
          <w:highlight w:val="auto"/>
        </w:rPr>
        <w:t>第四部分 附件</w:t>
      </w:r>
    </w:p>
    <w:p>
      <w:pPr>
        <w:pStyle w:val="22"/>
        <w:keepNext w:val="0"/>
        <w:keepLines w:val="0"/>
        <w:pageBreakBefore w:val="0"/>
        <w:widowControl w:val="0"/>
        <w:tabs>
          <w:tab w:val="right" w:leader="dot" w:pos="8296"/>
        </w:tabs>
        <w:kinsoku/>
        <w:wordWrap/>
        <w:overflowPunct/>
        <w:topLinePunct w:val="0"/>
        <w:autoSpaceDE/>
        <w:autoSpaceDN/>
        <w:bidi w:val="0"/>
        <w:adjustRightInd w:val="0"/>
        <w:snapToGrid w:val="0"/>
        <w:spacing w:before="0" w:line="560" w:lineRule="exact"/>
        <w:jc w:val="left"/>
        <w:textAlignment w:val="auto"/>
        <w:rPr>
          <w:rFonts w:ascii="Times New Roman" w:eastAsia="黑体" w:cs="黑体" w:hAnsi="Times New Roman" w:hint="eastAsia"/>
          <w:color w:val="auto"/>
          <w:sz w:val="32"/>
          <w:szCs w:val="32"/>
          <w:highlight w:val="auto"/>
        </w:rPr>
      </w:pPr>
      <w:r>
        <w:rPr>
          <w:rFonts w:ascii="Times New Roman" w:eastAsia="黑体" w:cs="黑体" w:hAnsi="Times New Roman" w:hint="eastAsia"/>
          <w:color w:val="auto"/>
          <w:sz w:val="32"/>
          <w:szCs w:val="32"/>
          <w:highlight w:val="auto"/>
        </w:rPr>
        <w:t>第五部分 附表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一、收入支出决算总表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二、收入决算表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三、支出决算表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四、财政拨款收入支出决算总表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五、财政拨款支出决算明细表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六、一般公共预算财政拨款支出决算表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七、一般公共预算财政拨款支出决算明细表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八、一般公共预算财政拨款基本支出决算</w:t>
      </w:r>
      <w:r>
        <w:rPr>
          <w:rFonts w:ascii="Times New Roman" w:eastAsia="仿宋_GB2312" w:cs="仿宋_GB2312" w:hAnsi="Times New Roman" w:hint="eastAsia"/>
          <w:color w:val="auto"/>
          <w:sz w:val="32"/>
          <w:szCs w:val="32"/>
          <w:lang w:eastAsia="zh-CN"/>
          <w:highlight w:val="auto"/>
        </w:rPr>
        <w:t>明细</w:t>
      </w:r>
      <w:r>
        <w:rPr>
          <w:rFonts w:ascii="Times New Roman" w:eastAsia="仿宋_GB2312" w:cs="仿宋_GB2312" w:hAnsi="Times New Roman" w:hint="eastAsia"/>
          <w:color w:val="auto"/>
          <w:sz w:val="32"/>
          <w:szCs w:val="32"/>
          <w:highlight w:val="auto"/>
        </w:rPr>
        <w:t>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九、一般公共预算财政拨款项目支出决算表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十、政府性基金预算财政拨款收入支出决算表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十一、国有资本经营预算财政拨款收入支出决算表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十二、</w:t>
      </w:r>
      <w:r>
        <w:rPr>
          <w:rFonts w:ascii="Times New Roman" w:eastAsia="仿宋_GB2312" w:cs="仿宋_GB2312" w:hAnsi="Times New Roman" w:hint="eastAsia"/>
          <w:color w:val="auto"/>
          <w:sz w:val="32"/>
          <w:szCs w:val="32"/>
          <w:lang w:val="en-US" w:eastAsia="zh-CN"/>
          <w:highlight w:val="auto"/>
        </w:rPr>
        <w:t>国有资本经营预算财政拨款支出决算表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ind w:leftChars="0" w:left="0" w:firstLineChars="200" w:firstLine="640"/>
        <w:jc w:val="left"/>
        <w:textAlignment w:val="auto"/>
        <w:rPr>
          <w:rFonts w:ascii="Times New Roman" w:eastAsia="仿宋_GB2312" w:cs="仿宋_GB2312" w:hAnsi="Times New Roman" w:hint="eastAsia"/>
          <w:bCs/>
          <w:color w:val="auto"/>
          <w:kern w:val="44"/>
          <w:sz w:val="32"/>
          <w:szCs w:val="32"/>
          <w:highlight w:val="auto"/>
        </w:rPr>
      </w:pPr>
      <w:r>
        <w:rPr>
          <w:rFonts w:ascii="Times New Roman" w:eastAsia="仿宋_GB2312" w:cs="仿宋_GB2312" w:hAnsi="Times New Roman" w:hint="eastAsia"/>
          <w:color w:val="auto"/>
          <w:sz w:val="32"/>
          <w:szCs w:val="32"/>
          <w:highlight w:val="auto"/>
        </w:rPr>
        <w:t>十三、财政拨款“三公”经费支出决算表</w:t>
      </w:r>
      <w:bookmarkStart w:id="1" w:name="_Toc15377196"/>
      <w:bookmarkStart w:id="2" w:name="_Toc15396599"/>
      <w:r>
        <w:rPr>
          <w:rFonts w:ascii="Times New Roman" w:eastAsia="仿宋_GB2312" w:cs="仿宋_GB2312" w:hAnsi="Times New Roman" w:hint="eastAsia"/>
          <w:b/>
          <w:color w:val="auto"/>
          <w:sz w:val="32"/>
          <w:szCs w:val="32"/>
          <w:highlight w:val="auto"/>
        </w:rPr>
        <w:br w:type="page"/>
      </w:r>
    </w:p>
    <w:p>
      <w:pPr>
        <w:pStyle w:val="1"/>
        <w:jc w:val="center"/>
        <w:rPr>
          <w:rStyle w:val="1Char"/>
          <w:rFonts w:ascii="Times New Roman" w:eastAsia="方正小标宋简体" w:cs="方正小标宋简体" w:hAnsi="Times New Roman" w:hint="eastAsia"/>
          <w:b/>
          <w:bCs w:val="0"/>
          <w:color w:val="auto"/>
          <w:highlight w:val="auto"/>
        </w:rPr>
      </w:pPr>
      <w:r>
        <w:rPr>
          <w:rFonts w:ascii="Times New Roman" w:eastAsia="方正小标宋简体" w:cs="方正小标宋简体" w:hAnsi="Times New Roman" w:hint="eastAsia"/>
          <w:b w:val="0"/>
          <w:color w:val="auto"/>
          <w:highlight w:val="auto"/>
        </w:rPr>
        <w:t>第一部分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Style w:val="1Char"/>
          <w:rFonts w:ascii="Times New Roman" w:eastAsia="方正小标宋简体" w:cs="方正小标宋简体" w:hAnsi="Times New Roman" w:hint="eastAsia"/>
          <w:b w:val="0"/>
          <w:bCs w:val="0"/>
          <w:color w:val="auto"/>
          <w:highlight w:val="auto"/>
        </w:rPr>
        <w:t>部门概况</w:t>
      </w:r>
      <w:bookmarkEnd w:id="1"/>
      <w:bookmarkEnd w:id="2"/>
    </w:p>
    <w:p>
      <w:pPr>
        <w:widowControl/>
        <w:jc w:val="left"/>
        <w:rPr>
          <w:rFonts w:ascii="Times New Roman" w:eastAsia="黑体" w:hAnsi="Times New Roman"/>
          <w:color w:val="auto"/>
          <w:sz w:val="32"/>
          <w:szCs w:val="32"/>
          <w:highlight w:val="auto"/>
        </w:rPr>
      </w:pPr>
    </w:p>
    <w:p>
      <w:pPr>
        <w:pStyle w:val="2"/>
        <w:numPr>
          <w:ilvl w:val="0"/>
          <w:numId w:val="1"/>
        </w:numPr>
        <w:rPr>
          <w:rFonts w:ascii="Times New Roman" w:eastAsia="黑体" w:hAnsi="Times New Roman" w:hint="eastAsia"/>
          <w:b w:val="0"/>
          <w:color w:val="auto"/>
          <w:lang w:eastAsia="zh-CN"/>
          <w:highlight w:val="auto"/>
        </w:rPr>
      </w:pPr>
      <w:r>
        <w:rPr>
          <w:rFonts w:ascii="Times New Roman" w:eastAsia="黑体" w:hAnsi="Times New Roman" w:hint="eastAsia"/>
          <w:b w:val="0"/>
          <w:color w:val="auto"/>
          <w:lang w:eastAsia="zh-CN"/>
          <w:highlight w:val="auto"/>
        </w:rPr>
        <w:t>部门职责</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00"/>
        <w:textAlignment w:val="auto"/>
        <w:rPr>
          <w:rFonts w:ascii="Times New Roman" w:eastAsia="宋体" w:cs="Times New Roman" w:hAnsi="Times New Roman" w:hint="eastAsia"/>
          <w:b w:val="0"/>
          <w:sz w:val="30"/>
          <w:szCs w:val="30"/>
          <w:lang w:eastAsia="zh-CN"/>
          <w:highlight w:val="magenta"/>
        </w:rPr>
      </w:pPr>
      <w:r>
        <w:rPr>
          <w:rFonts w:ascii="Times New Roman" w:eastAsia="宋体" w:cs="Times New Roman" w:hAnsi="Times New Roman"/>
          <w:b w:val="0"/>
          <w:sz w:val="30"/>
          <w:szCs w:val="30"/>
        </w:rPr>
        <w:t>攀枝花市第二人民医院是集医疗、教学、预防、保健、康复、社区为一体的国家三级乙等综合医院，省政府确立的攀西职业病防中心和市委、市政府确立的攀西医养康复示范中心。是市内及周边县市的工伤医保、居民医保、职工医保定点医疗机构。</w:t>
      </w:r>
      <w:r>
        <w:rPr>
          <w:rFonts w:ascii="Times New Roman" w:eastAsia="宋体" w:cs="Times New Roman" w:hAnsi="Times New Roman" w:hint="eastAsia"/>
          <w:b w:val="0"/>
          <w:sz w:val="30"/>
          <w:szCs w:val="30"/>
          <w:lang w:eastAsia="zh-CN"/>
        </w:rPr>
        <w:t>编制床位</w:t>
      </w:r>
      <w:r>
        <w:rPr>
          <w:rFonts w:ascii="Times New Roman" w:eastAsia="宋体" w:cs="Times New Roman" w:hAnsi="Times New Roman" w:hint="eastAsia"/>
          <w:b w:val="0"/>
          <w:sz w:val="30"/>
          <w:szCs w:val="30"/>
          <w:lang w:val="en-US" w:eastAsia="zh-CN"/>
        </w:rPr>
        <w:t>800张，实际开放床位710张，其中医养床位206张。</w:t>
      </w:r>
      <w:r>
        <w:rPr>
          <w:rFonts w:ascii="Times New Roman" w:eastAsia="宋体" w:cs="Times New Roman" w:hAnsi="Times New Roman"/>
          <w:b w:val="0"/>
          <w:sz w:val="30"/>
          <w:szCs w:val="30"/>
        </w:rPr>
        <w:t>2024年12月在职职工645人（在编306人，聘用 339人）。其中专业技术人员578人（正高49人，副高92人），中级160人，硕士研究生11人。医院内设机构64个（临床业务部门49个，管理科室15个）。医院拥有1.5T核磁共振、多排螺旋CT、DSA数字血管造影机、乳腺X光机、脊柱内镜系统、DR、高压氧舱等先进医疗设备</w:t>
      </w:r>
      <w:r>
        <w:rPr>
          <w:rFonts w:ascii="Times New Roman" w:eastAsia="宋体" w:cs="Times New Roman" w:hAnsi="Times New Roman" w:hint="eastAsia"/>
          <w:b w:val="0"/>
          <w:sz w:val="30"/>
          <w:szCs w:val="30"/>
          <w:lang w:eastAsia="zh-CN"/>
        </w:rPr>
        <w:t>。</w:t>
      </w:r>
    </w:p>
    <w:p>
      <w:pPr>
        <w:rPr>
          <w:rFonts w:hint="eastAsia"/>
          <w:lang w:eastAsia="zh-CN"/>
        </w:rPr>
      </w:pPr>
    </w:p>
    <w:p>
      <w:pPr>
        <w:pStyle w:val="2"/>
        <w:rPr>
          <w:rStyle w:val="2Char"/>
          <w:rFonts w:ascii="Times New Roman" w:hAnsi="Times New Roman"/>
          <w:b w:val="0"/>
          <w:bCs w:val="0"/>
          <w:color w:val="auto"/>
          <w:highlight w:val="auto"/>
        </w:rPr>
      </w:pPr>
      <w:bookmarkStart w:id="3" w:name="_Toc15396601"/>
      <w:bookmarkStart w:id="4" w:name="_Toc15377200"/>
      <w:r>
        <w:rPr>
          <w:rFonts w:ascii="Times New Roman" w:eastAsia="黑体" w:hAnsi="Times New Roman" w:hint="eastAsia"/>
          <w:b w:val="0"/>
          <w:color w:val="auto"/>
          <w:highlight w:val="auto"/>
        </w:rPr>
        <w:t>二、机</w:t>
      </w:r>
      <w:r>
        <w:rPr>
          <w:rStyle w:val="2Char"/>
          <w:rFonts w:ascii="Times New Roman" w:eastAsia="黑体" w:hAnsi="Times New Roman" w:hint="eastAsia"/>
          <w:b w:val="0"/>
          <w:bCs w:val="0"/>
          <w:color w:val="auto"/>
          <w:highlight w:val="auto"/>
        </w:rPr>
        <w:t>构设置</w:t>
      </w:r>
      <w:bookmarkEnd w:id="3"/>
      <w:bookmarkEnd w:id="4"/>
    </w:p>
    <w:p>
      <w:pPr>
        <w:pBdr>
          <w:bottom w:val="single" w:sz="4" w:space="31" w:color="FFFFFF"/>
        </w:pBdr>
        <w:shd w:val="clear" w:color="auto" w:fill="FFFFFF"/>
        <w:tabs>
          <w:tab w:val="left" w:pos="1440"/>
        </w:tabs>
        <w:spacing w:line="600" w:lineRule="exact"/>
        <w:ind w:firstLineChars="200" w:firstLine="600"/>
        <w:rPr>
          <w:rFonts w:ascii="Times New Roman" w:eastAsia="方正小标宋简体" w:cs="方正小标宋简体" w:hAnsi="Times New Roman" w:hint="eastAsia"/>
          <w:b w:val="0"/>
          <w:color w:val="auto"/>
          <w:highlight w:val="auto"/>
        </w:rPr>
      </w:pPr>
      <w:r>
        <w:rPr>
          <w:rFonts w:ascii="Times New Roman" w:cs="Times New Roman" w:hAnsi="Times New Roman"/>
          <w:sz w:val="30"/>
          <w:szCs w:val="30"/>
        </w:rPr>
        <w:t>攀枝花市第二人民医院属独立核算的事业单位，无下属单位。</w:t>
      </w:r>
      <w:bookmarkStart w:id="5" w:name="_Toc15396602"/>
      <w:bookmarkStart w:id="6" w:name="_Toc15377204"/>
    </w:p>
    <w:p>
      <w:pPr>
        <w:pStyle w:val="1"/>
        <w:jc w:val="center"/>
        <w:rPr>
          <w:rFonts w:ascii="Times New Roman" w:eastAsia="方正小标宋简体" w:cs="方正小标宋简体" w:hAnsi="Times New Roman" w:hint="eastAsia"/>
          <w:b w:val="0"/>
          <w:color w:val="auto"/>
          <w:highlight w:val="auto"/>
        </w:rPr>
      </w:pPr>
    </w:p>
    <w:p>
      <w:pPr>
        <w:pStyle w:val="1"/>
        <w:jc w:val="center"/>
        <w:rPr>
          <w:rFonts w:ascii="Times New Roman" w:eastAsia="方正小标宋简体" w:cs="方正小标宋简体" w:hAnsi="Times New Roman" w:hint="eastAsia"/>
          <w:b w:val="0"/>
          <w:color w:val="auto"/>
          <w:highlight w:val="auto"/>
        </w:rPr>
      </w:pPr>
      <w:r>
        <w:rPr>
          <w:rFonts w:ascii="Times New Roman" w:eastAsia="方正小标宋简体" w:cs="方正小标宋简体" w:hAnsi="Times New Roman" w:hint="eastAsia"/>
          <w:b w:val="0"/>
          <w:color w:val="auto"/>
          <w:highlight w:val="auto"/>
        </w:rPr>
        <w:t>第二部分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Fonts w:ascii="Times New Roman" w:eastAsia="方正小标宋简体" w:cs="方正小标宋简体" w:hAnsi="Times New Roman" w:hint="eastAsia"/>
          <w:b w:val="0"/>
          <w:color w:val="auto"/>
          <w:lang w:val="en-US" w:eastAsia="zh-CN"/>
          <w:highlight w:val="auto"/>
        </w:rPr>
        <w:t>2024年度</w:t>
      </w:r>
      <w:r>
        <w:rPr>
          <w:rFonts w:ascii="Times New Roman" w:eastAsia="方正小标宋简体" w:cs="方正小标宋简体" w:hAnsi="Times New Roman" w:hint="eastAsia"/>
          <w:b w:val="0"/>
          <w:color w:val="auto"/>
          <w:highlight w:val="auto"/>
        </w:rPr>
        <w:t>部门决算情况说明</w:t>
      </w:r>
      <w:bookmarkEnd w:id="5"/>
      <w:bookmarkEnd w:id="6"/>
    </w:p>
    <w:p>
      <w:pPr>
        <w:rPr>
          <w:rFonts w:ascii="Times New Roman" w:hAnsi="Times New Roman"/>
          <w:color w:val="auto"/>
          <w:highlight w:val="auto"/>
        </w:rPr>
      </w:pP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7" w:name="_Toc15396603"/>
      <w:bookmarkStart w:id="8" w:name="_Toc15377205"/>
      <w:r>
        <w:rPr>
          <w:rFonts w:ascii="Times New Roman" w:eastAsia="黑体" w:hAnsi="Times New Roman" w:hint="eastAsia"/>
          <w:color w:val="auto"/>
          <w:sz w:val="32"/>
          <w:szCs w:val="32"/>
          <w:lang w:eastAsia="zh-CN"/>
          <w:highlight w:val="auto"/>
        </w:rPr>
        <w:t>一、</w:t>
      </w:r>
      <w:r>
        <w:rPr>
          <w:rFonts w:ascii="Times New Roman" w:eastAsia="黑体" w:hAnsi="Times New Roman" w:hint="eastAsia"/>
          <w:color w:val="auto"/>
          <w:sz w:val="32"/>
          <w:szCs w:val="32"/>
          <w:highlight w:val="auto"/>
        </w:rPr>
        <w:t>收</w:t>
      </w:r>
      <w:r>
        <w:rPr>
          <w:rStyle w:val="2Char"/>
          <w:rFonts w:ascii="Times New Roman" w:eastAsia="黑体" w:hAnsi="Times New Roman" w:hint="eastAsia"/>
          <w:b w:val="0"/>
          <w:color w:val="auto"/>
          <w:highlight w:val="auto"/>
        </w:rPr>
        <w:t>入支出决算总体情况说明</w:t>
      </w:r>
      <w:bookmarkEnd w:id="7"/>
      <w:bookmarkEnd w:id="8"/>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 xml:space="preserve">2024预算总收入22933.82万元，决算数22933.82万元，预算收入完成率100%；预算总支出23969.95万元，决算数23969.95万元，预算支出完成率100%；收支结余-1036.12万元。      </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 xml:space="preserve">2023预算总收入23105.63万元，决算数23105.63万元，预算收入完成率100%；预算总支出24392.98万元，决算数24392.98万元，预算支出完成率100%；收支结余-1287.35万元。                             </w:t>
      </w:r>
    </w:p>
    <w:p>
      <w:pPr>
        <w:keepNext w:val="0"/>
        <w:keepLines w:val="0"/>
        <w:pageBreakBefore w:val="0"/>
        <w:widowControl w:val="0"/>
        <w:kinsoku/>
        <w:wordWrap/>
        <w:overflowPunct/>
        <w:topLinePunct w:val="0"/>
        <w:autoSpaceDE/>
        <w:autoSpaceDN/>
        <w:bidi w:val="0"/>
        <w:adjustRightInd/>
        <w:snapToGrid/>
        <w:ind w:firstLineChars="200" w:firstLine="420"/>
        <w:textAlignment w:val="auto"/>
        <w:rPr>
          <w:rFonts w:ascii="Times New Roman" w:eastAsia="仿宋_GB2312" w:cs="仿宋_GB2312" w:hAnsi="Times New Roman" w:hint="eastAsia"/>
          <w:color w:val="auto"/>
          <w:sz w:val="32"/>
          <w:szCs w:val="32"/>
          <w:highlight w:val="auto"/>
        </w:rPr>
      </w:pPr>
      <w:r>
        <w:drawing>
          <wp:inline distT="0" distB="0" distL="114300" distR="114300">
            <wp:extent cx="4819650" cy="2468880"/>
            <wp:effectExtent l="0" t="0" r="0" b="0"/>
            <wp:docPr id="1" name="图表 3"/>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黑体" w:hAnsi="Times New Roman" w:hint="eastAsia"/>
          <w:color w:val="auto"/>
          <w:sz w:val="32"/>
          <w:szCs w:val="32"/>
          <w:lang w:eastAsia="zh-CN"/>
          <w:highlight w:val="auto"/>
        </w:rPr>
      </w:pPr>
      <w:bookmarkStart w:id="9" w:name="_Toc15377206"/>
      <w:bookmarkStart w:id="10" w:name="_Toc15396604"/>
      <w:r>
        <w:rPr>
          <w:rFonts w:ascii="Times New Roman" w:eastAsia="黑体" w:hAnsi="Times New Roman" w:hint="eastAsia"/>
          <w:color w:val="auto"/>
          <w:sz w:val="32"/>
          <w:szCs w:val="32"/>
          <w:lang w:eastAsia="zh-CN"/>
          <w:highlight w:val="auto"/>
        </w:rPr>
        <w:t>二、收入决算情况说明</w:t>
      </w:r>
      <w:bookmarkEnd w:id="9"/>
      <w:bookmarkEnd w:id="10"/>
    </w:p>
    <w:p>
      <w:pPr>
        <w:ind w:firstLineChars="250" w:firstLine="8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2024年完成总收入22933.82万元，其中财政补助收入782.60万元。医疗业务收入21269.98万元，占总收入的92.75%，比去年同期增加1687.13万元，增长8.61%，主要是今年不再受疫情影响，医疗收入增加。其他收入881.24万元，比去年减少231.93万元，降低20.83%，减少部份主要是去年有捐赠收入530万元今年无此项收入；本年康养收入443.8万元比上年增加48.8万元，本年还增加委托物业公司代收房租及对外停车场收入102万元。</w:t>
      </w:r>
    </w:p>
    <w:p>
      <w:pPr>
        <w:pStyle w:val="36"/>
      </w:pPr>
      <w:r>
        <w:drawing>
          <wp:inline distT="0" distB="0" distL="114300" distR="114300">
            <wp:extent cx="4819650" cy="2374265"/>
            <wp:effectExtent l="0" t="0" r="0" b="0"/>
            <wp:docPr id="2" name="图表 4"/>
            <wp:cNvGraphicFramePr>
              <a:graphicFrameLocks noChangeAspect="0"/>
            </wp:cNvGraphicFramePr>
            <a:graphic>
              <a:graphicData uri="http://schemas.openxmlformats.org/drawingml/2006/chart">
                <c:chart xmlns:c="http://schemas.openxmlformats.org/drawingml/2006/chart" r:id="rId5"/>
              </a:graphicData>
            </a:graphic>
          </wp:inline>
        </w:drawing>
      </w:r>
    </w:p>
    <w:p>
      <w:pPr>
        <w:rPr>
          <w:rFonts w:hint="eastAsia"/>
          <w:lang w:eastAsia="zh-CN"/>
        </w:rPr>
      </w:pP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11" w:name="_Toc15377207"/>
      <w:bookmarkStart w:id="12" w:name="_Toc15396605"/>
      <w:r>
        <w:rPr>
          <w:rFonts w:ascii="Times New Roman" w:eastAsia="黑体" w:hAnsi="Times New Roman" w:hint="eastAsia"/>
          <w:color w:val="auto"/>
          <w:sz w:val="32"/>
          <w:szCs w:val="32"/>
          <w:lang w:eastAsia="zh-CN"/>
          <w:highlight w:val="auto"/>
        </w:rPr>
        <w:t>三、</w:t>
      </w:r>
      <w:r>
        <w:rPr>
          <w:rFonts w:ascii="Times New Roman" w:eastAsia="黑体" w:hAnsi="Times New Roman" w:hint="eastAsia"/>
          <w:color w:val="auto"/>
          <w:sz w:val="32"/>
          <w:szCs w:val="32"/>
          <w:highlight w:val="auto"/>
        </w:rPr>
        <w:t>支</w:t>
      </w:r>
      <w:r>
        <w:rPr>
          <w:rStyle w:val="2Char"/>
          <w:rFonts w:ascii="Times New Roman" w:eastAsia="黑体" w:hAnsi="Times New Roman" w:hint="eastAsia"/>
          <w:b w:val="0"/>
          <w:color w:val="auto"/>
          <w:highlight w:val="auto"/>
        </w:rPr>
        <w:t>出决算情况说明</w:t>
      </w:r>
      <w:bookmarkEnd w:id="11"/>
      <w:bookmarkEnd w:id="12"/>
    </w:p>
    <w:p>
      <w:pPr>
        <w:ind w:firstLineChars="250" w:firstLine="800"/>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t>202</w:t>
      </w:r>
      <w:r>
        <w:rPr>
          <w:rFonts w:ascii="Times New Roman" w:eastAsia="仿宋_GB2312" w:cs="仿宋_GB2312" w:hAnsi="Times New Roman" w:hint="eastAsia"/>
          <w:color w:val="auto"/>
          <w:sz w:val="32"/>
          <w:szCs w:val="32"/>
          <w:lang w:val="en-US" w:eastAsia="zh-CN"/>
          <w:highlight w:val="auto"/>
        </w:rPr>
        <w:t>4</w:t>
      </w:r>
      <w:r>
        <w:rPr>
          <w:rFonts w:ascii="Times New Roman" w:eastAsia="仿宋_GB2312" w:cs="仿宋_GB2312" w:hAnsi="Times New Roman" w:hint="eastAsia"/>
          <w:color w:val="auto"/>
          <w:sz w:val="32"/>
          <w:szCs w:val="32"/>
          <w:lang w:eastAsia="zh-CN"/>
          <w:highlight w:val="auto"/>
        </w:rPr>
        <w:t>完成总支出</w:t>
      </w:r>
      <w:r>
        <w:rPr>
          <w:rFonts w:ascii="Times New Roman" w:eastAsia="仿宋_GB2312" w:cs="仿宋_GB2312" w:hAnsi="Times New Roman" w:hint="eastAsia"/>
          <w:color w:val="auto"/>
          <w:sz w:val="32"/>
          <w:szCs w:val="32"/>
          <w:lang w:val="en-US" w:eastAsia="zh-CN"/>
          <w:highlight w:val="auto"/>
        </w:rPr>
        <w:t>23969.95</w:t>
      </w:r>
      <w:r>
        <w:rPr>
          <w:rFonts w:ascii="Times New Roman" w:eastAsia="仿宋_GB2312" w:cs="仿宋_GB2312" w:hAnsi="Times New Roman" w:hint="eastAsia"/>
          <w:color w:val="auto"/>
          <w:sz w:val="32"/>
          <w:szCs w:val="32"/>
          <w:lang w:eastAsia="zh-CN"/>
          <w:highlight w:val="auto"/>
        </w:rPr>
        <w:t>万元，其中财政</w:t>
      </w:r>
      <w:r>
        <w:rPr>
          <w:rFonts w:ascii="Times New Roman" w:eastAsia="仿宋_GB2312" w:cs="仿宋_GB2312" w:hAnsi="Times New Roman" w:hint="eastAsia"/>
          <w:color w:val="auto"/>
          <w:sz w:val="32"/>
          <w:szCs w:val="32"/>
          <w:lang w:val="en-US" w:eastAsia="zh-CN"/>
          <w:highlight w:val="auto"/>
        </w:rPr>
        <w:t>拨款</w:t>
      </w:r>
      <w:r>
        <w:rPr>
          <w:rFonts w:ascii="Times New Roman" w:eastAsia="仿宋_GB2312" w:cs="仿宋_GB2312" w:hAnsi="Times New Roman" w:hint="eastAsia"/>
          <w:color w:val="auto"/>
          <w:sz w:val="32"/>
          <w:szCs w:val="32"/>
          <w:lang w:eastAsia="zh-CN"/>
          <w:highlight w:val="auto"/>
        </w:rPr>
        <w:t>支出</w:t>
      </w:r>
      <w:r>
        <w:rPr>
          <w:rFonts w:ascii="Times New Roman" w:eastAsia="仿宋_GB2312" w:cs="仿宋_GB2312" w:hAnsi="Times New Roman" w:hint="eastAsia"/>
          <w:color w:val="auto"/>
          <w:sz w:val="32"/>
          <w:szCs w:val="32"/>
          <w:lang w:val="en-US" w:eastAsia="zh-CN"/>
          <w:highlight w:val="auto"/>
        </w:rPr>
        <w:t>782.6</w:t>
      </w:r>
      <w:r>
        <w:rPr>
          <w:rFonts w:ascii="Times New Roman" w:eastAsia="仿宋_GB2312" w:cs="仿宋_GB2312" w:hAnsi="Times New Roman" w:hint="eastAsia"/>
          <w:color w:val="auto"/>
          <w:sz w:val="32"/>
          <w:szCs w:val="32"/>
          <w:lang w:eastAsia="zh-CN"/>
          <w:highlight w:val="auto"/>
        </w:rPr>
        <w:t>万元。</w:t>
      </w:r>
      <w:r>
        <w:rPr>
          <w:rFonts w:ascii="Times New Roman" w:eastAsia="仿宋_GB2312" w:cs="仿宋_GB2312" w:hAnsi="Times New Roman" w:hint="eastAsia"/>
          <w:color w:val="auto"/>
          <w:sz w:val="32"/>
          <w:szCs w:val="32"/>
          <w:lang w:val="en-US" w:eastAsia="zh-CN"/>
          <w:highlight w:val="auto"/>
        </w:rPr>
        <w:t>业务活动费22113.65</w:t>
      </w:r>
      <w:r>
        <w:rPr>
          <w:rFonts w:ascii="Times New Roman" w:eastAsia="仿宋_GB2312" w:cs="仿宋_GB2312" w:hAnsi="Times New Roman" w:hint="eastAsia"/>
          <w:color w:val="auto"/>
          <w:sz w:val="32"/>
          <w:szCs w:val="32"/>
          <w:lang w:eastAsia="zh-CN"/>
          <w:highlight w:val="auto"/>
        </w:rPr>
        <w:t>万元，占总支出的</w:t>
      </w:r>
      <w:r>
        <w:rPr>
          <w:rFonts w:ascii="Times New Roman" w:eastAsia="仿宋_GB2312" w:cs="仿宋_GB2312" w:hAnsi="Times New Roman" w:hint="eastAsia"/>
          <w:color w:val="auto"/>
          <w:sz w:val="32"/>
          <w:szCs w:val="32"/>
          <w:lang w:val="en-US" w:eastAsia="zh-CN"/>
          <w:highlight w:val="auto"/>
        </w:rPr>
        <w:t>92.25</w:t>
      </w:r>
      <w:r>
        <w:rPr>
          <w:rFonts w:ascii="Times New Roman" w:eastAsia="仿宋_GB2312" w:cs="仿宋_GB2312" w:hAnsi="Times New Roman" w:hint="eastAsia"/>
          <w:color w:val="auto"/>
          <w:sz w:val="32"/>
          <w:szCs w:val="32"/>
          <w:lang w:eastAsia="zh-CN"/>
          <w:highlight w:val="auto"/>
        </w:rPr>
        <w:t>%，比去年</w:t>
      </w:r>
      <w:r>
        <w:rPr>
          <w:rFonts w:ascii="Times New Roman" w:eastAsia="仿宋_GB2312" w:cs="仿宋_GB2312" w:hAnsi="Times New Roman" w:hint="eastAsia"/>
          <w:color w:val="auto"/>
          <w:sz w:val="32"/>
          <w:szCs w:val="32"/>
          <w:lang w:val="en-US" w:eastAsia="zh-CN"/>
          <w:highlight w:val="auto"/>
        </w:rPr>
        <w:t>减少28.35</w:t>
      </w:r>
      <w:r>
        <w:rPr>
          <w:rFonts w:ascii="Times New Roman" w:eastAsia="仿宋_GB2312" w:cs="仿宋_GB2312" w:hAnsi="Times New Roman" w:hint="eastAsia"/>
          <w:color w:val="auto"/>
          <w:sz w:val="32"/>
          <w:szCs w:val="32"/>
          <w:lang w:eastAsia="zh-CN"/>
          <w:highlight w:val="auto"/>
        </w:rPr>
        <w:t>万元，</w:t>
      </w:r>
      <w:r>
        <w:rPr>
          <w:rFonts w:ascii="Times New Roman" w:eastAsia="仿宋_GB2312" w:cs="仿宋_GB2312" w:hAnsi="Times New Roman" w:hint="eastAsia"/>
          <w:color w:val="auto"/>
          <w:sz w:val="32"/>
          <w:szCs w:val="32"/>
          <w:lang w:val="en-US" w:eastAsia="zh-CN"/>
          <w:highlight w:val="auto"/>
        </w:rPr>
        <w:t>下降0.13</w:t>
      </w:r>
      <w:r>
        <w:rPr>
          <w:rFonts w:ascii="Times New Roman" w:eastAsia="仿宋_GB2312" w:cs="仿宋_GB2312" w:hAnsi="Times New Roman" w:hint="eastAsia"/>
          <w:color w:val="auto"/>
          <w:sz w:val="32"/>
          <w:szCs w:val="32"/>
          <w:lang w:eastAsia="zh-CN"/>
          <w:highlight w:val="auto"/>
        </w:rPr>
        <w:t>%；管理费用</w:t>
      </w:r>
      <w:r>
        <w:rPr>
          <w:rFonts w:ascii="Times New Roman" w:eastAsia="仿宋_GB2312" w:cs="仿宋_GB2312" w:hAnsi="Times New Roman" w:hint="eastAsia"/>
          <w:color w:val="auto"/>
          <w:sz w:val="32"/>
          <w:szCs w:val="32"/>
          <w:lang w:val="en-US" w:eastAsia="zh-CN"/>
          <w:highlight w:val="auto"/>
        </w:rPr>
        <w:t>1645.67</w:t>
      </w:r>
      <w:r>
        <w:rPr>
          <w:rFonts w:ascii="Times New Roman" w:eastAsia="仿宋_GB2312" w:cs="仿宋_GB2312" w:hAnsi="Times New Roman" w:hint="eastAsia"/>
          <w:color w:val="auto"/>
          <w:sz w:val="32"/>
          <w:szCs w:val="32"/>
          <w:lang w:eastAsia="zh-CN"/>
          <w:highlight w:val="auto"/>
        </w:rPr>
        <w:t>万元，占总支出的</w:t>
      </w:r>
      <w:r>
        <w:rPr>
          <w:rFonts w:ascii="Times New Roman" w:eastAsia="仿宋_GB2312" w:cs="仿宋_GB2312" w:hAnsi="Times New Roman" w:hint="eastAsia"/>
          <w:color w:val="auto"/>
          <w:sz w:val="32"/>
          <w:szCs w:val="32"/>
          <w:lang w:val="en-US" w:eastAsia="zh-CN"/>
          <w:highlight w:val="auto"/>
        </w:rPr>
        <w:t>6.87</w:t>
      </w:r>
      <w:r>
        <w:rPr>
          <w:rFonts w:ascii="Times New Roman" w:eastAsia="仿宋_GB2312" w:cs="仿宋_GB2312" w:hAnsi="Times New Roman" w:hint="eastAsia"/>
          <w:color w:val="auto"/>
          <w:sz w:val="32"/>
          <w:szCs w:val="32"/>
          <w:lang w:eastAsia="zh-CN"/>
          <w:highlight w:val="auto"/>
        </w:rPr>
        <w:t>%，比去年</w:t>
      </w:r>
      <w:r>
        <w:rPr>
          <w:rFonts w:ascii="Times New Roman" w:eastAsia="仿宋_GB2312" w:cs="仿宋_GB2312" w:hAnsi="Times New Roman" w:hint="eastAsia"/>
          <w:color w:val="auto"/>
          <w:sz w:val="32"/>
          <w:szCs w:val="32"/>
          <w:lang w:val="en-US" w:eastAsia="zh-CN"/>
          <w:highlight w:val="auto"/>
        </w:rPr>
        <w:t>减少347.33</w:t>
      </w:r>
      <w:r>
        <w:rPr>
          <w:rFonts w:ascii="Times New Roman" w:eastAsia="仿宋_GB2312" w:cs="仿宋_GB2312" w:hAnsi="Times New Roman" w:hint="eastAsia"/>
          <w:color w:val="auto"/>
          <w:sz w:val="32"/>
          <w:szCs w:val="32"/>
          <w:lang w:eastAsia="zh-CN"/>
          <w:highlight w:val="auto"/>
        </w:rPr>
        <w:t>万元，</w:t>
      </w:r>
      <w:r>
        <w:rPr>
          <w:rFonts w:ascii="Times New Roman" w:eastAsia="仿宋_GB2312" w:cs="仿宋_GB2312" w:hAnsi="Times New Roman" w:hint="eastAsia"/>
          <w:color w:val="auto"/>
          <w:sz w:val="32"/>
          <w:szCs w:val="32"/>
          <w:lang w:val="en-US" w:eastAsia="zh-CN"/>
          <w:highlight w:val="auto"/>
        </w:rPr>
        <w:t>下降17.43</w:t>
      </w:r>
      <w:r>
        <w:rPr>
          <w:rFonts w:ascii="Times New Roman" w:eastAsia="仿宋_GB2312" w:cs="仿宋_GB2312" w:hAnsi="Times New Roman" w:hint="eastAsia"/>
          <w:color w:val="auto"/>
          <w:sz w:val="32"/>
          <w:szCs w:val="32"/>
          <w:lang w:eastAsia="zh-CN"/>
          <w:highlight w:val="auto"/>
        </w:rPr>
        <w:t>%；其他支出</w:t>
      </w:r>
      <w:r>
        <w:rPr>
          <w:rFonts w:ascii="Times New Roman" w:eastAsia="仿宋_GB2312" w:cs="仿宋_GB2312" w:hAnsi="Times New Roman" w:hint="eastAsia"/>
          <w:color w:val="auto"/>
          <w:sz w:val="32"/>
          <w:szCs w:val="32"/>
          <w:lang w:val="en-US" w:eastAsia="zh-CN"/>
          <w:highlight w:val="auto"/>
        </w:rPr>
        <w:t>196.35</w:t>
      </w:r>
      <w:r>
        <w:rPr>
          <w:rFonts w:ascii="Times New Roman" w:eastAsia="仿宋_GB2312" w:cs="仿宋_GB2312" w:hAnsi="Times New Roman" w:hint="eastAsia"/>
          <w:color w:val="auto"/>
          <w:sz w:val="32"/>
          <w:szCs w:val="32"/>
          <w:lang w:eastAsia="zh-CN"/>
          <w:highlight w:val="auto"/>
        </w:rPr>
        <w:t>万。总支出中人员经费</w:t>
      </w:r>
      <w:r>
        <w:rPr>
          <w:rFonts w:ascii="Times New Roman" w:eastAsia="仿宋_GB2312" w:cs="仿宋_GB2312" w:hAnsi="Times New Roman" w:hint="eastAsia"/>
          <w:color w:val="auto"/>
          <w:sz w:val="32"/>
          <w:szCs w:val="32"/>
          <w:lang w:val="en-US" w:eastAsia="zh-CN"/>
          <w:highlight w:val="auto"/>
        </w:rPr>
        <w:t>11069.59</w:t>
      </w:r>
      <w:r>
        <w:rPr>
          <w:rFonts w:ascii="Times New Roman" w:eastAsia="仿宋_GB2312" w:cs="仿宋_GB2312" w:hAnsi="Times New Roman" w:hint="eastAsia"/>
          <w:color w:val="auto"/>
          <w:sz w:val="32"/>
          <w:szCs w:val="32"/>
          <w:lang w:eastAsia="zh-CN"/>
          <w:highlight w:val="auto"/>
        </w:rPr>
        <w:t>万元，占医疗成本</w:t>
      </w:r>
      <w:r>
        <w:rPr>
          <w:rFonts w:ascii="Times New Roman" w:eastAsia="仿宋_GB2312" w:cs="仿宋_GB2312" w:hAnsi="Times New Roman" w:hint="eastAsia"/>
          <w:color w:val="auto"/>
          <w:sz w:val="32"/>
          <w:szCs w:val="32"/>
          <w:lang w:val="en-US" w:eastAsia="zh-CN"/>
          <w:highlight w:val="auto"/>
        </w:rPr>
        <w:t>46.18</w:t>
      </w:r>
      <w:r>
        <w:rPr>
          <w:rFonts w:ascii="Times New Roman" w:eastAsia="仿宋_GB2312" w:cs="仿宋_GB2312" w:hAnsi="Times New Roman" w:hint="eastAsia"/>
          <w:color w:val="auto"/>
          <w:sz w:val="32"/>
          <w:szCs w:val="32"/>
          <w:lang w:eastAsia="zh-CN"/>
          <w:highlight w:val="auto"/>
        </w:rPr>
        <w:t>%；专用材料费</w:t>
      </w:r>
      <w:r>
        <w:rPr>
          <w:rFonts w:ascii="Times New Roman" w:eastAsia="仿宋_GB2312" w:cs="仿宋_GB2312" w:hAnsi="Times New Roman" w:hint="eastAsia"/>
          <w:color w:val="auto"/>
          <w:sz w:val="32"/>
          <w:szCs w:val="32"/>
          <w:lang w:val="en-US" w:eastAsia="zh-CN"/>
          <w:highlight w:val="auto"/>
        </w:rPr>
        <w:t>9353.34</w:t>
      </w:r>
      <w:r>
        <w:rPr>
          <w:rFonts w:ascii="Times New Roman" w:eastAsia="仿宋_GB2312" w:cs="仿宋_GB2312" w:hAnsi="Times New Roman" w:hint="eastAsia"/>
          <w:color w:val="auto"/>
          <w:sz w:val="32"/>
          <w:szCs w:val="32"/>
          <w:lang w:eastAsia="zh-CN"/>
          <w:highlight w:val="auto"/>
        </w:rPr>
        <w:t>万元,占医疗成本</w:t>
      </w:r>
      <w:r>
        <w:rPr>
          <w:rFonts w:ascii="Times New Roman" w:eastAsia="仿宋_GB2312" w:cs="仿宋_GB2312" w:hAnsi="Times New Roman" w:hint="eastAsia"/>
          <w:color w:val="auto"/>
          <w:sz w:val="32"/>
          <w:szCs w:val="32"/>
          <w:lang w:val="en-US" w:eastAsia="zh-CN"/>
          <w:highlight w:val="auto"/>
        </w:rPr>
        <w:t>39.02</w:t>
      </w:r>
      <w:r>
        <w:rPr>
          <w:rFonts w:ascii="Times New Roman" w:eastAsia="仿宋_GB2312" w:cs="仿宋_GB2312" w:hAnsi="Times New Roman" w:hint="eastAsia"/>
          <w:color w:val="auto"/>
          <w:sz w:val="32"/>
          <w:szCs w:val="32"/>
          <w:lang w:eastAsia="zh-CN"/>
          <w:highlight w:val="auto"/>
        </w:rPr>
        <w:t>%。</w:t>
      </w:r>
    </w:p>
    <w:p>
      <w:pPr>
        <w:ind w:firstLineChars="250" w:firstLine="525"/>
        <w:rPr>
          <w:rFonts w:hint="eastAsia"/>
          <w:lang w:eastAsia="zh-CN"/>
        </w:rPr>
      </w:pPr>
      <w:r>
        <w:drawing>
          <wp:inline distT="0" distB="0" distL="114300" distR="114300">
            <wp:extent cx="4819650" cy="2809240"/>
            <wp:effectExtent l="0" t="0" r="0" b="0"/>
            <wp:docPr id="3" name="图表 10"/>
            <wp:cNvGraphicFramePr>
              <a:graphicFrameLocks noChangeAspect="0"/>
            </wp:cNvGraphicFramePr>
            <a:graphic>
              <a:graphicData uri="http://schemas.openxmlformats.org/drawingml/2006/chart">
                <c:chart xmlns:c="http://schemas.openxmlformats.org/drawingml/2006/chart" r:id="rId6"/>
              </a:graphicData>
            </a:graphic>
          </wp:inline>
        </w:drawing>
      </w:r>
    </w:p>
    <w:p>
      <w:pPr>
        <w:ind w:firstLineChars="250" w:firstLine="800"/>
        <w:rPr>
          <w:rFonts w:ascii="Times New Roman" w:eastAsia="仿宋_GB2312" w:cs="仿宋_GB2312" w:hAnsi="Times New Roman" w:hint="eastAsia"/>
          <w:color w:val="auto"/>
          <w:sz w:val="32"/>
          <w:szCs w:val="32"/>
          <w:lang w:eastAsia="zh-CN"/>
          <w:highlight w:val="auto"/>
        </w:rPr>
      </w:pPr>
    </w:p>
    <w:p>
      <w:pPr>
        <w:spacing w:line="600" w:lineRule="exact"/>
        <w:ind w:firstLineChars="200" w:firstLine="640"/>
        <w:outlineLvl w:val="1"/>
        <w:rPr>
          <w:rStyle w:val="2Char"/>
          <w:rFonts w:ascii="Times New Roman" w:eastAsia="黑体" w:hAnsi="Times New Roman"/>
          <w:b w:val="0"/>
          <w:color w:val="auto"/>
          <w:highlight w:val="auto"/>
        </w:rPr>
      </w:pPr>
      <w:bookmarkStart w:id="13" w:name="_Toc15377208"/>
      <w:bookmarkStart w:id="14" w:name="_Toc15396606"/>
      <w:r>
        <w:rPr>
          <w:rFonts w:ascii="Times New Roman" w:eastAsia="黑体" w:hAnsi="Times New Roman" w:hint="eastAsia"/>
          <w:color w:val="auto"/>
          <w:sz w:val="32"/>
          <w:szCs w:val="32"/>
          <w:highlight w:val="auto"/>
        </w:rPr>
        <w:t>四、财</w:t>
      </w:r>
      <w:r>
        <w:rPr>
          <w:rStyle w:val="2Char"/>
          <w:rFonts w:ascii="Times New Roman" w:eastAsia="黑体" w:hAnsi="Times New Roman" w:hint="eastAsia"/>
          <w:b w:val="0"/>
          <w:color w:val="auto"/>
          <w:highlight w:val="auto"/>
        </w:rPr>
        <w:t>政拨款收入支出决算总体情况说明</w:t>
      </w:r>
      <w:bookmarkEnd w:id="13"/>
      <w:bookmarkEnd w:id="14"/>
    </w:p>
    <w:p>
      <w:pPr>
        <w:ind w:firstLineChars="250" w:firstLine="800"/>
        <w:rPr>
          <w:rFonts w:ascii="Times New Roman" w:eastAsia="仿宋_GB2312"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lang w:val="en-US" w:eastAsia="zh-CN"/>
          <w:highlight w:val="auto"/>
        </w:rPr>
        <w:t>2024年度财政拨款收入、支出总计均为</w:t>
      </w:r>
      <w:r>
        <w:rPr>
          <w:rFonts w:ascii="Times New Roman" w:eastAsia="仿宋_GB2312" w:cs="仿宋_GB2312" w:hAnsi="Times New Roman" w:hint="eastAsia"/>
          <w:color w:val="auto"/>
          <w:sz w:val="32"/>
          <w:szCs w:val="32"/>
          <w:lang w:eastAsia="zh-CN"/>
          <w:highlight w:val="auto"/>
        </w:rPr>
        <w:t>782.6</w:t>
      </w:r>
      <w:r>
        <w:rPr>
          <w:rFonts w:ascii="Times New Roman" w:eastAsia="仿宋_GB2312" w:cs="仿宋_GB2312" w:hAnsi="Times New Roman" w:hint="eastAsia"/>
          <w:color w:val="auto"/>
          <w:sz w:val="32"/>
          <w:szCs w:val="32"/>
          <w:lang w:val="en-US" w:eastAsia="zh-CN"/>
          <w:highlight w:val="auto"/>
        </w:rPr>
        <w:t>万元。</w:t>
      </w:r>
      <w:r>
        <w:rPr>
          <w:rFonts w:ascii="Times New Roman" w:eastAsia="仿宋_GB2312" w:cs="仿宋_GB2312" w:hAnsi="Times New Roman" w:hint="eastAsia"/>
          <w:color w:val="auto"/>
          <w:sz w:val="32"/>
          <w:szCs w:val="32"/>
          <w:lang w:eastAsia="zh-CN"/>
          <w:highlight w:val="auto"/>
        </w:rPr>
        <w:t>2023年度财政拨款收、支总计均为</w:t>
      </w:r>
      <w:r>
        <w:rPr>
          <w:rFonts w:ascii="Times New Roman" w:eastAsia="仿宋_GB2312" w:cs="仿宋_GB2312" w:hAnsi="Times New Roman" w:hint="eastAsia"/>
          <w:color w:val="auto"/>
          <w:sz w:val="32"/>
          <w:szCs w:val="32"/>
          <w:lang w:val="en-US" w:eastAsia="zh-CN"/>
          <w:highlight w:val="auto"/>
        </w:rPr>
        <w:t>2409.60</w:t>
      </w:r>
      <w:r>
        <w:rPr>
          <w:rFonts w:ascii="Times New Roman" w:eastAsia="仿宋_GB2312" w:cs="仿宋_GB2312" w:hAnsi="Times New Roman" w:hint="eastAsia"/>
          <w:color w:val="auto"/>
          <w:sz w:val="32"/>
          <w:szCs w:val="32"/>
          <w:lang w:eastAsia="zh-CN"/>
          <w:highlight w:val="auto"/>
        </w:rPr>
        <w:t>万元。</w:t>
      </w:r>
      <w:r>
        <w:rPr>
          <w:rFonts w:ascii="Times New Roman" w:eastAsia="仿宋_GB2312" w:cs="仿宋_GB2312" w:hAnsi="Times New Roman" w:hint="eastAsia"/>
          <w:color w:val="auto"/>
          <w:sz w:val="32"/>
          <w:szCs w:val="32"/>
          <w:lang w:val="en-US" w:eastAsia="zh-CN"/>
          <w:highlight w:val="auto"/>
        </w:rPr>
        <w:t>与2023年度相比，财政拨款收入总计、支出总计各减少1627万元。其中，基本拨款与上年基本持平，主要是项目拨款减少，主要原因是上年拨付了医务人员临时工作补助、新冠定点医院建设资金以及代管社区分流人员经费，今年无此几项项目拨款。</w:t>
      </w:r>
    </w:p>
    <w:p>
      <w:pPr>
        <w:pStyle w:val="36"/>
        <w:jc w:val="center"/>
        <w:rPr>
          <w:rFonts w:hint="eastAsia"/>
          <w:lang w:val="en-US" w:eastAsia="zh-CN"/>
        </w:rPr>
      </w:pPr>
      <w:r>
        <w:drawing>
          <wp:inline distT="0" distB="0" distL="114300" distR="114300">
            <wp:extent cx="3303904" cy="1621155"/>
            <wp:effectExtent l="0" t="0" r="0" b="0"/>
            <wp:docPr id="4" name="图表 1"/>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1"/>
        <w:rPr>
          <w:rStyle w:val="2Char"/>
          <w:rFonts w:ascii="Times New Roman" w:eastAsia="黑体" w:hAnsi="Times New Roman"/>
          <w:b w:val="0"/>
          <w:color w:val="auto"/>
          <w:highlight w:val="auto"/>
        </w:rPr>
      </w:pPr>
      <w:bookmarkStart w:id="15" w:name="_Toc15396607"/>
      <w:bookmarkStart w:id="16" w:name="_Toc15377209"/>
      <w:r>
        <w:rPr>
          <w:rFonts w:ascii="Times New Roman" w:eastAsia="黑体" w:hAnsi="Times New Roman" w:hint="eastAsia"/>
          <w:color w:val="auto"/>
          <w:sz w:val="32"/>
          <w:szCs w:val="32"/>
          <w:highlight w:val="auto"/>
        </w:rPr>
        <w:t>五、</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般公共预算财政拨款支出决算情况说明</w:t>
      </w:r>
      <w:bookmarkEnd w:id="15"/>
      <w:bookmarkEnd w:id="16"/>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17" w:name="_Toc15377210"/>
      <w:r>
        <w:rPr>
          <w:rFonts w:ascii="Times New Roman" w:eastAsia="楷体_GB2312" w:cs="楷体_GB2312" w:hAnsi="Times New Roman" w:hint="eastAsia"/>
          <w:b/>
          <w:color w:val="auto"/>
          <w:sz w:val="32"/>
          <w:szCs w:val="32"/>
          <w:highlight w:val="auto"/>
        </w:rPr>
        <w:t>（一）一般公共预算财政拨款支出决算总体情况</w:t>
      </w:r>
      <w:bookmarkEnd w:id="17"/>
    </w:p>
    <w:p>
      <w:pPr>
        <w:ind w:firstLineChars="250" w:firstLine="800"/>
        <w:rPr>
          <w:rFonts w:ascii="Times New Roman" w:eastAsia="仿宋_GB2312" w:cs="仿宋_GB2312" w:hAnsi="Times New Roman" w:hint="eastAsia"/>
          <w:color w:val="auto"/>
          <w:sz w:val="32"/>
          <w:szCs w:val="32"/>
          <w:lang w:val="en-US" w:eastAsia="zh-CN"/>
          <w:highlight w:val="auto"/>
        </w:rPr>
      </w:pPr>
      <w:r>
        <w:rPr>
          <w:rFonts w:ascii="仿宋_GB2312" w:eastAsia="仿宋_GB2312" w:cs="仿宋_GB2312"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782.6</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3.26</w:t>
      </w:r>
      <w:r>
        <w:rPr>
          <w:rFonts w:ascii="仿宋_GB2312" w:eastAsia="仿宋_GB2312" w:cs="仿宋_GB2312" w:hint="eastAsia"/>
          <w:color w:val="auto"/>
          <w:kern w:val="2"/>
          <w:sz w:val="32"/>
          <w:szCs w:val="32"/>
          <w:lang w:val="en-US" w:eastAsia="zh-CN" w:bidi="ar-SA"/>
          <w:highlight w:val="auto"/>
        </w:rPr>
        <w:t>%。与2023年度相比，一般公共预算财政拨款支出</w:t>
      </w:r>
      <w:r>
        <w:rPr>
          <w:rFonts w:ascii="Times New Roman" w:eastAsia="仿宋_GB2312" w:cs="仿宋_GB2312" w:hAnsi="Times New Roman" w:hint="eastAsia"/>
          <w:color w:val="auto"/>
          <w:sz w:val="32"/>
          <w:szCs w:val="32"/>
          <w:lang w:val="en-US" w:eastAsia="zh-CN"/>
          <w:highlight w:val="auto"/>
        </w:rPr>
        <w:t>减少1627</w:t>
      </w:r>
      <w:r>
        <w:rPr>
          <w:rFonts w:ascii="仿宋_GB2312"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sz w:val="32"/>
          <w:szCs w:val="32"/>
          <w:lang w:val="en-US" w:eastAsia="zh-CN"/>
          <w:highlight w:val="auto"/>
        </w:rPr>
        <w:t>主要原因是上年拨付了医务人员临时工作补助、新冠定点医院建设资金以及代管社区分流人员经费，2024年无此几项项目拨款。</w:t>
      </w:r>
    </w:p>
    <w:p>
      <w:pPr>
        <w:spacing w:line="240" w:lineRule="auto"/>
        <w:ind w:firstLine="0"/>
        <w:jc w:val="center"/>
        <w:rPr>
          <w:rFonts w:ascii="Times New Roman" w:eastAsia="仿宋_GB2312" w:cs="仿宋_GB2312" w:hAnsi="Times New Roman" w:hint="eastAsia"/>
          <w:color w:val="auto"/>
          <w:kern w:val="2"/>
          <w:sz w:val="32"/>
          <w:szCs w:val="32"/>
          <w:lang w:val="en-US" w:eastAsia="zh-CN" w:bidi="ar-SA"/>
          <w:highlight w:val="auto"/>
        </w:rPr>
      </w:pPr>
      <w:r>
        <w:drawing>
          <wp:inline distT="0" distB="0" distL="114300" distR="114300">
            <wp:extent cx="3303904" cy="1621155"/>
            <wp:effectExtent l="0" t="0" r="0" b="0"/>
            <wp:docPr id="5" name="图表 1"/>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18" w:name="_Toc15377211"/>
      <w:r>
        <w:rPr>
          <w:rFonts w:ascii="Times New Roman" w:eastAsia="楷体_GB2312" w:cs="楷体_GB2312" w:hAnsi="Times New Roman" w:hint="eastAsia"/>
          <w:b/>
          <w:color w:val="auto"/>
          <w:sz w:val="32"/>
          <w:szCs w:val="32"/>
          <w:highlight w:val="auto"/>
        </w:rPr>
        <w:t>（二）一般公共预算财政拨款支出决算结构情况</w:t>
      </w:r>
      <w:bookmarkEnd w:id="18"/>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782.6</w:t>
      </w:r>
      <w:r>
        <w:rPr>
          <w:rFonts w:ascii="仿宋_GB2312"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，主要用于以下方面</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一般公共服务支出</w:t>
      </w:r>
      <w:r>
        <w:rPr>
          <w:rFonts w:eastAsia="仿宋_GB2312" w:cs="仿宋_GB2312" w:hint="eastAsia"/>
          <w:color w:val="auto"/>
          <w:kern w:val="2"/>
          <w:sz w:val="32"/>
          <w:szCs w:val="32"/>
          <w:lang w:val="en-US" w:eastAsia="zh-CN" w:bidi="ar-SA"/>
          <w:highlight w:val="auto"/>
        </w:rPr>
        <w:t>0.43</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0.05</w:t>
      </w:r>
      <w:r>
        <w:rPr>
          <w:rFonts w:ascii="Times New Roman" w:eastAsia="仿宋_GB2312" w:cs="仿宋_GB2312" w:hAnsi="Times New Roman" w:hint="eastAsia"/>
          <w:color w:val="auto"/>
          <w:kern w:val="2"/>
          <w:sz w:val="32"/>
          <w:szCs w:val="32"/>
          <w:lang w:val="en-US" w:eastAsia="zh-CN" w:bidi="ar-SA"/>
          <w:highlight w:val="auto"/>
        </w:rPr>
        <w:t>%；社会保障和就业支出</w:t>
      </w:r>
      <w:r>
        <w:rPr>
          <w:rFonts w:eastAsia="仿宋_GB2312" w:cs="仿宋_GB2312" w:hint="eastAsia"/>
          <w:color w:val="auto"/>
          <w:kern w:val="2"/>
          <w:sz w:val="32"/>
          <w:szCs w:val="32"/>
          <w:lang w:val="en-US" w:eastAsia="zh-CN" w:bidi="ar-SA"/>
          <w:highlight w:val="auto"/>
        </w:rPr>
        <w:t>654.87</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83.68</w:t>
      </w:r>
      <w:r>
        <w:rPr>
          <w:rFonts w:ascii="Times New Roman" w:eastAsia="仿宋_GB2312" w:cs="仿宋_GB2312" w:hAnsi="Times New Roman" w:hint="eastAsia"/>
          <w:color w:val="auto"/>
          <w:kern w:val="2"/>
          <w:sz w:val="32"/>
          <w:szCs w:val="32"/>
          <w:lang w:val="en-US" w:eastAsia="zh-CN" w:bidi="ar-SA"/>
          <w:highlight w:val="auto"/>
        </w:rPr>
        <w:t>%；卫生健康支出</w:t>
      </w:r>
      <w:r>
        <w:rPr>
          <w:rFonts w:eastAsia="仿宋_GB2312" w:cs="仿宋_GB2312" w:hint="eastAsia"/>
          <w:color w:val="auto"/>
          <w:kern w:val="2"/>
          <w:sz w:val="32"/>
          <w:szCs w:val="32"/>
          <w:lang w:val="en-US" w:eastAsia="zh-CN" w:bidi="ar-SA"/>
          <w:highlight w:val="auto"/>
        </w:rPr>
        <w:t>127.31</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16.27</w:t>
      </w:r>
      <w:r>
        <w:rPr>
          <w:rFonts w:ascii="Times New Roman" w:eastAsia="仿宋_GB2312" w:cs="仿宋_GB2312" w:hAnsi="Times New Roman" w:hint="eastAsia"/>
          <w:color w:val="auto"/>
          <w:kern w:val="2"/>
          <w:sz w:val="32"/>
          <w:szCs w:val="32"/>
          <w:lang w:val="en-US" w:eastAsia="zh-CN" w:bidi="ar-SA"/>
          <w:highlight w:val="auto"/>
        </w:rPr>
        <w:t>%；</w:t>
      </w:r>
    </w:p>
    <w:p>
      <w:pPr>
        <w:pStyle w:val="36"/>
        <w:jc w:val="center"/>
        <w:rPr>
          <w:rFonts w:hint="eastAsia"/>
          <w:lang w:val="en-US" w:eastAsia="zh-CN"/>
        </w:rPr>
      </w:pPr>
      <w:r>
        <w:drawing>
          <wp:inline distT="0" distB="0" distL="114300" distR="114300">
            <wp:extent cx="3759200" cy="1609725"/>
            <wp:effectExtent l="0" t="0" r="0" b="0"/>
            <wp:docPr id="6" name="图表 2" descr="7b0a202020202263686172745265734964223a202234363130333534220a7d0a"/>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19" w:name="_Toc15377212"/>
      <w:r>
        <w:rPr>
          <w:rFonts w:ascii="Times New Roman" w:eastAsia="楷体_GB2312" w:cs="楷体_GB2312" w:hAnsi="Times New Roman" w:hint="eastAsia"/>
          <w:b/>
          <w:color w:val="auto"/>
          <w:sz w:val="32"/>
          <w:szCs w:val="32"/>
          <w:highlight w:val="auto"/>
        </w:rPr>
        <w:t>（三）一般公共预算财政拨款支出决算具体情况</w:t>
      </w:r>
      <w:bookmarkEnd w:id="19"/>
    </w:p>
    <w:p>
      <w:pPr>
        <w:spacing w:line="240" w:lineRule="auto"/>
        <w:ind w:firstLineChars="200" w:firstLine="640"/>
        <w:rPr>
          <w:rFonts w:ascii="Times New Roman" w:eastAsia="仿宋_GB2312" w:cs="仿宋_GB2312" w:hAnsi="Times New Roman" w:hint="eastAsia"/>
          <w:color w:val="auto"/>
          <w:kern w:val="2"/>
          <w:sz w:val="32"/>
          <w:szCs w:val="32"/>
          <w:lang w:val="en-US" w:eastAsia="zh-CN" w:bidi="ar-SA"/>
          <w:highlight w:val="auto"/>
        </w:rPr>
      </w:pPr>
      <w:bookmarkStart w:id="20" w:name="_Toc15378460"/>
      <w:bookmarkStart w:id="21" w:name="_Toc15377213"/>
      <w:bookmarkStart w:id="22" w:name="_Toc15377444"/>
      <w:r>
        <w:rPr>
          <w:rFonts w:ascii="Times New Roman" w:eastAsia="仿宋_GB2312" w:cs="仿宋_GB2312" w:hAnsi="Times New Roman" w:hint="eastAsia"/>
          <w:color w:val="auto"/>
          <w:kern w:val="2"/>
          <w:sz w:val="32"/>
          <w:szCs w:val="32"/>
          <w:lang w:val="en-US" w:eastAsia="zh-CN" w:bidi="ar-SA"/>
          <w:highlight w:val="auto"/>
        </w:rPr>
        <w:t>2024年度一般公共预算财政拨款支出决算数为</w:t>
      </w:r>
      <w:r>
        <w:rPr>
          <w:rFonts w:ascii="仿宋_GB2312" w:eastAsia="仿宋_GB2312" w:cs="仿宋_GB2312" w:hint="eastAsia"/>
          <w:sz w:val="32"/>
          <w:szCs w:val="32"/>
        </w:rPr>
        <w:t>782.6</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%。其中：</w:t>
      </w:r>
      <w:bookmarkEnd w:id="20"/>
      <w:bookmarkEnd w:id="21"/>
      <w:bookmarkEnd w:id="22"/>
    </w:p>
    <w:p>
      <w:pPr>
        <w:numPr>
          <w:ilvl w:val="0"/>
          <w:numId w:val="2"/>
        </w:numPr>
        <w:spacing w:line="600" w:lineRule="exact"/>
        <w:ind w:left="0"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一般公共服务</w:t>
      </w:r>
      <w:r>
        <w:rPr>
          <w:rFonts w:eastAsia="仿宋_GB2312" w:cs="仿宋_GB2312" w:hint="eastAsia"/>
          <w:color w:val="auto"/>
          <w:kern w:val="2"/>
          <w:sz w:val="32"/>
          <w:szCs w:val="32"/>
          <w:lang w:val="en-US" w:eastAsia="zh-CN" w:bidi="ar-SA"/>
          <w:highlight w:val="auto"/>
        </w:rPr>
        <w:t>支出：</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0.43</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numPr>
          <w:ilvl w:val="0"/>
          <w:numId w:val="2"/>
        </w:numPr>
        <w:spacing w:line="600" w:lineRule="exact"/>
        <w:ind w:left="0"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社会保障和就业</w:t>
      </w:r>
      <w:r>
        <w:rPr>
          <w:rFonts w:eastAsia="仿宋_GB2312" w:cs="仿宋_GB2312" w:hint="eastAsia"/>
          <w:color w:val="auto"/>
          <w:kern w:val="2"/>
          <w:sz w:val="32"/>
          <w:szCs w:val="32"/>
          <w:lang w:val="en-US" w:eastAsia="zh-CN" w:bidi="ar-SA"/>
          <w:highlight w:val="auto"/>
        </w:rPr>
        <w:t>支出：</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654.87</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numPr>
          <w:ilvl w:val="0"/>
          <w:numId w:val="2"/>
        </w:numPr>
        <w:spacing w:line="600" w:lineRule="exact"/>
        <w:ind w:left="0" w:firstLine="640"/>
        <w:rPr>
          <w:rFonts w:ascii="Times New Roman" w:eastAsia="仿宋_GB2312" w:cs="仿宋_GB2312" w:hAnsi="Times New Roman" w:hint="eastAsia"/>
          <w:b/>
          <w:bCs/>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卫生健康</w:t>
      </w:r>
      <w:r>
        <w:rPr>
          <w:rFonts w:eastAsia="仿宋_GB2312" w:cs="仿宋_GB2312" w:hint="eastAsia"/>
          <w:color w:val="auto"/>
          <w:kern w:val="2"/>
          <w:sz w:val="32"/>
          <w:szCs w:val="32"/>
          <w:lang w:val="en-US" w:eastAsia="zh-CN" w:bidi="ar-SA"/>
          <w:highlight w:val="auto"/>
        </w:rPr>
        <w:t>支出：</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127.31</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tabs>
          <w:tab w:val="right" w:pos="8306"/>
        </w:tabs>
        <w:spacing w:line="600" w:lineRule="exact"/>
        <w:ind w:firstLine="640"/>
        <w:outlineLvl w:val="1"/>
        <w:rPr>
          <w:rStyle w:val="2Char"/>
          <w:rFonts w:ascii="Times New Roman" w:hAnsi="Times New Roman"/>
          <w:color w:val="auto"/>
          <w:highlight w:val="auto"/>
        </w:rPr>
      </w:pPr>
      <w:bookmarkStart w:id="23" w:name="_Toc15377214"/>
      <w:bookmarkStart w:id="24" w:name="_Toc15396608"/>
      <w:r>
        <w:rPr>
          <w:rFonts w:ascii="Times New Roman" w:eastAsia="黑体" w:hAnsi="Times New Roman" w:hint="eastAsia"/>
          <w:color w:val="auto"/>
          <w:sz w:val="32"/>
          <w:szCs w:val="32"/>
          <w:highlight w:val="auto"/>
        </w:rPr>
        <w:t>六</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般公共预算财政拨款基本支出决算情况说明</w:t>
      </w:r>
      <w:bookmarkEnd w:id="23"/>
      <w:bookmarkEnd w:id="24"/>
      <w:r>
        <w:rPr>
          <w:rStyle w:val="2Char"/>
          <w:rFonts w:ascii="Times New Roman" w:eastAsia="黑体" w:hAnsi="Times New Roman"/>
          <w:b w:val="0"/>
          <w:color w:val="auto"/>
          <w:highlight w:val="auto"/>
        </w:rPr>
        <w:tab/>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2024年度一般公共预算财政拨款基本支出</w:t>
      </w:r>
      <w:r>
        <w:rPr>
          <w:rFonts w:ascii="仿宋_GB2312" w:eastAsia="仿宋_GB2312" w:cs="仿宋_GB2312" w:hint="eastAsia"/>
          <w:sz w:val="32"/>
          <w:szCs w:val="32"/>
        </w:rPr>
        <w:t>650.64</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元，其中：</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人员经费</w:t>
      </w:r>
      <w:r>
        <w:rPr>
          <w:rFonts w:ascii="仿宋_GB2312" w:eastAsia="仿宋_GB2312" w:cs="仿宋_GB2312" w:hint="eastAsia"/>
          <w:sz w:val="32"/>
          <w:szCs w:val="32"/>
        </w:rPr>
        <w:t>649.33</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w:t>
      </w:r>
      <w:r>
        <w:rPr>
          <w:rFonts w:eastAsia="仿宋_GB2312" w:cs="仿宋_GB2312" w:hint="eastAsia"/>
          <w:color w:val="auto"/>
          <w:kern w:val="2"/>
          <w:sz w:val="32"/>
          <w:szCs w:val="32"/>
          <w:lang w:val="en-US" w:eastAsia="zh-CN" w:bidi="ar-SA"/>
          <w:highlight w:val="auto"/>
        </w:rPr>
        <w:t>支付</w:t>
      </w:r>
      <w:r>
        <w:rPr>
          <w:rFonts w:ascii="Times New Roman" w:eastAsia="仿宋_GB2312" w:cs="仿宋_GB2312" w:hAnsi="Times New Roman" w:hint="eastAsia"/>
          <w:color w:val="auto"/>
          <w:kern w:val="2"/>
          <w:sz w:val="32"/>
          <w:szCs w:val="32"/>
          <w:lang w:val="en-US" w:eastAsia="zh-CN" w:bidi="ar-SA"/>
          <w:highlight w:val="auto"/>
        </w:rPr>
        <w:t>抚恤金</w:t>
      </w:r>
      <w:r>
        <w:rPr>
          <w:rFonts w:eastAsia="仿宋_GB2312" w:cs="仿宋_GB2312" w:hint="eastAsia"/>
          <w:color w:val="auto"/>
          <w:kern w:val="2"/>
          <w:sz w:val="32"/>
          <w:szCs w:val="32"/>
          <w:lang w:val="en-US" w:eastAsia="zh-CN" w:bidi="ar-SA"/>
          <w:highlight w:val="auto"/>
        </w:rPr>
        <w:t>70.37万元</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支付退休</w:t>
      </w:r>
      <w:r>
        <w:rPr>
          <w:rFonts w:ascii="Times New Roman" w:eastAsia="仿宋_GB2312" w:cs="仿宋_GB2312" w:hAnsi="Times New Roman" w:hint="eastAsia"/>
          <w:color w:val="auto"/>
          <w:kern w:val="2"/>
          <w:sz w:val="32"/>
          <w:szCs w:val="32"/>
          <w:lang w:val="en-US" w:eastAsia="zh-CN" w:bidi="ar-SA"/>
          <w:highlight w:val="auto"/>
        </w:rPr>
        <w:t>生活补助</w:t>
      </w:r>
      <w:r>
        <w:rPr>
          <w:rFonts w:eastAsia="仿宋_GB2312" w:cs="仿宋_GB2312" w:hint="eastAsia"/>
          <w:color w:val="auto"/>
          <w:kern w:val="2"/>
          <w:sz w:val="32"/>
          <w:szCs w:val="32"/>
          <w:lang w:val="en-US" w:eastAsia="zh-CN" w:bidi="ar-SA"/>
          <w:highlight w:val="auto"/>
        </w:rPr>
        <w:t>513.49万元</w:t>
      </w:r>
      <w:r>
        <w:rPr>
          <w:rFonts w:ascii="Times New Roman" w:eastAsia="仿宋_GB2312" w:cs="仿宋_GB2312" w:hAnsi="Times New Roman" w:hint="eastAsia"/>
          <w:color w:val="auto"/>
          <w:kern w:val="2"/>
          <w:sz w:val="32"/>
          <w:szCs w:val="32"/>
          <w:lang w:val="en-US" w:eastAsia="zh-CN" w:bidi="ar-SA"/>
          <w:highlight w:val="auto"/>
        </w:rPr>
        <w:t>、医疗费补助</w:t>
      </w:r>
      <w:r>
        <w:rPr>
          <w:rFonts w:eastAsia="仿宋_GB2312" w:cs="仿宋_GB2312" w:hint="eastAsia"/>
          <w:color w:val="auto"/>
          <w:kern w:val="2"/>
          <w:sz w:val="32"/>
          <w:szCs w:val="32"/>
          <w:lang w:val="en-US" w:eastAsia="zh-CN" w:bidi="ar-SA"/>
          <w:highlight w:val="auto"/>
        </w:rPr>
        <w:t>65.47万元。</w:t>
      </w:r>
      <w:r>
        <w:rPr>
          <w:rFonts w:ascii="Times New Roman" w:eastAsia="仿宋_GB2312" w:cs="仿宋_GB2312" w:hAnsi="Times New Roman" w:hint="eastAsia"/>
          <w:color w:val="auto"/>
          <w:kern w:val="2"/>
          <w:sz w:val="32"/>
          <w:szCs w:val="32"/>
          <w:lang w:val="en-US" w:eastAsia="zh-CN" w:bidi="ar-SA"/>
          <w:highlight w:val="auto"/>
        </w:rPr>
        <w:t>　　公用经费</w:t>
      </w:r>
      <w:r>
        <w:rPr>
          <w:rFonts w:ascii="仿宋_GB2312" w:eastAsia="仿宋_GB2312" w:cs="仿宋_GB2312" w:hint="eastAsia"/>
          <w:sz w:val="32"/>
          <w:szCs w:val="32"/>
        </w:rPr>
        <w:t>1.31</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w:t>
      </w:r>
      <w:r>
        <w:rPr>
          <w:rFonts w:eastAsia="仿宋_GB2312" w:cs="仿宋_GB2312" w:hint="eastAsia"/>
          <w:color w:val="auto"/>
          <w:kern w:val="2"/>
          <w:sz w:val="32"/>
          <w:szCs w:val="32"/>
          <w:lang w:val="en-US" w:eastAsia="zh-CN" w:bidi="ar-SA"/>
          <w:highlight w:val="auto"/>
        </w:rPr>
        <w:t>是</w:t>
      </w:r>
      <w:r>
        <w:rPr>
          <w:rFonts w:ascii="Times New Roman" w:eastAsia="仿宋_GB2312" w:cs="仿宋_GB2312" w:hAnsi="Times New Roman" w:hint="eastAsia"/>
          <w:color w:val="auto"/>
          <w:kern w:val="2"/>
          <w:sz w:val="32"/>
          <w:szCs w:val="32"/>
          <w:lang w:val="en-US" w:eastAsia="zh-CN" w:bidi="ar-SA"/>
          <w:highlight w:val="auto"/>
        </w:rPr>
        <w:t>：其他商品和服务支出</w:t>
      </w:r>
      <w:r>
        <w:rPr>
          <w:rFonts w:eastAsia="仿宋_GB2312" w:cs="仿宋_GB2312" w:hint="eastAsia"/>
          <w:color w:val="auto"/>
          <w:kern w:val="2"/>
          <w:sz w:val="32"/>
          <w:szCs w:val="32"/>
          <w:lang w:val="en-US" w:eastAsia="zh-CN" w:bidi="ar-SA"/>
          <w:highlight w:val="auto"/>
        </w:rPr>
        <w:t>1.31万元</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640"/>
        <w:outlineLvl w:val="1"/>
        <w:rPr>
          <w:rStyle w:val="2Char"/>
          <w:rFonts w:ascii="Times New Roman" w:eastAsia="黑体" w:hAnsi="Times New Roman"/>
          <w:b w:val="0"/>
          <w:color w:val="auto"/>
          <w:highlight w:val="auto"/>
        </w:rPr>
      </w:pPr>
      <w:bookmarkStart w:id="25" w:name="_Toc15396609"/>
      <w:bookmarkStart w:id="26" w:name="_Toc15377215"/>
      <w:r>
        <w:rPr>
          <w:rFonts w:ascii="Times New Roman" w:eastAsia="黑体" w:hAnsi="Times New Roman" w:hint="eastAsia"/>
          <w:color w:val="auto"/>
          <w:sz w:val="32"/>
          <w:szCs w:val="32"/>
          <w:highlight w:val="auto"/>
        </w:rPr>
        <w:t>七、</w:t>
      </w:r>
      <w:r>
        <w:rPr>
          <w:rStyle w:val="2Char"/>
          <w:rFonts w:ascii="Times New Roman" w:eastAsia="黑体" w:hAnsi="Times New Roman" w:hint="eastAsia"/>
          <w:b w:val="0"/>
          <w:color w:val="auto"/>
          <w:highlight w:val="auto"/>
        </w:rPr>
        <w:t>财政拨款</w:t>
      </w:r>
      <w:r>
        <w:rPr>
          <w:rStyle w:val="2Char"/>
          <w:rFonts w:ascii="Times New Roman" w:eastAsia="黑体" w:hAnsi="Times New Roman" w:hint="eastAsia"/>
          <w:color w:val="auto"/>
          <w:highlight w:val="auto"/>
        </w:rPr>
        <w:t>“</w:t>
      </w:r>
      <w:r>
        <w:rPr>
          <w:rStyle w:val="2Char"/>
          <w:rFonts w:ascii="Times New Roman" w:eastAsia="黑体" w:hAnsi="Times New Roman" w:hint="eastAsia"/>
          <w:b w:val="0"/>
          <w:color w:val="auto"/>
          <w:highlight w:val="auto"/>
        </w:rPr>
        <w:t>三公”经费支出决算情况说明</w:t>
      </w:r>
      <w:bookmarkEnd w:id="25"/>
      <w:bookmarkEnd w:id="26"/>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27" w:name="_Toc15377216"/>
      <w:r>
        <w:rPr>
          <w:rFonts w:ascii="Times New Roman" w:eastAsia="楷体_GB2312" w:cs="楷体_GB2312" w:hAnsi="Times New Roman" w:hint="eastAsia"/>
          <w:b/>
          <w:color w:val="auto"/>
          <w:sz w:val="32"/>
          <w:szCs w:val="32"/>
          <w:highlight w:val="auto"/>
        </w:rPr>
        <w:t>（一）“三公”经费财政拨款支出决算总体情况说明</w:t>
      </w:r>
      <w:bookmarkEnd w:id="27"/>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2024年度“三公”经费财政拨款支出决算为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万元，完成预算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w:t>
      </w:r>
      <w:r>
        <w:rPr>
          <w:rFonts w:ascii="仿宋" w:eastAsia="仿宋" w:hint="eastAsia"/>
          <w:color w:val="auto"/>
          <w:sz w:val="32"/>
          <w:szCs w:val="32"/>
          <w:lang w:val="en-US" w:eastAsia="zh-CN"/>
          <w:highlight w:val="auto"/>
        </w:rPr>
        <w:t>2024年未安排</w:t>
      </w:r>
      <w:r>
        <w:rPr>
          <w:rFonts w:ascii="仿宋" w:eastAsia="仿宋" w:hint="eastAsia"/>
          <w:color w:val="auto"/>
          <w:sz w:val="32"/>
          <w:szCs w:val="32"/>
          <w:highlight w:val="auto"/>
        </w:rPr>
        <w:t>“三公”经费财政拨款支出</w:t>
      </w:r>
      <w:r>
        <w:rPr>
          <w:rFonts w:ascii="仿宋" w:eastAsia="仿宋" w:hint="eastAsia"/>
          <w:color w:val="auto"/>
          <w:sz w:val="32"/>
          <w:szCs w:val="32"/>
          <w:lang w:val="en-US" w:eastAsia="zh-CN"/>
          <w:highlight w:val="auto"/>
        </w:rPr>
        <w:t>预算</w:t>
      </w:r>
      <w:r>
        <w:rPr>
          <w:rFonts w:ascii="仿宋" w:eastAsia="仿宋" w:hint="eastAsia"/>
          <w:color w:val="auto"/>
          <w:sz w:val="32"/>
          <w:szCs w:val="32"/>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28" w:name="_Toc15377217"/>
      <w:r>
        <w:rPr>
          <w:rFonts w:ascii="Times New Roman" w:eastAsia="楷体_GB2312" w:cs="楷体_GB2312" w:hAnsi="Times New Roman" w:hint="eastAsia"/>
          <w:b/>
          <w:color w:val="auto"/>
          <w:sz w:val="32"/>
          <w:szCs w:val="32"/>
          <w:highlight w:val="auto"/>
        </w:rPr>
        <w:t>（二）“三公”经费财政拨款支出决算具体情况说明</w:t>
      </w:r>
      <w:bookmarkEnd w:id="28"/>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2024年度“三公”经费财政拨款支出决算中，因公出国（境）费支出决算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万元；公务用车购置及运行维护费支出决算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万元；公务接待费支出决算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w:t>
      </w:r>
    </w:p>
    <w:p>
      <w:pPr>
        <w:spacing w:line="600" w:lineRule="exact"/>
        <w:ind w:firstLine="640"/>
        <w:rPr>
          <w:rFonts w:ascii="仿宋_GB2312" w:eastAsia="仿宋_GB2312"/>
          <w:b/>
          <w:color w:val="auto"/>
          <w:sz w:val="32"/>
          <w:szCs w:val="32"/>
          <w:highlight w:val="auto"/>
        </w:rPr>
      </w:pPr>
      <w:r>
        <w:rPr>
          <w:rFonts w:ascii="Times New Roman" w:eastAsia="仿宋_GB2312" w:cs="仿宋_GB2312" w:hAnsi="Times New Roman" w:hint="eastAsia"/>
          <w:b/>
          <w:bCs/>
          <w:color w:val="auto"/>
          <w:kern w:val="2"/>
          <w:sz w:val="32"/>
          <w:szCs w:val="32"/>
          <w:lang w:val="en-US" w:eastAsia="zh-CN" w:bidi="ar-SA"/>
          <w:highlight w:val="auto"/>
        </w:rPr>
        <w:t>1.因公出国（境）经费支出</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万元，完成预算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全年安排因公出国（境）团</w:t>
      </w:r>
      <w:r>
        <w:rPr>
          <w:rFonts w:ascii="仿宋_GB2312" w:eastAsia="仿宋_GB2312" w:cs="仿宋_GB2312" w:hint="eastAsia"/>
          <w:color w:val="auto"/>
          <w:kern w:val="2"/>
          <w:sz w:val="32"/>
          <w:szCs w:val="32"/>
          <w:lang w:val="en-US" w:eastAsia="zh-CN" w:bidi="ar-SA"/>
          <w:highlight w:val="auto"/>
        </w:rPr>
        <w:t>组</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次，出国（境）</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人</w:t>
      </w:r>
      <w:r>
        <w:rPr>
          <w:rFonts w:ascii="Times New Roman" w:eastAsia="仿宋_GB2312" w:cs="仿宋_GB2312" w:hAnsi="Times New Roman" w:hint="eastAsia"/>
          <w:color w:val="auto"/>
          <w:kern w:val="2"/>
          <w:sz w:val="32"/>
          <w:szCs w:val="32"/>
          <w:lang w:val="en-US" w:eastAsia="zh-CN" w:bidi="ar-SA"/>
          <w:highlight w:val="auto"/>
        </w:rPr>
        <w:t>。</w:t>
      </w:r>
      <w:r>
        <w:rPr>
          <w:rFonts w:ascii="仿宋_GB2312" w:eastAsia="仿宋_GB2312" w:hint="eastAsia"/>
          <w:color w:val="auto"/>
          <w:sz w:val="32"/>
          <w:szCs w:val="32"/>
          <w:highlight w:val="auto"/>
        </w:rPr>
        <w:t>因公出国（境）支出决算比</w:t>
      </w:r>
      <w:r>
        <w:rPr>
          <w:rFonts w:ascii="仿宋_GB2312" w:eastAsia="仿宋_GB2312" w:hint="eastAsia"/>
          <w:color w:val="auto"/>
          <w:sz w:val="32"/>
          <w:szCs w:val="32"/>
          <w:lang w:eastAsia="zh-CN"/>
          <w:highlight w:val="auto"/>
        </w:rPr>
        <w:t>202</w:t>
      </w:r>
      <w:r>
        <w:rPr>
          <w:rFonts w:ascii="仿宋_GB2312" w:eastAsia="仿宋_GB2312" w:hint="eastAsia"/>
          <w:color w:val="auto"/>
          <w:sz w:val="32"/>
          <w:szCs w:val="32"/>
          <w:lang w:val="en-US" w:eastAsia="zh-CN"/>
          <w:highlight w:val="auto"/>
        </w:rPr>
        <w:t>3</w:t>
      </w:r>
      <w:r>
        <w:rPr>
          <w:rFonts w:ascii="仿宋_GB2312" w:eastAsia="仿宋_GB2312" w:hint="eastAsia"/>
          <w:color w:val="auto"/>
          <w:sz w:val="32"/>
          <w:szCs w:val="32"/>
          <w:highlight w:val="auto"/>
        </w:rPr>
        <w:t>年</w:t>
      </w:r>
      <w:r>
        <w:rPr>
          <w:rFonts w:ascii="仿宋_GB2312" w:eastAsia="仿宋_GB2312" w:hint="eastAsia"/>
          <w:color w:val="auto"/>
          <w:sz w:val="32"/>
          <w:szCs w:val="32"/>
          <w:lang w:val="en-US" w:eastAsia="zh-CN"/>
          <w:highlight w:val="auto"/>
        </w:rPr>
        <w:t>持平</w:t>
      </w:r>
      <w:r>
        <w:rPr>
          <w:rFonts w:ascii="仿宋_GB2312" w:eastAsia="仿宋_GB2312" w:hint="eastAsia"/>
          <w:color w:val="auto"/>
          <w:sz w:val="32"/>
          <w:szCs w:val="32"/>
          <w:highlight w:val="auto"/>
        </w:rPr>
        <w:t>。</w:t>
      </w:r>
    </w:p>
    <w:p>
      <w:pPr>
        <w:spacing w:line="600" w:lineRule="exact"/>
        <w:ind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2.公务用车购置及运行维护费支出</w:t>
      </w:r>
      <w:r>
        <w:rPr>
          <w:rFonts w:ascii="仿宋_GB2312" w:eastAsia="仿宋_GB2312" w:cs="仿宋_GB2312" w:hint="eastAsia"/>
          <w:b/>
          <w:bCs/>
          <w:color w:val="auto"/>
          <w:kern w:val="2"/>
          <w:sz w:val="32"/>
          <w:szCs w:val="32"/>
          <w:lang w:val="en-US" w:eastAsia="zh-CN" w:bidi="ar-SA"/>
          <w:highlight w:val="auto"/>
        </w:rPr>
        <w:t>0万</w:t>
      </w:r>
      <w:r>
        <w:rPr>
          <w:rFonts w:ascii="Times New Roman" w:eastAsia="仿宋_GB2312" w:cs="仿宋_GB2312" w:hAnsi="Times New Roman" w:hint="eastAsia"/>
          <w:b/>
          <w:bCs/>
          <w:color w:val="auto"/>
          <w:kern w:val="2"/>
          <w:sz w:val="32"/>
          <w:szCs w:val="32"/>
          <w:lang w:val="en-US" w:eastAsia="zh-CN" w:bidi="ar-SA"/>
          <w:highlight w:val="auto"/>
        </w:rPr>
        <w:t>元</w:t>
      </w:r>
      <w:r>
        <w:rPr>
          <w:rFonts w:eastAsia="仿宋_GB2312" w:cs="仿宋_GB2312" w:hint="eastAsia"/>
          <w:b/>
          <w:bCs/>
          <w:color w:val="auto"/>
          <w:kern w:val="2"/>
          <w:sz w:val="32"/>
          <w:szCs w:val="32"/>
          <w:lang w:val="en-US" w:eastAsia="zh-CN" w:bidi="ar-SA"/>
          <w:highlight w:val="auto"/>
        </w:rPr>
        <w:t>，</w:t>
      </w:r>
      <w:r>
        <w:rPr>
          <w:rFonts w:ascii="Times New Roman" w:eastAsia="仿宋_GB2312" w:cs="仿宋_GB2312" w:hAnsi="Times New Roman" w:hint="eastAsia"/>
          <w:b/>
          <w:bCs/>
          <w:color w:val="auto"/>
          <w:kern w:val="2"/>
          <w:sz w:val="32"/>
          <w:szCs w:val="32"/>
          <w:lang w:val="en-US" w:eastAsia="zh-CN" w:bidi="ar-SA"/>
          <w:highlight w:val="auto"/>
        </w:rPr>
        <w:t>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公务用车购置及运行维护费支出决算</w:t>
      </w:r>
      <w:r>
        <w:rPr>
          <w:rFonts w:eastAsia="仿宋_GB2312" w:cs="仿宋_GB2312" w:hint="eastAsia"/>
          <w:color w:val="auto"/>
          <w:kern w:val="2"/>
          <w:sz w:val="32"/>
          <w:szCs w:val="32"/>
          <w:lang w:val="en-US" w:eastAsia="zh-CN" w:bidi="ar-SA"/>
          <w:highlight w:val="auto"/>
        </w:rPr>
        <w:t>与</w:t>
      </w:r>
      <w:r>
        <w:rPr>
          <w:rFonts w:ascii="Times New Roman" w:eastAsia="仿宋_GB2312" w:cs="仿宋_GB2312" w:hAnsi="Times New Roman" w:hint="eastAsia"/>
          <w:color w:val="auto"/>
          <w:kern w:val="2"/>
          <w:sz w:val="32"/>
          <w:szCs w:val="32"/>
          <w:lang w:val="en-US" w:eastAsia="zh-CN" w:bidi="ar-SA"/>
          <w:highlight w:val="auto"/>
        </w:rPr>
        <w:t>2023年度</w:t>
      </w:r>
      <w:r>
        <w:rPr>
          <w:rFonts w:eastAsia="仿宋_GB2312" w:cs="仿宋_GB2312" w:hint="eastAsia"/>
          <w:color w:val="auto"/>
          <w:kern w:val="2"/>
          <w:sz w:val="32"/>
          <w:szCs w:val="32"/>
          <w:lang w:val="en-US" w:eastAsia="zh-CN" w:bidi="ar-SA"/>
          <w:highlight w:val="auto"/>
        </w:rPr>
        <w:t>持平。</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公务用车运行维护费支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万元。</w:t>
      </w:r>
    </w:p>
    <w:p>
      <w:pPr>
        <w:numPr>
          <w:ilvl w:val="0"/>
          <w:numId w:val="2"/>
        </w:numPr>
        <w:spacing w:line="600" w:lineRule="exact"/>
        <w:ind w:left="0"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公务接待费支出</w:t>
      </w:r>
      <w:r>
        <w:rPr>
          <w:rFonts w:ascii="仿宋_GB2312" w:eastAsia="仿宋_GB2312" w:cs="仿宋_GB2312" w:hint="eastAsia"/>
          <w:b/>
          <w:bCs/>
          <w:color w:val="auto"/>
          <w:kern w:val="2"/>
          <w:sz w:val="32"/>
          <w:szCs w:val="32"/>
          <w:lang w:val="en-US" w:eastAsia="zh-CN" w:bidi="ar-SA"/>
          <w:highlight w:val="auto"/>
        </w:rPr>
        <w:t>0万</w:t>
      </w:r>
      <w:r>
        <w:rPr>
          <w:rFonts w:ascii="Times New Roman" w:eastAsia="仿宋_GB2312" w:cs="仿宋_GB2312" w:hAnsi="Times New Roman" w:hint="eastAsia"/>
          <w:b/>
          <w:bCs/>
          <w:color w:val="auto"/>
          <w:kern w:val="2"/>
          <w:sz w:val="32"/>
          <w:szCs w:val="32"/>
          <w:lang w:val="en-US" w:eastAsia="zh-CN" w:bidi="ar-SA"/>
          <w:highlight w:val="auto"/>
        </w:rPr>
        <w:t>元，完成预算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公务接待费支出决算比2023年度</w:t>
      </w:r>
      <w:r>
        <w:rPr>
          <w:rFonts w:eastAsia="仿宋_GB2312" w:cs="仿宋_GB2312" w:hint="eastAsia"/>
          <w:color w:val="auto"/>
          <w:kern w:val="2"/>
          <w:sz w:val="32"/>
          <w:szCs w:val="32"/>
          <w:lang w:val="en-US" w:eastAsia="zh-CN" w:bidi="ar-SA"/>
          <w:highlight w:val="auto"/>
        </w:rPr>
        <w:t>持平。</w:t>
      </w:r>
      <w:bookmarkStart w:id="29" w:name="_Toc15377218"/>
      <w:bookmarkStart w:id="30" w:name="_Toc15396610"/>
    </w:p>
    <w:p>
      <w:pPr>
        <w:spacing w:line="600" w:lineRule="exact"/>
        <w:ind w:firstLine="640"/>
        <w:outlineLvl w:val="1"/>
        <w:rPr>
          <w:rStyle w:val="2Char"/>
          <w:rFonts w:ascii="Times New Roman" w:eastAsia="黑体" w:hAnsi="Times New Roman"/>
          <w:color w:val="auto"/>
          <w:highlight w:val="auto"/>
        </w:rPr>
      </w:pPr>
      <w:r>
        <w:rPr>
          <w:rFonts w:ascii="Times New Roman" w:eastAsia="黑体" w:hAnsi="Times New Roman" w:hint="eastAsia"/>
          <w:color w:val="auto"/>
          <w:sz w:val="32"/>
          <w:szCs w:val="32"/>
          <w:highlight w:val="auto"/>
        </w:rPr>
        <w:t>八、</w:t>
      </w:r>
      <w:r>
        <w:rPr>
          <w:rStyle w:val="2Char"/>
          <w:rFonts w:ascii="Times New Roman" w:eastAsia="黑体" w:hAnsi="Times New Roman" w:hint="eastAsia"/>
          <w:b w:val="0"/>
          <w:color w:val="auto"/>
          <w:highlight w:val="auto"/>
        </w:rPr>
        <w:t>政府性基金预算支出决算情况说明</w:t>
      </w:r>
      <w:bookmarkEnd w:id="29"/>
      <w:bookmarkEnd w:id="30"/>
    </w:p>
    <w:p>
      <w:pPr>
        <w:spacing w:line="600" w:lineRule="exact"/>
        <w:ind w:firstLine="640"/>
        <w:rPr>
          <w:rFonts w:ascii="Times New Roman" w:eastAsia="仿宋_GB2312" w:cs="仿宋_GB2312" w:hAnsi="Times New Roman"/>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2024年度政府性基金预算财政拨款支出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万元。与2023年度持平。</w:t>
      </w:r>
    </w:p>
    <w:p>
      <w:pPr>
        <w:spacing w:line="600" w:lineRule="exact"/>
        <w:ind w:left="630"/>
        <w:outlineLvl w:val="1"/>
        <w:rPr>
          <w:rStyle w:val="2Char"/>
          <w:rFonts w:ascii="Times New Roman" w:eastAsia="黑体" w:hAnsi="Times New Roman"/>
          <w:b w:val="0"/>
          <w:color w:val="auto"/>
          <w:highlight w:val="auto"/>
        </w:rPr>
      </w:pPr>
      <w:bookmarkStart w:id="31" w:name="_Toc15377219"/>
      <w:bookmarkStart w:id="32" w:name="_Toc15396611"/>
      <w:r>
        <w:rPr>
          <w:rStyle w:val="2Char"/>
          <w:rFonts w:ascii="Times New Roman" w:eastAsia="黑体" w:hAnsi="Times New Roman" w:hint="eastAsia"/>
          <w:b w:val="0"/>
          <w:color w:val="auto"/>
          <w:lang w:eastAsia="zh-CN"/>
          <w:highlight w:val="auto"/>
        </w:rPr>
        <w:t>九、</w:t>
      </w:r>
      <w:r>
        <w:rPr>
          <w:rStyle w:val="2Char"/>
          <w:rFonts w:ascii="Times New Roman" w:eastAsia="黑体" w:hAnsi="Times New Roman" w:hint="eastAsia"/>
          <w:b w:val="0"/>
          <w:color w:val="auto"/>
          <w:highlight w:val="auto"/>
        </w:rPr>
        <w:t>国有资本经营预算支出决算情况说明</w:t>
      </w:r>
      <w:bookmarkEnd w:id="31"/>
      <w:bookmarkEnd w:id="32"/>
    </w:p>
    <w:p>
      <w:pPr>
        <w:spacing w:line="600" w:lineRule="exact"/>
        <w:ind w:firstLine="640"/>
        <w:rPr>
          <w:rFonts w:ascii="Times New Roman" w:eastAsia="仿宋_GB2312" w:cs="仿宋_GB2312" w:hAnsi="Times New Roman"/>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2024年度国有资本经营预算财政拨款支出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。与2023年度相比，国有资本经营预算财政拨款支出</w:t>
      </w:r>
      <w:r>
        <w:rPr>
          <w:rFonts w:eastAsia="仿宋_GB2312" w:cs="仿宋_GB2312" w:hint="eastAsia"/>
          <w:color w:val="auto"/>
          <w:kern w:val="2"/>
          <w:sz w:val="32"/>
          <w:szCs w:val="32"/>
          <w:lang w:val="en-US" w:eastAsia="zh-CN" w:bidi="ar-SA"/>
          <w:highlight w:val="auto"/>
        </w:rPr>
        <w:t>持平。</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left="630"/>
        <w:outlineLvl w:val="1"/>
        <w:rPr>
          <w:rStyle w:val="2Char"/>
          <w:rFonts w:ascii="Times New Roman" w:eastAsia="黑体" w:hAnsi="Times New Roman" w:hint="eastAsia"/>
          <w:b w:val="0"/>
          <w:color w:val="auto"/>
          <w:highlight w:val="auto"/>
        </w:rPr>
      </w:pPr>
      <w:bookmarkStart w:id="33" w:name="_Toc15377221"/>
      <w:bookmarkStart w:id="34" w:name="_Toc15396612"/>
      <w:r>
        <w:rPr>
          <w:rStyle w:val="2Char"/>
          <w:rFonts w:ascii="Times New Roman" w:eastAsia="黑体" w:hAnsi="Times New Roman" w:hint="eastAsia"/>
          <w:b w:val="0"/>
          <w:color w:val="auto"/>
          <w:lang w:eastAsia="zh-CN"/>
          <w:highlight w:val="auto"/>
        </w:rPr>
        <w:t>十、</w:t>
      </w:r>
      <w:r>
        <w:rPr>
          <w:rStyle w:val="2Char"/>
          <w:rFonts w:ascii="Times New Roman" w:eastAsia="黑体" w:hAnsi="Times New Roman" w:hint="eastAsia"/>
          <w:b w:val="0"/>
          <w:color w:val="auto"/>
          <w:highlight w:val="auto"/>
        </w:rPr>
        <w:t>其他重要事项的情况说明</w:t>
      </w:r>
      <w:bookmarkEnd w:id="33"/>
      <w:bookmarkEnd w:id="34"/>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35" w:name="_Toc15377222"/>
      <w:r>
        <w:rPr>
          <w:rFonts w:ascii="Times New Roman" w:eastAsia="楷体_GB2312" w:cs="楷体_GB2312" w:hAnsi="Times New Roman" w:hint="eastAsia"/>
          <w:b/>
          <w:color w:val="auto"/>
          <w:sz w:val="32"/>
          <w:szCs w:val="32"/>
          <w:highlight w:val="auto"/>
        </w:rPr>
        <w:t>（一）机关运行经费支出情况</w:t>
      </w:r>
      <w:bookmarkEnd w:id="35"/>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w:t>
      </w:r>
      <w:r>
        <w:rPr>
          <w:rFonts w:ascii="仿宋_GB2312" w:eastAsia="仿宋_GB2312" w:cs="仿宋_GB2312" w:hint="eastAsia"/>
          <w:color w:val="auto"/>
          <w:kern w:val="2"/>
          <w:sz w:val="32"/>
          <w:szCs w:val="32"/>
          <w:lang w:val="en-US" w:eastAsia="zh-CN" w:bidi="ar-SA"/>
          <w:highlight w:val="auto"/>
        </w:rPr>
        <w:t>，</w:t>
      </w:r>
      <w:r>
        <w:rPr>
          <w:rFonts w:ascii="仿宋_GB2312" w:eastAsia="仿宋_GB2312" w:cs="仿宋_GB2312" w:hint="eastAsia"/>
          <w:sz w:val="32"/>
          <w:szCs w:val="32"/>
        </w:rPr>
        <w:t>攀枝花市第二人民医院</w:t>
      </w:r>
      <w:r>
        <w:rPr>
          <w:rFonts w:ascii="仿宋_GB2312" w:eastAsia="仿宋_GB2312" w:cs="仿宋_GB2312" w:hint="eastAsia"/>
          <w:color w:val="auto"/>
          <w:kern w:val="2"/>
          <w:sz w:val="32"/>
          <w:szCs w:val="32"/>
          <w:lang w:val="en-US" w:eastAsia="zh-CN" w:bidi="ar-SA"/>
          <w:highlight w:val="auto"/>
        </w:rPr>
        <w:t>机关运行经费支出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w:t>
      </w:r>
      <w:r>
        <w:rPr>
          <w:rFonts w:ascii="仿宋_GB2312" w:eastAsia="仿宋_GB2312" w:hint="eastAsia"/>
          <w:color w:val="auto"/>
          <w:sz w:val="32"/>
          <w:szCs w:val="32"/>
          <w:highlight w:val="auto"/>
        </w:rPr>
        <w:t>与</w:t>
      </w:r>
      <w:r>
        <w:rPr>
          <w:rFonts w:ascii="仿宋_GB2312" w:eastAsia="仿宋_GB2312" w:hint="eastAsia"/>
          <w:color w:val="auto"/>
          <w:sz w:val="32"/>
          <w:szCs w:val="32"/>
          <w:lang w:eastAsia="zh-CN"/>
          <w:highlight w:val="auto"/>
        </w:rPr>
        <w:t>202</w:t>
      </w:r>
      <w:r>
        <w:rPr>
          <w:rFonts w:ascii="仿宋_GB2312" w:eastAsia="仿宋_GB2312" w:hint="eastAsia"/>
          <w:color w:val="auto"/>
          <w:sz w:val="32"/>
          <w:szCs w:val="32"/>
          <w:lang w:val="en-US" w:eastAsia="zh-CN"/>
          <w:highlight w:val="auto"/>
        </w:rPr>
        <w:t>3</w:t>
      </w:r>
      <w:r>
        <w:rPr>
          <w:rFonts w:ascii="仿宋_GB2312" w:eastAsia="仿宋_GB2312" w:hint="eastAsia"/>
          <w:color w:val="auto"/>
          <w:sz w:val="32"/>
          <w:szCs w:val="32"/>
          <w:highlight w:val="auto"/>
        </w:rPr>
        <w:t>年决算数持平</w:t>
      </w:r>
      <w:r>
        <w:rPr>
          <w:rFonts w:ascii="仿宋_GB2312" w:eastAsia="仿宋_GB2312" w:hint="eastAsia"/>
          <w:color w:val="auto"/>
          <w:sz w:val="32"/>
          <w:szCs w:val="32"/>
          <w:lang w:eastAsia="zh-CN"/>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36" w:name="_Toc15377223"/>
      <w:r>
        <w:rPr>
          <w:rFonts w:ascii="Times New Roman" w:eastAsia="楷体_GB2312" w:cs="楷体_GB2312" w:hAnsi="Times New Roman" w:hint="eastAsia"/>
          <w:b/>
          <w:color w:val="auto"/>
          <w:sz w:val="32"/>
          <w:szCs w:val="32"/>
          <w:highlight w:val="auto"/>
        </w:rPr>
        <w:t>（二）政府采购支出情况</w:t>
      </w:r>
      <w:bookmarkEnd w:id="36"/>
    </w:p>
    <w:p>
      <w:pPr>
        <w:spacing w:line="600" w:lineRule="exact"/>
        <w:ind w:firstLine="640"/>
        <w:rPr>
          <w:rFonts w:ascii="仿宋_GB2312" w:eastAsia="仿宋_GB2312" w:cs="仿宋_GB2312"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w:t>
      </w:r>
      <w:r>
        <w:rPr>
          <w:rFonts w:ascii="仿宋_GB2312" w:eastAsia="仿宋_GB2312" w:cs="仿宋_GB2312" w:hint="eastAsia"/>
          <w:sz w:val="32"/>
          <w:szCs w:val="32"/>
        </w:rPr>
        <w:t>攀枝花市第二人民医院</w:t>
      </w:r>
      <w:r>
        <w:rPr>
          <w:rFonts w:ascii="仿宋_GB2312" w:eastAsia="仿宋_GB2312" w:cs="仿宋_GB2312" w:hint="eastAsia"/>
          <w:color w:val="auto"/>
          <w:kern w:val="2"/>
          <w:sz w:val="32"/>
          <w:szCs w:val="32"/>
          <w:lang w:val="en-US" w:eastAsia="zh-CN" w:bidi="ar-SA"/>
          <w:highlight w:val="auto"/>
        </w:rPr>
        <w:t>政府采购支出总额</w:t>
      </w:r>
      <w:r>
        <w:rPr>
          <w:rFonts w:ascii="仿宋_GB2312" w:eastAsia="仿宋_GB2312" w:cs="仿宋_GB2312" w:hint="eastAsia"/>
          <w:sz w:val="32"/>
          <w:szCs w:val="32"/>
        </w:rPr>
        <w:t>92.31</w:t>
      </w:r>
      <w:r>
        <w:rPr>
          <w:rFonts w:ascii="仿宋_GB2312" w:eastAsia="仿宋_GB2312" w:cs="仿宋_GB2312" w:hint="eastAsia"/>
          <w:color w:val="auto"/>
          <w:kern w:val="2"/>
          <w:sz w:val="32"/>
          <w:szCs w:val="32"/>
          <w:lang w:val="en-US" w:eastAsia="zh-CN" w:bidi="ar-SA"/>
          <w:highlight w:val="auto"/>
        </w:rPr>
        <w:t>万元，其中：政府采购货物支出</w:t>
      </w:r>
      <w:r>
        <w:rPr>
          <w:rFonts w:ascii="仿宋_GB2312" w:eastAsia="仿宋_GB2312" w:cs="仿宋_GB2312" w:hint="eastAsia"/>
          <w:sz w:val="32"/>
          <w:szCs w:val="32"/>
        </w:rPr>
        <w:t>92.31</w:t>
      </w:r>
      <w:r>
        <w:rPr>
          <w:rFonts w:ascii="仿宋_GB2312" w:eastAsia="仿宋_GB2312" w:cs="仿宋_GB2312" w:hint="eastAsia"/>
          <w:color w:val="auto"/>
          <w:kern w:val="2"/>
          <w:sz w:val="32"/>
          <w:szCs w:val="32"/>
          <w:lang w:val="en-US" w:eastAsia="zh-CN" w:bidi="ar-SA"/>
          <w:highlight w:val="auto"/>
        </w:rPr>
        <w:t>万元、政府采购工程支出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万元、政府采购服务支出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w:t>
      </w:r>
      <w:r>
        <w:rPr>
          <w:rFonts w:ascii="仿宋_GB2312" w:eastAsia="仿宋_GB2312" w:hint="eastAsia"/>
          <w:color w:val="auto"/>
          <w:sz w:val="32"/>
          <w:szCs w:val="32"/>
          <w:highlight w:val="auto"/>
        </w:rPr>
        <w:t>主要用于</w:t>
      </w:r>
      <w:r>
        <w:rPr>
          <w:rFonts w:ascii="Times New Roman" w:cs="Times New Roman" w:hAnsi="Times New Roman"/>
          <w:sz w:val="30"/>
          <w:szCs w:val="30"/>
        </w:rPr>
        <w:t>主</w:t>
      </w:r>
      <w:r>
        <w:rPr>
          <w:rFonts w:ascii="仿宋_GB2312" w:eastAsia="仿宋_GB2312" w:cs="仿宋_GB2312"/>
          <w:color w:val="auto"/>
          <w:kern w:val="2"/>
          <w:sz w:val="32"/>
          <w:szCs w:val="32"/>
          <w:lang w:val="en-US" w:eastAsia="zh-CN" w:bidi="ar-SA"/>
          <w:highlight w:val="auto"/>
        </w:rPr>
        <w:t>要用于医疗设备和办公设备购置</w:t>
      </w:r>
      <w:r>
        <w:rPr>
          <w:rFonts w:ascii="仿宋_GB2312" w:eastAsia="仿宋_GB2312" w:cs="仿宋_GB2312" w:hint="eastAsia"/>
          <w:color w:val="auto"/>
          <w:kern w:val="2"/>
          <w:sz w:val="32"/>
          <w:szCs w:val="32"/>
          <w:lang w:val="en-US" w:eastAsia="zh-CN" w:bidi="ar-SA"/>
          <w:highlight w:val="auto"/>
        </w:rPr>
        <w:t>。授予中小企业合同金额</w:t>
      </w:r>
      <w:r>
        <w:rPr>
          <w:rFonts w:ascii="仿宋_GB2312" w:eastAsia="仿宋_GB2312" w:cs="仿宋_GB2312" w:hint="eastAsia"/>
          <w:sz w:val="32"/>
          <w:szCs w:val="32"/>
        </w:rPr>
        <w:t>91.21</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98.8</w:t>
      </w:r>
      <w:r>
        <w:rPr>
          <w:rFonts w:ascii="仿宋_GB2312" w:eastAsia="仿宋_GB2312" w:cs="仿宋_GB2312" w:hint="eastAsia"/>
          <w:color w:val="auto"/>
          <w:kern w:val="2"/>
          <w:sz w:val="32"/>
          <w:szCs w:val="32"/>
          <w:lang w:val="en-US" w:eastAsia="zh-CN" w:bidi="ar-SA"/>
          <w:highlight w:val="auto"/>
        </w:rPr>
        <w:t>%，其中：授予小微企业合同金额</w:t>
      </w:r>
      <w:r>
        <w:rPr>
          <w:rFonts w:ascii="仿宋_GB2312" w:eastAsia="仿宋_GB2312" w:cs="仿宋_GB2312" w:hint="eastAsia"/>
          <w:sz w:val="32"/>
          <w:szCs w:val="32"/>
        </w:rPr>
        <w:t>91.21</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98.8</w:t>
      </w:r>
      <w:r>
        <w:rPr>
          <w:rFonts w:ascii="仿宋_GB2312" w:eastAsia="仿宋_GB2312" w:cs="仿宋_GB2312" w:hint="eastAsia"/>
          <w:color w:val="auto"/>
          <w:kern w:val="2"/>
          <w:sz w:val="32"/>
          <w:szCs w:val="32"/>
          <w:lang w:val="en-US" w:eastAsia="zh-CN" w:bidi="ar-SA"/>
          <w:highlight w:val="auto"/>
        </w:rPr>
        <w:t>%。</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37" w:name="_Toc15377224"/>
      <w:r>
        <w:rPr>
          <w:rFonts w:ascii="Times New Roman" w:eastAsia="楷体_GB2312" w:cs="楷体_GB2312" w:hAnsi="Times New Roman" w:hint="eastAsia"/>
          <w:b/>
          <w:color w:val="auto"/>
          <w:sz w:val="32"/>
          <w:szCs w:val="32"/>
          <w:highlight w:val="auto"/>
        </w:rPr>
        <w:t>（三）国有资产占有使用情况</w:t>
      </w:r>
      <w:bookmarkEnd w:id="37"/>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截至2024年12月31日，</w:t>
      </w:r>
      <w:r>
        <w:rPr>
          <w:rFonts w:ascii="仿宋_GB2312" w:eastAsia="仿宋_GB2312" w:cs="仿宋_GB2312" w:hint="eastAsia"/>
          <w:sz w:val="32"/>
          <w:szCs w:val="32"/>
        </w:rPr>
        <w:t>攀枝花市第二人民医院</w:t>
      </w:r>
      <w:r>
        <w:rPr>
          <w:rFonts w:ascii="仿宋_GB2312" w:eastAsia="仿宋_GB2312" w:cs="仿宋_GB2312" w:hint="eastAsia"/>
          <w:color w:val="auto"/>
          <w:kern w:val="2"/>
          <w:sz w:val="32"/>
          <w:szCs w:val="32"/>
          <w:lang w:val="en-US" w:eastAsia="zh-CN" w:bidi="ar-SA"/>
          <w:highlight w:val="auto"/>
        </w:rPr>
        <w:t>共有车辆</w:t>
      </w:r>
      <w:r>
        <w:rPr>
          <w:rFonts w:ascii="仿宋_GB2312" w:eastAsia="仿宋_GB2312" w:cs="仿宋_GB2312" w:hint="eastAsia"/>
          <w:sz w:val="32"/>
          <w:szCs w:val="32"/>
        </w:rPr>
        <w:t>7</w:t>
      </w:r>
      <w:r>
        <w:rPr>
          <w:rFonts w:ascii="仿宋_GB2312" w:eastAsia="仿宋_GB2312" w:cs="仿宋_GB2312" w:hint="eastAsia"/>
          <w:color w:val="auto"/>
          <w:kern w:val="2"/>
          <w:sz w:val="32"/>
          <w:szCs w:val="32"/>
          <w:lang w:val="en-US" w:eastAsia="zh-CN" w:bidi="ar-SA"/>
          <w:highlight w:val="auto"/>
        </w:rPr>
        <w:t>辆，其中：主要负责人用车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辆、机要通信用车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辆、应急保障用车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辆、其他用车其他用车7辆，其他用车主要是用于</w:t>
      </w:r>
      <w:r>
        <w:rPr>
          <w:rFonts w:ascii="仿宋_GB2312" w:eastAsia="仿宋_GB2312" w:cs="仿宋_GB2312"/>
          <w:color w:val="auto"/>
          <w:kern w:val="2"/>
          <w:sz w:val="32"/>
          <w:szCs w:val="32"/>
          <w:lang w:val="en-US" w:eastAsia="zh-CN" w:bidi="ar-SA"/>
          <w:highlight w:val="auto"/>
        </w:rPr>
        <w:t>医疗救护及公务使用。</w:t>
      </w:r>
      <w:r>
        <w:rPr>
          <w:rFonts w:ascii="仿宋_GB2312" w:eastAsia="仿宋_GB2312" w:cs="仿宋_GB2312" w:hint="eastAsia"/>
          <w:color w:val="auto"/>
          <w:kern w:val="2"/>
          <w:sz w:val="32"/>
          <w:szCs w:val="32"/>
          <w:lang w:val="en-US" w:eastAsia="zh-CN" w:bidi="ar-SA"/>
          <w:highlight w:val="auto"/>
        </w:rPr>
        <w:t>单价100万元（含）以上设备（不含车辆）</w:t>
      </w:r>
      <w:r>
        <w:rPr>
          <w:rFonts w:ascii="仿宋_GB2312" w:eastAsia="仿宋_GB2312" w:cs="仿宋_GB2312" w:hint="eastAsia"/>
          <w:sz w:val="32"/>
          <w:szCs w:val="32"/>
        </w:rPr>
        <w:t>23</w:t>
      </w:r>
      <w:r>
        <w:rPr>
          <w:rFonts w:ascii="仿宋_GB2312" w:eastAsia="仿宋_GB2312" w:cs="仿宋_GB2312" w:hint="eastAsia"/>
          <w:color w:val="auto"/>
          <w:kern w:val="2"/>
          <w:sz w:val="32"/>
          <w:szCs w:val="32"/>
          <w:lang w:val="en-US" w:eastAsia="zh-CN" w:bidi="ar-SA"/>
          <w:highlight w:val="auto"/>
        </w:rPr>
        <w:t>台（套）</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r>
        <w:rPr>
          <w:rFonts w:ascii="Times New Roman" w:eastAsia="楷体_GB2312" w:cs="楷体_GB2312" w:hAnsi="Times New Roman" w:hint="eastAsia"/>
          <w:b/>
          <w:color w:val="auto"/>
          <w:sz w:val="32"/>
          <w:szCs w:val="32"/>
          <w:highlight w:val="auto"/>
        </w:rPr>
        <w:t>（四）预算绩效管理情况</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根据预算绩效管理要求</w:t>
      </w:r>
      <w:r>
        <w:rPr>
          <w:rFonts w:eastAsia="仿宋_GB2312" w:cs="仿宋_GB2312" w:hint="eastAsia"/>
          <w:color w:val="auto"/>
          <w:kern w:val="2"/>
          <w:sz w:val="32"/>
          <w:szCs w:val="32"/>
          <w:lang w:val="en-US" w:eastAsia="zh-CN" w:bidi="ar-SA"/>
          <w:highlight w:val="auto"/>
        </w:rPr>
        <w:t>，本单位在2024年度预算编制阶段，组织对医疗服务与保障能力提升（公立医院综合改革中央资金）、医疗服务与保障能力提升（公立医院综合改革）、基本公共卫生服务、医疗服务与保障能力提升（医疗卫生机构能力建设）等12个项目开展了预算事前绩效评估，对12个项目编制了绩效目标，预算执行过程中，选取12个项目开展绩效监控，组织对12个项目开展绩效自评，绩效自评表详见第四部分附件。</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p>
    <w:p>
      <w:pPr>
        <w:spacing w:line="600" w:lineRule="exact"/>
        <w:jc w:val="center"/>
        <w:outlineLvl w:val="0"/>
        <w:rPr>
          <w:rFonts w:ascii="Times New Roman" w:eastAsia="黑体" w:hAnsi="Times New Roman" w:hint="eastAsia"/>
          <w:color w:val="auto"/>
          <w:sz w:val="44"/>
          <w:szCs w:val="44"/>
          <w:highlight w:val="auto"/>
        </w:rPr>
      </w:pPr>
      <w:bookmarkStart w:id="38" w:name="_Toc15377225"/>
      <w:bookmarkStart w:id="39" w:name="_Toc15396613"/>
      <w:r>
        <w:rPr>
          <w:rFonts w:ascii="Times New Roman" w:eastAsia="黑体" w:hAnsi="Times New Roman" w:hint="eastAsia"/>
          <w:color w:val="auto"/>
          <w:sz w:val="44"/>
          <w:szCs w:val="44"/>
          <w:highlight w:val="auto"/>
        </w:rPr>
        <w:t>第</w:t>
      </w:r>
      <w:r>
        <w:rPr>
          <w:rFonts w:eastAsia="黑体" w:hint="eastAsia"/>
          <w:color w:val="auto"/>
          <w:sz w:val="44"/>
          <w:szCs w:val="44"/>
          <w:lang w:eastAsia="zh-CN"/>
          <w:highlight w:val="auto"/>
        </w:rPr>
        <w:t>三</w:t>
      </w:r>
      <w:r>
        <w:rPr>
          <w:rFonts w:ascii="Times New Roman" w:eastAsia="黑体" w:hAnsi="Times New Roman" w:hint="eastAsia"/>
          <w:color w:val="auto"/>
          <w:sz w:val="44"/>
          <w:szCs w:val="44"/>
          <w:highlight w:val="auto"/>
        </w:rPr>
        <w:t>部分</w:t>
      </w:r>
      <w:r>
        <w:rPr>
          <w:rFonts w:ascii="Times New Roman" w:eastAsia="黑体" w:hAnsi="Times New Roman" w:hint="eastAsia"/>
          <w:color w:val="auto"/>
          <w:sz w:val="44"/>
          <w:szCs w:val="44"/>
          <w:lang w:val="en-US" w:eastAsia="zh-CN"/>
          <w:highlight w:val="auto"/>
        </w:rPr>
        <w:t xml:space="preserve"> </w:t>
      </w:r>
      <w:r>
        <w:rPr>
          <w:rFonts w:eastAsia="黑体"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名词解释</w:t>
      </w:r>
      <w:bookmarkEnd w:id="38"/>
      <w:bookmarkEnd w:id="39"/>
    </w:p>
    <w:p>
      <w:pPr>
        <w:spacing w:line="600" w:lineRule="exact"/>
        <w:jc w:val="left"/>
        <w:rPr>
          <w:rFonts w:ascii="Times New Roman" w:hAnsi="Times New Roman"/>
          <w:b/>
          <w:color w:val="auto"/>
          <w:sz w:val="44"/>
          <w:szCs w:val="44"/>
          <w:highlight w:val="auto"/>
        </w:rPr>
      </w:pP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bookmarkStart w:id="40" w:name="_Toc15377226"/>
      <w:r>
        <w:rPr>
          <w:rFonts w:ascii="Times New Roman" w:eastAsia="仿宋_GB2312" w:cs="仿宋_GB2312" w:hAnsi="Times New Roman" w:hint="eastAsia"/>
          <w:color w:val="auto"/>
          <w:kern w:val="2"/>
          <w:sz w:val="32"/>
          <w:szCs w:val="32"/>
          <w:lang w:val="en-US" w:eastAsia="zh-CN" w:bidi="ar-SA"/>
          <w:highlight w:val="auto"/>
        </w:rPr>
        <w:t>1.财政拨款收入：指单位从同级财政部门取得的财政预算资金，包括基本拨款收入和项目拨款收入。</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2.事业收入：指事业单位开展专业业务活动及辅助活动取得的收入。不包括从同级政府部门取得的各类财政拨款，如医疗收入等。</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3.其他收入：指单位取得的除上述收入以外的各项收入。主要是捐赠收入、利息收入、康养收入等。 </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4.使用非财政拨款结余（含专用结余）：指事业单位使用以前年度积累的非财政拨款结余弥补当年收支差额的金额。 </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5.年初结转和结余：指以前年度尚未完成、结转到本年按有关规定继续使用的资金。 </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6.结余分配：指事业单位按照会计制度规定缴纳的所得税、提取的专用结余以及转入非财政拨款结余的金额等。</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7.年末结转和结余：指单位按有关规定结转到下年或以后年度继续使用的资金。</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9.一般公共服务（类）组织事务（款）其他组织事务支出（项）：指其他用于中国共产党组织部门的事务支出。。</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10.社会保障和就业（类）人力资源和社会保障管理事务（款）其他人力资源和社会保障管理事务支出（项）：指人力资源和社会保障管理事务支出。</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11.社会保障和就业（类）行政事业单位养老支出（款）事业单位离退休（项）:指事业单位开支的离退休经费。</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12.社会保障和就业（类）行政事业单位养老支出（款）机关事业单位基本养老保险缴费支出（项）:指机关事业单位实施养老保险制度由单位缴纳的基本养老保险费支出。</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13.社会保障和就业（类）抚恤（款）死亡抚恤（项）:指按规定用于烈士和牺牲、病故人员家属的一次性和定期抚恤金以及丧葬补助费。</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14.社会保障和就业（类）社会福利（款）其他社会福利支出（项）：指其他用于社会福利方面的支出。</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15.卫生健康（类）公立医院（款）综合医院（项）:指卫生健康、中医部门所属的城市综合性医院、独立门诊、教学医院、疗养院和县医院的支出。</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16.卫生健康（类）公立医院（款）其他公立医院支出（项）:指其他用于公立医院方面的支出。</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17.卫生健康（类）公共卫生（款）基本公共卫生服务（项）:指基本公共卫生服务支出。</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18.卫生健康（类）公共卫生（款）重大公共卫生服务（项）:指重大疾病预防控制等重大公共卫生服务项目支出。</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19.卫生健康（类）其他卫生健康支出（款）其他卫生健康支出（项）:指其他用于卫生健康方面的支出。</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20.农林水（类）农业农村（款）其他农业农村支出（项）：指用于其他农村方面的支出。</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21.基本支出：指为保障机构正常运转、完成日常工作任务而发生的人员支出和公用支出。</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 xml:space="preserve">22.项目支出：指在基本支出之外为完成特定行政任务和事业发展目标所发生的支出。 </w:t>
      </w:r>
    </w:p>
    <w:p>
      <w:pPr>
        <w:spacing w:line="600" w:lineRule="exact"/>
        <w:jc w:val="left"/>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23.“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left"/>
        <w:rPr>
          <w:rStyle w:val="1Char"/>
          <w:rFonts w:ascii="Times New Roman" w:eastAsia="黑体" w:hAnsi="Times New Roman" w:hint="eastAsia"/>
          <w:b w:val="0"/>
          <w:color w:val="auto"/>
          <w:lang w:eastAsia="zh-CN"/>
          <w:highlight w:val="auto"/>
        </w:rPr>
      </w:pPr>
      <w:r>
        <w:rPr>
          <w:rFonts w:ascii="Times New Roman" w:eastAsia="仿宋_GB2312" w:cs="仿宋_GB2312" w:hAnsi="Times New Roman" w:hint="eastAsia"/>
          <w:color w:val="auto"/>
          <w:kern w:val="2"/>
          <w:sz w:val="32"/>
          <w:szCs w:val="32"/>
          <w:lang w:val="en-US" w:eastAsia="zh-CN" w:bidi="ar-SA"/>
          <w:highlight w:val="auto"/>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br w:type="page"/>
      </w:r>
      <w:bookmarkStart w:id="41" w:name="_Toc15396614"/>
      <w:r>
        <w:rPr>
          <w:rFonts w:ascii="Times New Roman" w:eastAsia="黑体" w:hAnsi="Times New Roman" w:hint="eastAsia"/>
          <w:color w:val="auto"/>
          <w:sz w:val="44"/>
          <w:szCs w:val="44"/>
          <w:highlight w:val="auto"/>
        </w:rPr>
        <w:t>第四部分</w:t>
      </w:r>
      <w:r>
        <w:rPr>
          <w:rFonts w:ascii="Times New Roman" w:eastAsia="黑体" w:hAnsi="Times New Roman"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 xml:space="preserve"> 附件</w:t>
      </w:r>
      <w:bookmarkEnd w:id="41"/>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Times New Roman" w:eastAsia="黑体" w:cs="黑体" w:hAnsi="Times New Roman" w:hint="eastAsia"/>
          <w:color w:val="FF0000"/>
          <w:sz w:val="32"/>
          <w:szCs w:val="32"/>
          <w:highlight w:val="auto"/>
        </w:rPr>
      </w:pPr>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Times New Roman" w:eastAsia="黑体" w:cs="Times New Roman" w:hAnsi="Times New Roman"/>
          <w:color w:val="000000"/>
          <w:kern w:val="0"/>
          <w:sz w:val="24"/>
          <w:szCs w:val="32"/>
          <w:shd w:val="clear" w:color="auto" w:fill="FFFFFF"/>
          <w:highlight w:val="auto"/>
        </w:rPr>
      </w:pPr>
      <w:r>
        <w:rPr>
          <w:rFonts w:ascii="Times New Roman" w:eastAsia="黑体" w:cs="黑体" w:hAnsi="Times New Roman" w:hint="eastAsia"/>
          <w:color w:val="auto"/>
          <w:sz w:val="32"/>
          <w:szCs w:val="32"/>
          <w:highlight w:val="auto"/>
        </w:rPr>
        <w:t>附件</w:t>
      </w:r>
      <w:r>
        <w:rPr>
          <w:rFonts w:ascii="Times New Roman" w:eastAsia="黑体" w:cs="黑体" w:hAnsi="Times New Roman" w:hint="eastAsia"/>
          <w:color w:val="auto"/>
          <w:sz w:val="32"/>
          <w:szCs w:val="32"/>
          <w:lang w:val="en-US" w:eastAsia="zh-CN"/>
          <w:highlight w:val="auto"/>
        </w:rPr>
        <w:t>1</w:t>
      </w:r>
    </w:p>
    <w:p>
      <w:pPr>
        <w:pStyle w:val="17"/>
        <w:keepNext w:val="0"/>
        <w:keepLines w:val="0"/>
        <w:pageBreakBefore w:val="0"/>
        <w:widowControl w:val="0"/>
        <w:kinsoku/>
        <w:wordWrap/>
        <w:overflowPunct/>
        <w:topLinePunct w:val="0"/>
        <w:autoSpaceDE/>
        <w:autoSpaceDN/>
        <w:bidi w:val="0"/>
        <w:spacing w:line="560" w:lineRule="exact"/>
        <w:ind w:leftChars="0" w:left="0" w:firstLineChars="200" w:firstLine="640"/>
        <w:textAlignment w:val="auto"/>
        <w:rPr>
          <w:rFonts w:ascii="Times New Roman" w:eastAsia="仿宋_GB2312" w:cs="Times New Roman" w:hAnsi="Times New Roman" w:hint="eastAsia"/>
          <w:kern w:val="2"/>
          <w:sz w:val="32"/>
          <w:szCs w:val="32"/>
          <w:u w:val="none"/>
          <w:lang w:val="zh-CN" w:eastAsia="zh-CN"/>
        </w:rPr>
      </w:pPr>
      <w:r>
        <w:rPr>
          <w:rFonts w:ascii="Times New Roman" w:eastAsia="仿宋_GB2312" w:cs="Times New Roman" w:hAnsi="Times New Roman" w:hint="eastAsia"/>
          <w:kern w:val="2"/>
          <w:sz w:val="32"/>
          <w:szCs w:val="32"/>
          <w:u w:val="none"/>
          <w:lang w:val="zh-CN" w:eastAsia="zh-CN"/>
        </w:rPr>
        <w:t>附表：</w:t>
      </w:r>
      <w:r>
        <w:rPr>
          <w:rFonts w:ascii="Times New Roman" w:eastAsia="仿宋_GB2312" w:cs="Times New Roman" w:hAnsi="Times New Roman" w:hint="eastAsia"/>
          <w:kern w:val="2"/>
          <w:sz w:val="32"/>
          <w:szCs w:val="32"/>
          <w:u w:val="none"/>
          <w:lang w:val="en-US" w:eastAsia="zh-CN"/>
        </w:rPr>
        <w:t>部门预算项目支出绩效自评表（2024年度）</w:t>
      </w:r>
    </w:p>
    <w:p>
      <w:pPr>
        <w:pStyle w:val="17"/>
        <w:keepNext w:val="0"/>
        <w:keepLines w:val="0"/>
        <w:pageBreakBefore w:val="0"/>
        <w:widowControl w:val="0"/>
        <w:kinsoku/>
        <w:wordWrap/>
        <w:overflowPunct/>
        <w:topLinePunct w:val="0"/>
        <w:autoSpaceDE/>
        <w:autoSpaceDN/>
        <w:bidi w:val="0"/>
        <w:spacing w:line="560" w:lineRule="exact"/>
        <w:ind w:leftChars="0" w:left="0" w:firstLineChars="200" w:firstLine="640"/>
        <w:textAlignment w:val="auto"/>
        <w:rPr>
          <w:rFonts w:ascii="Times New Roman" w:eastAsia="仿宋_GB2312" w:cs="仿宋_GB2312" w:hAnsi="Times New Roman" w:hint="eastAsia"/>
          <w:b w:val="0"/>
          <w:bCs w:val="0"/>
          <w:kern w:val="0"/>
          <w:position w:val="0"/>
          <w:sz w:val="32"/>
          <w:szCs w:val="32"/>
          <w:lang w:val="zh-CN" w:eastAsia="zh-CN" w:bidi="ar-SA"/>
          <w:highlight w:val="auto"/>
        </w:rPr>
      </w:pPr>
      <w:r>
        <w:rPr>
          <w:rFonts w:ascii="Times New Roman" w:eastAsia="仿宋_GB2312" w:cs="仿宋_GB2312" w:hAnsi="Times New Roman" w:hint="eastAsia"/>
          <w:b w:val="0"/>
          <w:bCs w:val="0"/>
          <w:kern w:val="0"/>
          <w:position w:val="0"/>
          <w:sz w:val="32"/>
          <w:szCs w:val="32"/>
          <w:lang w:val="en-US" w:eastAsia="zh-CN" w:bidi="ar-SA"/>
          <w:highlight w:val="auto"/>
        </w:rPr>
        <w:t>（注：按照绩效自评工作安排，各部门已在预算管理一体化系统绩效自评模块上传“部门预算项目支出绩效自评表（2024年度）”，该表格应作为附表予以公开）</w:t>
      </w:r>
    </w:p>
    <w:p>
      <w:pPr>
        <w:pStyle w:val="17"/>
        <w:keepNext w:val="0"/>
        <w:keepLines w:val="0"/>
        <w:pageBreakBefore w:val="0"/>
        <w:widowControl w:val="0"/>
        <w:kinsoku/>
        <w:wordWrap/>
        <w:overflowPunct/>
        <w:topLinePunct w:val="0"/>
        <w:autoSpaceDE/>
        <w:autoSpaceDN/>
        <w:bidi w:val="0"/>
        <w:spacing w:line="560" w:lineRule="exact"/>
        <w:textAlignment w:val="auto"/>
        <w:rPr>
          <w:rFonts w:ascii="Times New Roman" w:cs="Times New Roman" w:hAnsi="Times New Roman" w:hint="eastAsia"/>
          <w:sz w:val="32"/>
          <w:szCs w:val="32"/>
          <w:lang w:val="zh-CN" w:eastAsia="zh-CN"/>
          <w:highlight w:val="yellow"/>
        </w:rPr>
      </w:pPr>
    </w:p>
    <w:p>
      <w:pPr>
        <w:pStyle w:val="15"/>
        <w:rPr>
          <w:rFonts w:ascii="Times New Roman" w:cs="宋体" w:hAnsi="Times New Roman" w:hint="eastAsia"/>
          <w:color w:val="FF0000"/>
          <w:kern w:val="0"/>
          <w:sz w:val="32"/>
          <w:szCs w:val="32"/>
          <w:shd w:val="clear" w:color="auto" w:fill="FFFFFF"/>
          <w:lang w:val="zh-CN"/>
          <w:highlight w:val="yellow"/>
        </w:rPr>
      </w:pPr>
    </w:p>
    <w:p>
      <w:pPr>
        <w:rPr>
          <w:rFonts w:ascii="Times New Roman" w:eastAsia="仿宋_GB2312" w:cs="仿宋_GB2312" w:hAnsi="Times New Roman" w:hint="eastAsia"/>
          <w:b w:val="0"/>
          <w:bCs w:val="0"/>
          <w:kern w:val="0"/>
          <w:position w:val="0"/>
          <w:sz w:val="32"/>
          <w:szCs w:val="32"/>
          <w:lang w:val="en-US" w:eastAsia="zh-CN" w:bidi="ar-SA"/>
          <w:highlight w:val="auto"/>
        </w:rPr>
      </w:pPr>
      <w:r>
        <w:rPr>
          <w:rFonts w:ascii="Times New Roman" w:eastAsia="黑体" w:cs="黑体" w:hAnsi="Times New Roman" w:hint="eastAsia"/>
          <w:color w:val="auto"/>
          <w:kern w:val="0"/>
          <w:sz w:val="32"/>
          <w:szCs w:val="32"/>
          <w:shd w:val="clear" w:color="auto" w:fill="FFFFFF"/>
          <w:lang w:val="zh-CN"/>
          <w:highlight w:val="auto"/>
        </w:rPr>
        <w:br w:type="page"/>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ascii="Times New Roman" w:eastAsia="仿宋_GB2312" w:cs="仿宋_GB2312" w:hAnsi="Times New Roman" w:hint="eastAsia"/>
          <w:b w:val="0"/>
          <w:bCs w:val="0"/>
          <w:kern w:val="0"/>
          <w:position w:val="0"/>
          <w:sz w:val="32"/>
          <w:szCs w:val="32"/>
          <w:lang w:val="en-US" w:eastAsia="zh-CN" w:bidi="ar-SA"/>
          <w:highlight w:val="auto"/>
        </w:rPr>
      </w:pPr>
    </w:p>
    <w:p>
      <w:pPr>
        <w:keepNext w:val="0"/>
        <w:keepLines w:val="0"/>
        <w:pageBreakBefore w:val="0"/>
        <w:widowControl w:val="0"/>
        <w:kinsoku/>
        <w:wordWrap/>
        <w:overflowPunct/>
        <w:topLinePunct w:val="0"/>
        <w:autoSpaceDE/>
        <w:autoSpaceDN/>
        <w:bidi w:val="0"/>
        <w:spacing w:line="578" w:lineRule="exact"/>
        <w:jc w:val="center"/>
        <w:textAlignment w:val="auto"/>
        <w:outlineLvl w:val="9"/>
        <w:rPr>
          <w:rFonts w:ascii="Times New Roman" w:eastAsia="仿宋" w:hAnsi="Times New Roman" w:hint="eastAsia"/>
          <w:b w:val="0"/>
          <w:color w:val="auto"/>
          <w:highlight w:val="auto"/>
        </w:rPr>
      </w:pPr>
      <w:bookmarkStart w:id="42" w:name="_Toc15396618"/>
      <w:r>
        <w:rPr>
          <w:rFonts w:ascii="Times New Roman" w:eastAsia="黑体" w:hAnsi="Times New Roman" w:hint="eastAsia"/>
          <w:color w:val="auto"/>
          <w:sz w:val="44"/>
          <w:szCs w:val="44"/>
          <w:highlight w:val="auto"/>
        </w:rPr>
        <w:t>第</w:t>
      </w:r>
      <w:r>
        <w:rPr>
          <w:rStyle w:val="1Char"/>
          <w:rFonts w:ascii="Times New Roman" w:eastAsia="黑体" w:hAnsi="Times New Roman" w:hint="eastAsia"/>
          <w:b w:val="0"/>
          <w:color w:val="auto"/>
          <w:highlight w:val="auto"/>
        </w:rPr>
        <w:t>五部分 附表</w:t>
      </w:r>
      <w:bookmarkStart w:id="43" w:name="_Toc15396619"/>
      <w:bookmarkEnd w:id="40"/>
      <w:bookmarkEnd w:id="42"/>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一、收入支出决算总表</w:t>
      </w:r>
      <w:bookmarkEnd w:id="43"/>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44" w:name="_Toc15396620"/>
      <w:r>
        <w:rPr>
          <w:rFonts w:ascii="Times New Roman" w:eastAsia="仿宋_GB2312" w:cs="仿宋_GB2312" w:hAnsi="Times New Roman" w:hint="eastAsia"/>
          <w:color w:val="auto"/>
          <w:sz w:val="32"/>
          <w:szCs w:val="32"/>
          <w:highlight w:val="auto"/>
        </w:rPr>
        <w:t>二、收入决算表</w:t>
      </w:r>
      <w:bookmarkEnd w:id="44"/>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45" w:name="_Toc15396621"/>
      <w:r>
        <w:rPr>
          <w:rFonts w:ascii="Times New Roman" w:eastAsia="仿宋_GB2312" w:cs="仿宋_GB2312" w:hAnsi="Times New Roman" w:hint="eastAsia"/>
          <w:color w:val="auto"/>
          <w:sz w:val="32"/>
          <w:szCs w:val="32"/>
          <w:highlight w:val="auto"/>
        </w:rPr>
        <w:t>三、支出决算表</w:t>
      </w:r>
      <w:bookmarkEnd w:id="45"/>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46" w:name="_Toc15396622"/>
      <w:r>
        <w:rPr>
          <w:rFonts w:ascii="Times New Roman" w:eastAsia="仿宋_GB2312" w:cs="仿宋_GB2312" w:hAnsi="Times New Roman" w:hint="eastAsia"/>
          <w:color w:val="auto"/>
          <w:sz w:val="32"/>
          <w:szCs w:val="32"/>
          <w:highlight w:val="auto"/>
        </w:rPr>
        <w:t>四、财政拨款收入支出决算总表</w:t>
      </w:r>
      <w:bookmarkEnd w:id="46"/>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47" w:name="_Toc15396623"/>
      <w:r>
        <w:rPr>
          <w:rFonts w:ascii="Times New Roman" w:eastAsia="仿宋_GB2312" w:cs="仿宋_GB2312" w:hAnsi="Times New Roman" w:hint="eastAsia"/>
          <w:color w:val="auto"/>
          <w:sz w:val="32"/>
          <w:szCs w:val="32"/>
          <w:highlight w:val="auto"/>
        </w:rPr>
        <w:t>五、财政拨款支出决算明细表</w:t>
      </w:r>
      <w:bookmarkStart w:id="48" w:name="_Toc15396624"/>
      <w:bookmarkEnd w:id="47"/>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六、一般公共预算财政拨款支出决算表</w:t>
      </w:r>
      <w:bookmarkEnd w:id="48"/>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49" w:name="_Toc15396625"/>
      <w:r>
        <w:rPr>
          <w:rFonts w:ascii="Times New Roman" w:eastAsia="仿宋_GB2312" w:cs="仿宋_GB2312" w:hAnsi="Times New Roman" w:hint="eastAsia"/>
          <w:color w:val="auto"/>
          <w:sz w:val="32"/>
          <w:szCs w:val="32"/>
          <w:highlight w:val="auto"/>
        </w:rPr>
        <w:t>七、一般公共预算财政拨款支出决算明细表</w:t>
      </w:r>
      <w:bookmarkEnd w:id="49"/>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0" w:name="_Toc15396626"/>
      <w:r>
        <w:rPr>
          <w:rFonts w:ascii="Times New Roman" w:eastAsia="仿宋_GB2312" w:cs="仿宋_GB2312" w:hAnsi="Times New Roman" w:hint="eastAsia"/>
          <w:color w:val="auto"/>
          <w:sz w:val="32"/>
          <w:szCs w:val="32"/>
          <w:highlight w:val="auto"/>
        </w:rPr>
        <w:t>八、一般公共预算财政拨款基本支出决算表</w:t>
      </w:r>
      <w:bookmarkEnd w:id="50"/>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1" w:name="_Toc15396627"/>
      <w:r>
        <w:rPr>
          <w:rFonts w:ascii="Times New Roman" w:eastAsia="仿宋_GB2312" w:cs="仿宋_GB2312" w:hAnsi="Times New Roman" w:hint="eastAsia"/>
          <w:color w:val="auto"/>
          <w:sz w:val="32"/>
          <w:szCs w:val="32"/>
          <w:highlight w:val="auto"/>
        </w:rPr>
        <w:t>九、一般公共预算财政拨款项目支出决算表</w:t>
      </w:r>
      <w:bookmarkEnd w:id="51"/>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2" w:name="_Toc15396628"/>
      <w:r>
        <w:rPr>
          <w:rFonts w:ascii="Times New Roman" w:eastAsia="仿宋_GB2312" w:cs="仿宋_GB2312" w:hAnsi="Times New Roman" w:hint="eastAsia"/>
          <w:color w:val="auto"/>
          <w:sz w:val="32"/>
          <w:szCs w:val="32"/>
          <w:highlight w:val="auto"/>
        </w:rPr>
        <w:t>十、</w:t>
      </w:r>
      <w:bookmarkEnd w:id="52"/>
      <w:r>
        <w:rPr>
          <w:rFonts w:ascii="Times New Roman" w:eastAsia="仿宋_GB2312" w:cs="仿宋_GB2312" w:hAnsi="Times New Roman" w:hint="eastAsia"/>
          <w:color w:val="auto"/>
          <w:sz w:val="32"/>
          <w:szCs w:val="32"/>
          <w:highlight w:val="auto"/>
        </w:rPr>
        <w:t>政府性基金预算财政拨款收入支出决算表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3" w:name="_Toc15396629"/>
      <w:r>
        <w:rPr>
          <w:rFonts w:ascii="Times New Roman" w:eastAsia="仿宋_GB2312" w:cs="仿宋_GB2312" w:hAnsi="Times New Roman" w:hint="eastAsia"/>
          <w:color w:val="auto"/>
          <w:sz w:val="32"/>
          <w:szCs w:val="32"/>
          <w:highlight w:val="auto"/>
        </w:rPr>
        <w:t>十一、</w:t>
      </w:r>
      <w:bookmarkEnd w:id="53"/>
      <w:r>
        <w:rPr>
          <w:rFonts w:ascii="Times New Roman" w:eastAsia="仿宋_GB2312" w:cs="仿宋_GB2312" w:hAnsi="Times New Roman" w:hint="eastAsia"/>
          <w:color w:val="auto"/>
          <w:sz w:val="32"/>
          <w:szCs w:val="32"/>
          <w:highlight w:val="auto"/>
        </w:rPr>
        <w:t>国有资本经营预算</w:t>
      </w:r>
      <w:r>
        <w:rPr>
          <w:rFonts w:ascii="Times New Roman" w:eastAsia="仿宋_GB2312" w:cs="仿宋_GB2312" w:hAnsi="Times New Roman" w:hint="eastAsia"/>
          <w:color w:val="auto"/>
          <w:sz w:val="32"/>
          <w:szCs w:val="32"/>
          <w:lang w:eastAsia="zh-CN"/>
          <w:highlight w:val="auto"/>
        </w:rPr>
        <w:t>财政拨款收入</w:t>
      </w:r>
      <w:r>
        <w:rPr>
          <w:rFonts w:ascii="Times New Roman" w:eastAsia="仿宋_GB2312" w:cs="仿宋_GB2312" w:hAnsi="Times New Roman" w:hint="eastAsia"/>
          <w:color w:val="auto"/>
          <w:sz w:val="32"/>
          <w:szCs w:val="32"/>
          <w:highlight w:val="auto"/>
        </w:rPr>
        <w:t>支出决算表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4" w:name="_Toc15396630"/>
      <w:r>
        <w:rPr>
          <w:rFonts w:ascii="Times New Roman" w:eastAsia="仿宋_GB2312" w:cs="仿宋_GB2312" w:hAnsi="Times New Roman" w:hint="eastAsia"/>
          <w:color w:val="auto"/>
          <w:sz w:val="32"/>
          <w:szCs w:val="32"/>
          <w:highlight w:val="auto"/>
        </w:rPr>
        <w:t>十二、</w:t>
      </w:r>
      <w:bookmarkEnd w:id="54"/>
      <w:r>
        <w:rPr>
          <w:rFonts w:ascii="Times New Roman" w:eastAsia="仿宋_GB2312" w:cs="仿宋_GB2312" w:hAnsi="Times New Roman" w:hint="eastAsia"/>
          <w:color w:val="auto"/>
          <w:sz w:val="32"/>
          <w:szCs w:val="32"/>
          <w:lang w:eastAsia="zh-CN"/>
          <w:highlight w:val="auto"/>
        </w:rPr>
        <w:t>国有资本经营预算财政拨款支出决算表</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lang w:eastAsia="zh-CN"/>
          <w:highlight w:val="auto"/>
        </w:rPr>
      </w:pPr>
      <w:bookmarkStart w:id="55" w:name="_Toc15396631"/>
      <w:r>
        <w:rPr>
          <w:rFonts w:ascii="Times New Roman" w:eastAsia="仿宋_GB2312" w:cs="仿宋_GB2312" w:hAnsi="Times New Roman" w:hint="eastAsia"/>
          <w:color w:val="auto"/>
          <w:sz w:val="32"/>
          <w:szCs w:val="32"/>
          <w:highlight w:val="auto"/>
        </w:rPr>
        <w:t>十三、</w:t>
      </w:r>
      <w:bookmarkEnd w:id="55"/>
      <w:r>
        <w:rPr>
          <w:rFonts w:ascii="Times New Roman" w:eastAsia="仿宋_GB2312" w:cs="仿宋_GB2312" w:hAnsi="Times New Roman" w:hint="eastAsia"/>
          <w:color w:val="auto"/>
          <w:sz w:val="32"/>
          <w:szCs w:val="32"/>
          <w:lang w:eastAsia="zh-CN"/>
          <w:highlight w:val="auto"/>
        </w:rPr>
        <w:t>财政拨款“三公”经费支出决算表</w:t>
      </w:r>
    </w:p>
    <w:p>
      <w:pPr>
        <w:rPr>
          <w:rFonts w:ascii="Times New Roman" w:hAnsi="Times New Roman" w:hint="eastAsia"/>
          <w:lang w:eastAsia="zh-CN"/>
        </w:rPr>
      </w:pPr>
    </w:p>
    <w:sectPr>
      <w:headerReference w:type="default" r:id="rId2"/>
      <w:footerReference w:type="default" r:id="rId3"/>
      <w:pgSz w:w="11906" w:h="16838"/>
      <w:pgMar w:top="1440" w:right="1800" w:bottom="1440" w:left="1800" w:header="851" w:footer="992" w:gutter="0"/>
      <w:pgNumType w:fmt="numberInDash"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script"/>
    <w:pitch w:val="variable"/>
    <w:sig w:usb0="00000000" w:usb1="00000000" w:usb2="00000000" w:usb3="00000000" w:csb0="00040000" w:csb1="00000000"/>
  </w:font>
  <w:font w:name="Times New Roman">
    <w:panose1 w:val="02020603050405020304"/>
    <w:charset w:val="86"/>
    <w:family w:val="auto"/>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7A"/>
    <w:family w:val="auto"/>
    <w:pitch w:val="variable"/>
    <w:sig w:usb0="00000003" w:usb1="288F0000" w:usb2="00000006" w:usb3="00000000" w:csb0="00040001" w:csb1="00000000"/>
  </w:font>
  <w:font w:name="楷体_GB2312">
    <w:altName w:val="楷体"/>
    <w:panose1 w:val="02010609030101010101"/>
    <w:charset w:val="86"/>
    <w:family w:val="auto"/>
    <w:pitch w:val="variable"/>
    <w:sig w:usb0="00000000" w:usb1="00000000" w:usb2="00000000" w:usb3="00000000" w:csb0="00040000" w:csb1="00000000"/>
  </w:font>
  <w:font w:name="仿宋">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
    <w:altName w:val="Arial"/>
    <w:panose1 w:val="00000000000000000000"/>
    <w:charset w:val="00"/>
    <w:family w:val="roman"/>
    <w:pitch w:val="variable"/>
    <w:sig w:usb0="00000000" w:usb1="00000000" w:usb2="00000000" w:usb3="00000000" w:csb0="00000000" w:csb1="00000000"/>
  </w:font>
  <w:font w:name="Helvetica Neue">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p>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85A086B"/>
    <w:multiLevelType w:val="singleLevel"/>
    <w:tmpl w:val="285A086B"/>
    <w:lvl w:ilvl="0">
      <w:start w:val="1"/>
      <w:numFmt w:val="chineseCounting"/>
      <w:lvlRestart w:val="0"/>
      <w:suff w:val="nothing"/>
      <w:lvlText w:val="%1、"/>
      <w:lvlJc w:val="left"/>
      <w:pPr>
        <w:tabs>
          <w:tab w:val="num" w:pos="0"/>
        </w:tabs>
        <w:ind w:left="0" w:hanging="0"/>
      </w:pPr>
      <w:rPr>
        <w:rFonts w:hint="eastAsia"/>
      </w:rPr>
    </w:lvl>
  </w:abstractNum>
  <w:abstractNum w:abstractNumId="1">
    <w:nsid w:val="30814011"/>
    <w:multiLevelType w:val="singleLevel"/>
    <w:tmpl w:val="30814011"/>
    <w:lvl w:ilvl="0">
      <w:start w:val="1"/>
      <w:numFmt w:val="decimal"/>
      <w:lvlRestart w:val="0"/>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toc 3"/>
    <w:basedOn w:val="0"/>
    <w:next w:val="0"/>
    <w:pPr>
      <w:tabs>
        <w:tab w:val="right" w:leader="dot" w:pos="8296"/>
      </w:tabs>
      <w:ind w:leftChars="400" w:left="4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sz w:val="28"/>
      <w:szCs w:val="28"/>
    </w:rPr>
  </w:style>
  <w:style w:type="paragraph" w:styleId="23">
    <w:name w:val="footnote text"/>
    <w:basedOn w:val="0"/>
    <w:next w:val="17"/>
    <w:pPr>
      <w:snapToGrid w:val="0"/>
      <w:jc w:val="left"/>
    </w:pPr>
    <w:rPr>
      <w:sz w:val="18"/>
      <w:szCs w:val="18"/>
    </w:rPr>
  </w:style>
  <w:style w:type="paragraph" w:styleId="24">
    <w:name w:val="toc 2"/>
    <w:basedOn w:val="0"/>
    <w:next w:val="0"/>
    <w:pPr>
      <w:tabs>
        <w:tab w:val="right" w:leader="dot" w:pos="8296"/>
      </w:tabs>
      <w:ind w:leftChars="200" w:left="200"/>
    </w:pPr>
  </w:style>
  <w:style w:type="character" w:styleId="25">
    <w:name w:val="Strong"/>
    <w:basedOn w:val="10"/>
    <w:rPr>
      <w:b/>
    </w:rPr>
  </w:style>
  <w:style w:type="character" w:styleId="26">
    <w:name w:val="Hyperlink"/>
    <w:basedOn w:val="10"/>
    <w:rPr>
      <w:color w:val="0000FF"/>
      <w:u w:val="single"/>
    </w:rPr>
  </w:style>
  <w:style w:type="paragraph" w:customStyle="1" w:styleId="27">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4">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四号正文"/>
    <w:basedOn w:val="0"/>
    <w:pPr>
      <w:spacing w:line="360" w:lineRule="auto"/>
    </w:pPr>
    <w:rPr>
      <w:rFonts w:ascii="??" w:eastAsia="宋体" w:hAnsi="??"/>
      <w:color w:val="000000"/>
      <w:kern w:val="0"/>
      <w:sz w:val="28"/>
      <w:szCs w:val="21"/>
      <w:lang w:val="zh-CN" w:eastAsia="zh-CN"/>
    </w:rPr>
  </w:style>
  <w:style w:type="paragraph" w:customStyle="1" w:styleId="36">
    <w:name w:val="默认"/>
    <w:basedOn w:val="0"/>
    <w:next w:val="0"/>
    <w:pPr>
      <w:widowControl/>
    </w:pPr>
    <w:rPr>
      <w:rFonts w:ascii="Helvetica Neue" w:hAnsi="Helvetica Neue"/>
      <w:color w:val="000000"/>
      <w:sz w:val="22"/>
      <w:lang w:bidi="ar-SA"/>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8"/>
    <w:pPr>
      <w:widowControl w:val="0"/>
      <w:jc w:val="both"/>
    </w:pPr>
    <w:rPr>
      <w:rFonts w:ascii="Times New Roman" w:eastAsia="宋体" w:cs="Times New Roman" w:hAnsi="Times New Roman"/>
      <w:kern w:val="2"/>
      <w:sz w:val="21"/>
      <w:szCs w:val="20"/>
      <w:lang w:val="en-US" w:eastAsia="zh-CN" w:bidi="ar-SA"/>
    </w:rPr>
  </w:style>
  <w:style w:type="paragraph" w:customStyle="1" w:styleId="38">
    <w:name w:val="正文-公1"/>
    <w:basedOn w:val="37"/>
    <w:next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707070"/>
                </a:solidFill>
                <a:latin typeface="Times New Roman"/>
                <a:ea typeface="宋体"/>
                <a:cs typeface="Lucida Sans"/>
              </a:defRPr>
            </a:pPr>
            <a:r>
              <a:rPr lang="zh-CN"/>
              <a:t>收入支出情况对比</a:t>
            </a:r>
          </a:p>
        </c:rich>
      </c:tx>
      <c:layout>
        <c:manualLayout>
          <c:xMode val="edge"/>
          <c:yMode val="edge"/>
          <c:x val="0.34539473"/>
          <c:y val="0.045138888"/>
        </c:manualLayout>
      </c:layout>
      <c:overlay val="0"/>
      <c:spPr>
        <a:noFill/>
        <a:ln>
          <a:noFill/>
        </a:ln>
      </c:spPr>
    </c:title>
    <c:autoTitleDeleted val="1"/>
    <c:plotArea>
      <c:layout/>
      <c:barChart>
        <c:barDir val="col"/>
        <c:grouping val="clustered"/>
        <c:varyColors val="0"/>
        <c:ser>
          <c:idx val="0"/>
          <c:order val="0"/>
          <c:tx>
            <c:v>2023年</c:v>
          </c:tx>
          <c:spPr>
            <a:solidFill>
              <a:srgbClr val="4F81BD"/>
            </a:solidFill>
            <a:ln>
              <a:noFill/>
            </a:ln>
          </c:spPr>
          <c:invertIfNegative val="0"/>
          <c:dLbls>
            <c:showLegendKey val="0"/>
            <c:showVal val="0"/>
            <c:showCatName val="0"/>
            <c:showSerName val="0"/>
            <c:showPercent val="0"/>
            <c:showBubbleSize val="0"/>
            <c:showLeaderLines val="0"/>
          </c:dLbls>
          <c:cat>
            <c:strLit>
              <c:ptCount val="3"/>
              <c:pt idx="0">
                <c:v>预算总收入</c:v>
              </c:pt>
              <c:pt idx="1">
                <c:v>预算总支出</c:v>
              </c:pt>
              <c:pt idx="2">
                <c:v>收支结余</c:v>
              </c:pt>
            </c:strLit>
          </c:cat>
          <c:val>
            <c:numRef>
              <c:f/>
              <c:numCache>
                <c:formatCode>General</c:formatCode>
                <c:ptCount val="3"/>
                <c:pt idx="0">
                  <c:v>23105.63</c:v>
                </c:pt>
                <c:pt idx="1">
                  <c:v>24392.98</c:v>
                </c:pt>
                <c:pt idx="2">
                  <c:v>-1287.35</c:v>
                </c:pt>
              </c:numCache>
            </c:numRef>
          </c:val>
        </c:ser>
        <c:ser>
          <c:idx val="1"/>
          <c:order val="1"/>
          <c:tx>
            <c:v>2024年</c:v>
          </c:tx>
          <c:spPr>
            <a:solidFill>
              <a:srgbClr val="C0504D"/>
            </a:solidFill>
            <a:ln>
              <a:noFill/>
            </a:ln>
          </c:spPr>
          <c:invertIfNegative val="0"/>
          <c:dLbls>
            <c:showLegendKey val="0"/>
            <c:showVal val="0"/>
            <c:showCatName val="0"/>
            <c:showSerName val="0"/>
            <c:showPercent val="0"/>
            <c:showBubbleSize val="0"/>
            <c:showLeaderLines val="0"/>
          </c:dLbls>
          <c:cat>
            <c:strLit>
              <c:ptCount val="3"/>
              <c:pt idx="0">
                <c:v>预算总收入</c:v>
              </c:pt>
              <c:pt idx="1">
                <c:v>预算总支出</c:v>
              </c:pt>
              <c:pt idx="2">
                <c:v>收支结余</c:v>
              </c:pt>
            </c:strLit>
          </c:cat>
          <c:val>
            <c:numRef>
              <c:f/>
              <c:numCache>
                <c:formatCode>General</c:formatCode>
                <c:ptCount val="3"/>
                <c:pt idx="0">
                  <c:v>22933.82</c:v>
                </c:pt>
                <c:pt idx="1">
                  <c:v>23969.95</c:v>
                </c:pt>
                <c:pt idx="2">
                  <c:v>-1036.12</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CFCFCF"/>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Times New Roman"/>
                <a:ea typeface="宋体"/>
                <a:cs typeface="Lucida Sans"/>
              </a:defRPr>
            </a:pPr>
            <a:endParaRPr lang="zh-CN"/>
          </a:p>
        </c:txPr>
        <c:crossesAt val="1.0"/>
        <c:crossBetween val="between"/>
        <c:crossAx val="0"/>
      </c:valAx>
      <c:dTable>
        <c:showHorzBorder val="1"/>
        <c:showVertBorder val="1"/>
        <c:showOutline val="1"/>
        <c:showKeys val="1"/>
        <c:spPr>
          <a:ln w="6350">
            <a:solidFill>
              <a:srgbClr val="F9F9F9"/>
            </a:solidFill>
            <a:prstDash val="solid"/>
          </a:ln>
        </c:spPr>
        <c:txPr>
          <a:bodyPr/>
          <a:lstStyle/>
          <a:p>
            <a:pPr rtl="0">
              <a:defRPr sz="900" b="0" i="0" u="none" strike="noStrike" baseline="0">
                <a:solidFill>
                  <a:srgbClr val="939393"/>
                </a:solidFill>
                <a:latin typeface="Times New Roman"/>
                <a:ea typeface="宋体"/>
                <a:cs typeface="Lucida Sans"/>
              </a:defRPr>
            </a:pPr>
            <a:endParaRPr lang="zh-CN"/>
          </a:p>
        </c:txPr>
      </c:dTable>
      <c:spPr>
        <a:noFill/>
        <a:ln>
          <a:noFill/>
        </a:ln>
      </c:spPr>
    </c:plotArea>
    <c:legend>
      <c:legendPos val="b"/>
      <c:layout/>
      <c:overlay val="0"/>
      <c:spPr>
        <a:noFill/>
        <a:ln>
          <a:noFill/>
        </a:ln>
      </c:spPr>
      <c:txPr>
        <a:bodyPr/>
        <a:lstStyle/>
        <a:p>
          <a:pPr>
            <a:defRPr sz="900" b="0" i="0" u="none" strike="noStrike" baseline="0">
              <a:solidFill>
                <a:srgbClr val="939393"/>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宋体"/>
                <a:cs typeface="Lucida Sans"/>
              </a:defRPr>
            </a:pPr>
            <a:r>
              <a:rPr lang="zh-CN" sz="1400" b="1" i="0" u="none" strike="noStrike" baseline="0">
                <a:solidFill>
                  <a:srgbClr val="707070"/>
                </a:solidFill>
                <a:latin typeface="Times New Roman"/>
                <a:ea typeface="宋体"/>
                <a:cs typeface="Lucida Sans"/>
              </a:rPr>
              <a:t>2024</a:t>
            </a:r>
            <a:r>
              <a:rPr lang="zh-CN" sz="1400" b="1" i="0" u="none" strike="noStrike" baseline="0">
                <a:solidFill>
                  <a:srgbClr val="707070"/>
                </a:solidFill>
                <a:latin typeface="Times New Roman"/>
                <a:ea typeface="宋体"/>
                <a:cs typeface="Lucida Sans"/>
              </a:rPr>
              <a:t>年总收入情况</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Lbls>
            <c:spPr>
              <a:noFill/>
              <a:ln>
                <a:noFill/>
              </a:ln>
            </c:spPr>
            <c:txPr>
              <a:bodyPr vert="horz"/>
              <a:lstStyle/>
              <a:p>
                <a:pPr>
                  <a:defRPr sz="1000" b="0" i="0" u="none" strike="noStrike" baseline="0">
                    <a:solidFill>
                      <a:srgbClr val="707070"/>
                    </a:solidFill>
                    <a:latin typeface="Times New Roman"/>
                    <a:ea typeface="宋体"/>
                    <a:cs typeface="Lucida Sans"/>
                  </a:defRPr>
                </a:pPr>
                <a:endParaRPr lang="zh-CN"/>
              </a:p>
            </c:txPr>
            <c:numFmt formatCode="General" sourceLinked="0"/>
            <c:showLegendKey val="0"/>
            <c:showVal val="1"/>
            <c:showCatName val="0"/>
            <c:showSerName val="0"/>
            <c:showPercent val="0"/>
            <c:showBubbleSize val="0"/>
            <c:showLeaderLines val="1"/>
          </c:dLbls>
          <c:cat>
            <c:strLit>
              <c:ptCount val="4"/>
              <c:pt idx="0">
                <c:v>总收入</c:v>
              </c:pt>
              <c:pt idx="1">
                <c:v>财政拨款收入</c:v>
              </c:pt>
              <c:pt idx="2">
                <c:v>事业收入</c:v>
              </c:pt>
              <c:pt idx="3">
                <c:v>其他收入</c:v>
              </c:pt>
            </c:strLit>
          </c:cat>
          <c:val>
            <c:numRef>
              <c:f/>
              <c:numCache>
                <c:formatCode>General</c:formatCode>
                <c:ptCount val="4"/>
                <c:pt idx="0">
                  <c:v>22933.82</c:v>
                </c:pt>
                <c:pt idx="1">
                  <c:v>782.6</c:v>
                </c:pt>
                <c:pt idx="2">
                  <c:v>21269.98</c:v>
                </c:pt>
                <c:pt idx="3">
                  <c:v>881.24</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939393"/>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宋体"/>
                <a:cs typeface="Lucida Sans"/>
              </a:defRPr>
            </a:pPr>
            <a:r>
              <a:rPr lang="zh-CN" sz="1400" b="1" i="0" u="none" strike="noStrike" baseline="0">
                <a:solidFill>
                  <a:srgbClr val="707070"/>
                </a:solidFill>
                <a:latin typeface="Times New Roman"/>
                <a:ea typeface="宋体"/>
                <a:cs typeface="Lucida Sans"/>
              </a:rPr>
              <a:t>2024</a:t>
            </a:r>
            <a:r>
              <a:rPr lang="zh-CN" sz="1400" b="1" i="0" u="none" strike="noStrike" baseline="0">
                <a:solidFill>
                  <a:srgbClr val="707070"/>
                </a:solidFill>
                <a:latin typeface="Times New Roman"/>
                <a:ea typeface="宋体"/>
                <a:cs typeface="Lucida Sans"/>
              </a:rPr>
              <a:t>年支出情况</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Lbls>
            <c:spPr>
              <a:noFill/>
              <a:ln>
                <a:noFill/>
              </a:ln>
            </c:spPr>
            <c:txPr>
              <a:bodyPr vert="horz"/>
              <a:lstStyle/>
              <a:p>
                <a:pPr>
                  <a:defRPr sz="1000" b="0" i="0" u="none" strike="noStrike" baseline="0">
                    <a:solidFill>
                      <a:srgbClr val="707070"/>
                    </a:solidFill>
                    <a:latin typeface="Times New Roman"/>
                    <a:ea typeface="宋体"/>
                    <a:cs typeface="Lucida Sans"/>
                  </a:defRPr>
                </a:pPr>
                <a:endParaRPr lang="zh-CN"/>
              </a:p>
            </c:txPr>
            <c:numFmt formatCode="General" sourceLinked="0"/>
            <c:dLbl>
              <c:idx val="0"/>
              <c:layout>
                <c:manualLayout>
                  <c:x val="0.09937845"/>
                  <c:y val="0.02896871"/>
                </c:manualLayout>
              </c:layout>
              <c:numFmt formatCode="General" sourceLinked="0"/>
              <c:spPr>
                <a:noFill/>
                <a:ln>
                  <a:noFill/>
                </a:ln>
              </c:spPr>
              <c:txPr>
                <a:bodyPr vert="horz"/>
                <a:lstStyle/>
                <a:p>
                  <a:pPr>
                    <a:defRPr sz="1000" b="0" i="0" u="none" strike="noStrike" baseline="0">
                      <a:solidFill>
                        <a:srgbClr val="707070"/>
                      </a:solidFill>
                      <a:latin typeface="Times New Roman"/>
                      <a:ea typeface="宋体"/>
                      <a:cs typeface="Lucida Sans"/>
                    </a:defRPr>
                  </a:pPr>
                  <a:endParaRPr lang="zh-CN"/>
                </a:p>
              </c:txPr>
              <c:showLegendKey val="0"/>
              <c:showVal val="1"/>
              <c:showCatName val="0"/>
              <c:showSerName val="0"/>
              <c:showPercent val="0"/>
              <c:showBubbleSize val="0"/>
            </c:dLbl>
            <c:dLbl>
              <c:idx val="1"/>
              <c:layout>
                <c:manualLayout>
                  <c:x val="-0.037213948"/>
                  <c:y val="-0.24658716"/>
                </c:manualLayout>
              </c:layout>
              <c:numFmt formatCode="General" sourceLinked="0"/>
              <c:spPr>
                <a:noFill/>
                <a:ln>
                  <a:noFill/>
                </a:ln>
              </c:spPr>
              <c:txPr>
                <a:bodyPr vert="horz"/>
                <a:lstStyle/>
                <a:p>
                  <a:pPr>
                    <a:defRPr sz="1000" b="0" i="0" u="none" strike="noStrike" baseline="0">
                      <a:solidFill>
                        <a:srgbClr val="707070"/>
                      </a:solidFill>
                      <a:latin typeface="Times New Roman"/>
                      <a:ea typeface="宋体"/>
                      <a:cs typeface="Lucida Sans"/>
                    </a:defRPr>
                  </a:pPr>
                  <a:endParaRPr lang="zh-CN"/>
                </a:p>
              </c:txPr>
              <c:showLegendKey val="0"/>
              <c:showVal val="1"/>
              <c:showCatName val="0"/>
              <c:showSerName val="0"/>
              <c:showPercent val="0"/>
              <c:showBubbleSize val="0"/>
            </c:dLbl>
            <c:dLbl>
              <c:idx val="2"/>
              <c:layout>
                <c:manualLayout>
                  <c:x val="-0.10185489"/>
                  <c:y val="-0.008404144"/>
                </c:manualLayout>
              </c:layout>
              <c:numFmt formatCode="General" sourceLinked="0"/>
              <c:spPr>
                <a:noFill/>
                <a:ln>
                  <a:noFill/>
                </a:ln>
              </c:spPr>
              <c:txPr>
                <a:bodyPr vert="horz"/>
                <a:lstStyle/>
                <a:p>
                  <a:pPr>
                    <a:defRPr sz="1000" b="0" i="0" u="none" strike="noStrike" baseline="0">
                      <a:solidFill>
                        <a:srgbClr val="707070"/>
                      </a:solidFill>
                      <a:latin typeface="Times New Roman"/>
                      <a:ea typeface="宋体"/>
                      <a:cs typeface="Lucida Sans"/>
                    </a:defRPr>
                  </a:pPr>
                  <a:endParaRPr lang="zh-CN"/>
                </a:p>
              </c:txPr>
              <c:showLegendKey val="0"/>
              <c:showVal val="1"/>
              <c:showCatName val="0"/>
              <c:showSerName val="0"/>
              <c:showPercent val="0"/>
              <c:showBubbleSize val="0"/>
            </c:dLbl>
            <c:dLbl>
              <c:idx val="3"/>
              <c:layout>
                <c:manualLayout>
                  <c:x val="0.040971693"/>
                  <c:y val="-0.028659007"/>
                </c:manualLayout>
              </c:layout>
              <c:numFmt formatCode="General" sourceLinked="0"/>
              <c:spPr>
                <a:noFill/>
                <a:ln>
                  <a:noFill/>
                </a:ln>
              </c:spPr>
              <c:txPr>
                <a:bodyPr vert="horz"/>
                <a:lstStyle/>
                <a:p>
                  <a:pPr>
                    <a:defRPr sz="1000" b="0" i="0" u="none" strike="noStrike" baseline="0">
                      <a:solidFill>
                        <a:srgbClr val="707070"/>
                      </a:solidFill>
                      <a:latin typeface="Times New Roman"/>
                      <a:ea typeface="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Lit>
              <c:ptCount val="4"/>
              <c:pt idx="0">
                <c:v>财政拨款支出</c:v>
              </c:pt>
              <c:pt idx="1">
                <c:v>业务活动费</c:v>
              </c:pt>
              <c:pt idx="2">
                <c:v>管理费用</c:v>
              </c:pt>
              <c:pt idx="3">
                <c:v>其他支出</c:v>
              </c:pt>
            </c:strLit>
          </c:cat>
          <c:val>
            <c:numRef>
              <c:f/>
              <c:numCache>
                <c:formatCode>General</c:formatCode>
                <c:ptCount val="4"/>
                <c:pt idx="0">
                  <c:v>782.6</c:v>
                </c:pt>
                <c:pt idx="1">
                  <c:v>22113.65</c:v>
                </c:pt>
                <c:pt idx="2">
                  <c:v>1645.67</c:v>
                </c:pt>
                <c:pt idx="3">
                  <c:v>196.35</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939393"/>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财政拨款资金（万元）</a:t>
            </a:r>
          </a:p>
        </c:rich>
      </c:tx>
      <c:layout/>
      <c:overlay val="0"/>
      <c:spPr>
        <a:noFill/>
        <a:ln>
          <a:noFill/>
        </a:ln>
      </c:spPr>
    </c:title>
    <c:autoTitleDeleted val="1"/>
    <c:plotArea>
      <c:layout/>
      <c:barChart>
        <c:barDir val="col"/>
        <c:grouping val="clustered"/>
        <c:varyColors val="0"/>
        <c:ser>
          <c:idx val="0"/>
          <c:order val="0"/>
          <c:tx>
            <c:v>金额</c:v>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2023年</c:v>
              </c:pt>
              <c:pt idx="1">
                <c:v>2024年</c:v>
              </c:pt>
            </c:strLit>
          </c:cat>
          <c:val>
            <c:numRef>
              <c:f/>
              <c:numCache>
                <c:formatCode>General</c:formatCode>
                <c:ptCount val="2"/>
                <c:pt idx="0">
                  <c:v>2409.6</c:v>
                </c:pt>
                <c:pt idx="1">
                  <c:v>782.6</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财政拨款资金（万元）</a:t>
            </a:r>
          </a:p>
        </c:rich>
      </c:tx>
      <c:layout/>
      <c:overlay val="0"/>
      <c:spPr>
        <a:noFill/>
        <a:ln>
          <a:noFill/>
        </a:ln>
      </c:spPr>
    </c:title>
    <c:autoTitleDeleted val="1"/>
    <c:plotArea>
      <c:layout/>
      <c:barChart>
        <c:barDir val="col"/>
        <c:grouping val="clustered"/>
        <c:varyColors val="0"/>
        <c:ser>
          <c:idx val="0"/>
          <c:order val="0"/>
          <c:tx>
            <c:v>金额</c:v>
          </c:tx>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2023年</c:v>
              </c:pt>
              <c:pt idx="1">
                <c:v>2024年</c:v>
              </c:pt>
            </c:strLit>
          </c:cat>
          <c:val>
            <c:numRef>
              <c:f/>
              <c:numCache>
                <c:formatCode>General</c:formatCode>
                <c:ptCount val="2"/>
                <c:pt idx="0">
                  <c:v>2409.6</c:v>
                </c:pt>
                <c:pt idx="1">
                  <c:v>782.6</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404040"/>
                </a:solidFill>
                <a:latin typeface="微软雅黑"/>
                <a:ea typeface="微软雅黑"/>
                <a:cs typeface="Lucida Sans"/>
              </a:defRPr>
            </a:pPr>
            <a:r>
              <a:rPr lang="zh-CN" sz="1400" b="0" i="0" u="none" strike="noStrike" baseline="0">
                <a:solidFill>
                  <a:srgbClr val="404040"/>
                </a:solidFill>
                <a:latin typeface="微软雅黑"/>
                <a:ea typeface="微软雅黑"/>
                <a:cs typeface="Lucida Sans"/>
              </a:rPr>
              <a:t>2024</a:t>
            </a:r>
            <a:r>
              <a:rPr lang="zh-CN" sz="1400" b="0" i="0" u="none" strike="noStrike" baseline="0">
                <a:solidFill>
                  <a:srgbClr val="404040"/>
                </a:solidFill>
                <a:latin typeface="微软雅黑"/>
                <a:ea typeface="微软雅黑"/>
                <a:cs typeface="Lucida Sans"/>
              </a:rPr>
              <a:t>财政资金支出（万元）</a:t>
            </a:r>
          </a:p>
        </c:rich>
      </c:tx>
      <c:layout/>
      <c:overlay val="0"/>
      <c:spPr>
        <a:noFill/>
        <a:ln>
          <a:noFill/>
        </a:ln>
      </c:spPr>
    </c:title>
    <c:autoTitleDeleted val="1"/>
    <c:plotArea>
      <c:layout/>
      <c:barChart>
        <c:barDir val="col"/>
        <c:grouping val="clustered"/>
        <c:varyColors val="0"/>
        <c:ser>
          <c:idx val="0"/>
          <c:order val="0"/>
          <c:tx>
            <c:v>支出金额</c:v>
          </c:tx>
          <c:spPr>
            <a:solidFill>
              <a:srgbClr val="4874CB"/>
            </a:solidFill>
            <a:ln>
              <a:noFill/>
            </a:ln>
          </c:spPr>
          <c:invertIfNegative val="0"/>
          <c:dLbls>
            <c:spPr>
              <a:noFill/>
              <a:ln>
                <a:noFill/>
              </a:ln>
            </c:spPr>
            <c:txPr>
              <a:bodyPr vert="horz"/>
              <a:lstStyle/>
              <a:p>
                <a:pPr>
                  <a:defRPr sz="900" b="0" i="0" u="none" strike="noStrike" baseline="0">
                    <a:solidFill>
                      <a:srgbClr val="404040"/>
                    </a:solidFill>
                    <a:latin typeface="微软雅黑"/>
                    <a:ea typeface="微软雅黑"/>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3"/>
              <c:pt idx="0">
                <c:v>一般公共服务支出</c:v>
              </c:pt>
              <c:pt idx="1">
                <c:v>社会保障和就业支出</c:v>
              </c:pt>
              <c:pt idx="2">
                <c:v>卫生健康支出</c:v>
              </c:pt>
            </c:strLit>
          </c:cat>
          <c:val>
            <c:numRef>
              <c:f/>
              <c:numCache>
                <c:formatCode>General</c:formatCode>
                <c:ptCount val="3"/>
                <c:pt idx="0">
                  <c:v>0.43</c:v>
                </c:pt>
                <c:pt idx="1">
                  <c:v>654.87</c:v>
                </c:pt>
                <c:pt idx="2">
                  <c:v>127.31</c:v>
                </c:pt>
              </c:numCache>
            </c:numRef>
          </c:val>
        </c:ser>
        <c:overlap val="-32"/>
        <c:gapWidth val="260"/>
        <c:axId val="0"/>
        <c:axId val="1"/>
      </c:barChart>
      <c:catAx>
        <c:axId val="0"/>
        <c:scaling>
          <c:orientation val="minMax"/>
        </c:scaling>
        <c:delete val="0"/>
        <c:axPos val="b"/>
        <c:numFmt formatCode="General" sourceLinked="0"/>
        <c:majorTickMark val="out"/>
        <c:minorTickMark val="none"/>
        <c:tickLblPos val="nextTo"/>
        <c:spPr>
          <a:ln w="6350">
            <a:solidFill>
              <a:srgbClr val="4874CB"/>
            </a:solidFill>
            <a:prstDash val="solid"/>
          </a:ln>
        </c:spPr>
        <c:txPr>
          <a:bodyPr/>
          <a:lstStyle/>
          <a:p>
            <a:pPr>
              <a:defRPr sz="900" b="0" i="0" u="none" strike="noStrike" baseline="0">
                <a:solidFill>
                  <a:srgbClr val="404040"/>
                </a:solidFill>
                <a:latin typeface="微软雅黑"/>
                <a:ea typeface="微软雅黑"/>
                <a:cs typeface="Lucida Sans"/>
              </a:defRPr>
            </a:pPr>
            <a:endParaRPr lang="zh-CN"/>
          </a:p>
        </c:txPr>
        <c:crosses val="autoZero"/>
        <c:auto val="1"/>
        <c:lblOffset val="100"/>
        <c:lblAlgn val="ctr"/>
        <c:noMultiLvlLbl val="0"/>
        <c:crossAx val="1"/>
      </c:catAx>
      <c:valAx>
        <c:axId val="1"/>
        <c:scaling>
          <c:orientation val="minMax"/>
        </c:scaling>
        <c:delete val="1"/>
        <c:axPos val="l"/>
        <c:majorGridlines>
          <c:spPr>
            <a:ln w="6350">
              <a:solidFill>
                <a:srgbClr val="808080"/>
              </a:solidFill>
              <a:prstDash val="solid"/>
            </a:ln>
          </c:spPr>
        </c:majorGridlines>
        <c:numFmt formatCode="General" sourceLinked="1"/>
        <c:majorTickMark val="out"/>
        <c:minorTickMark val="none"/>
        <c:tickLblPos val="nextTo"/>
        <c:txPr>
          <a:bodyPr/>
          <a:lstStyle/>
          <a:p>
            <a:pPr>
              <a:defRPr sz="900" b="0" i="0" u="none" strike="noStrike" baseline="0">
                <a:solidFill>
                  <a:srgbClr val="404040"/>
                </a:solidFill>
                <a:latin typeface="微软雅黑"/>
                <a:ea typeface="微软雅黑"/>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808080"/>
      </a:solidFill>
      <a:prstDash val="solid"/>
    </a:ln>
  </c:spPr>
  <c:txPr>
    <a:bodyPr/>
    <a:lstStyle/>
    <a:p>
      <a:pPr>
        <a:defRPr sz="900" b="0" i="0" u="none" strike="noStrike" baseline="0">
          <a:solidFill>
            <a:srgbClr val="404040"/>
          </a:solidFill>
          <a:latin typeface="微软雅黑"/>
          <a:ea typeface="微软雅黑"/>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3</TotalTime>
  <Application>Yozo_Office27021597764231179</Application>
  <Pages>15</Pages>
  <Words>4529</Words>
  <Characters>5081</Characters>
  <Lines>271</Lines>
  <Paragraphs>125</Paragraphs>
  <CharactersWithSpaces>5142</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2025-08-06T17:34:00Z</cp:lastPrinted>
  <dcterms:created xsi:type="dcterms:W3CDTF">2020-08-09T09:49:00Z</dcterms:created>
  <dcterms:modified xsi:type="dcterms:W3CDTF">2025-09-11T10:11:21Z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3B65DB350B8247B4A7AB125683ECEBD6</vt:lpwstr>
  </property>
  <property fmtid="{D5CDD505-2E9C-101B-9397-08002B2CF9AE}" pid="4" name="KSOTemplateDocerSaveRecord">
    <vt:lpwstr>eyJoZGlkIjoiZjA4M2IxYWIzMjAxN2YzZjY2NzZkYWYzMGQ1Yjk5OGIiLCJ1c2VySWQiOiIxNjY5ODg0MDM1In0=</vt:lpwstr>
  </property>
</Properties>
</file>