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center"/>
        <w:rPr>
          <w:rFonts w:ascii="Times New Roman" w:eastAsia="方正小标宋简体" w:hAnsi="Times New Roman"/>
          <w:color w:val="auto"/>
          <w:sz w:val="36"/>
          <w:szCs w:val="36"/>
          <w:highlight w:val="auto"/>
        </w:rPr>
      </w:pPr>
    </w:p>
    <w:p>
      <w:pPr>
        <w:widowControl/>
        <w:jc w:val="center"/>
        <w:rPr>
          <w:rFonts w:ascii="Times New Roman" w:eastAsia="方正小标宋简体" w:hAnsi="Times New Roman"/>
          <w:color w:val="auto"/>
          <w:sz w:val="36"/>
          <w:szCs w:val="36"/>
          <w:highlight w:val="auto"/>
        </w:rPr>
      </w:pPr>
    </w:p>
    <w:p>
      <w:pPr>
        <w:widowControl/>
        <w:jc w:val="center"/>
        <w:rPr>
          <w:rFonts w:ascii="Times New Roman" w:eastAsia="方正小标宋简体" w:hAnsi="Times New Roman"/>
          <w:color w:val="auto"/>
          <w:sz w:val="36"/>
          <w:szCs w:val="36"/>
          <w:highlight w:val="auto"/>
        </w:rPr>
      </w:pPr>
    </w:p>
    <w:p>
      <w:pPr>
        <w:widowControl/>
        <w:jc w:val="center"/>
        <w:rPr>
          <w:rFonts w:ascii="Times New Roman" w:eastAsia="方正小标宋简体" w:hAnsi="Times New Roman"/>
          <w:color w:val="auto"/>
          <w:sz w:val="36"/>
          <w:szCs w:val="36"/>
          <w:highlight w:val="auto"/>
        </w:rPr>
      </w:pPr>
    </w:p>
    <w:p>
      <w:pPr>
        <w:widowControl/>
        <w:jc w:val="center"/>
        <w:rPr>
          <w:rFonts w:ascii="Times New Roman" w:eastAsia="方正小标宋简体" w:hAnsi="Times New Roman"/>
          <w:color w:val="auto"/>
          <w:sz w:val="36"/>
          <w:szCs w:val="36"/>
          <w:highlight w:val="auto"/>
        </w:rPr>
      </w:pPr>
    </w:p>
    <w:p>
      <w:pPr>
        <w:widowControl/>
        <w:jc w:val="center"/>
        <w:rPr>
          <w:rFonts w:ascii="Times New Roman" w:eastAsia="方正小标宋简体" w:hAnsi="Times New Roman"/>
          <w:color w:val="auto"/>
          <w:sz w:val="36"/>
          <w:szCs w:val="36"/>
          <w:highlight w:val="auto"/>
        </w:rPr>
      </w:pPr>
    </w:p>
    <w:p>
      <w:pPr>
        <w:widowControl/>
        <w:jc w:val="center"/>
        <w:rPr>
          <w:rFonts w:ascii="Times New Roman" w:eastAsia="方正小标宋简体" w:hAnsi="Times New Roman"/>
          <w:color w:val="auto"/>
          <w:sz w:val="36"/>
          <w:szCs w:val="36"/>
          <w:highlight w:val="auto"/>
        </w:rPr>
      </w:pPr>
    </w:p>
    <w:p>
      <w:pPr>
        <w:widowControl/>
        <w:jc w:val="center"/>
        <w:rPr>
          <w:rFonts w:ascii="Times New Roman" w:eastAsia="方正小标宋简体" w:hAnsi="Times New Roman"/>
          <w:color w:val="auto"/>
          <w:sz w:val="36"/>
          <w:szCs w:val="36"/>
          <w:highlight w:val="auto"/>
        </w:rPr>
      </w:pPr>
    </w:p>
    <w:p>
      <w:pPr>
        <w:pStyle w:val="15"/>
        <w:jc w:val="center"/>
        <w:rPr>
          <w:rFonts w:ascii="Times New Roman" w:eastAsia="方正小标宋简体" w:cs="Times New Roman" w:hAnsi="Times New Roman" w:hint="eastAsia"/>
          <w:color w:val="auto"/>
          <w:kern w:val="2"/>
          <w:sz w:val="44"/>
          <w:szCs w:val="44"/>
          <w:lang w:val="en-US" w:eastAsia="zh-CN" w:bidi="ar-SA"/>
          <w:highlight w:val="auto"/>
        </w:rPr>
      </w:pPr>
      <w:bookmarkStart w:id="0" w:name="_Toc15377426"/>
      <w:bookmarkStart w:id="1" w:name="_Toc15377194"/>
      <w:bookmarkStart w:id="2" w:name="_Toc15396476"/>
      <w:bookmarkStart w:id="3" w:name="_Toc15378442"/>
      <w:bookmarkStart w:id="4" w:name="_Toc15396598"/>
      <w:r>
        <w:rPr>
          <w:rFonts w:ascii="Times New Roman" w:eastAsia="方正小标宋简体" w:cs="Times New Roman" w:hAnsi="Times New Roman" w:hint="eastAsia"/>
          <w:color w:val="auto"/>
          <w:kern w:val="2"/>
          <w:sz w:val="44"/>
          <w:szCs w:val="44"/>
          <w:lang w:val="en-US" w:eastAsia="zh-CN" w:bidi="ar-SA"/>
          <w:highlight w:val="auto"/>
        </w:rPr>
        <w:t>2024年度四川省</w:t>
      </w:r>
      <w:bookmarkStart w:id="5" w:name="_Toc15306268"/>
      <w:r>
        <w:rPr>
          <w:rFonts w:ascii="Times New Roman" w:eastAsia="方正小标宋简体" w:cs="Times New Roman" w:hAnsi="Times New Roman" w:hint="eastAsia"/>
          <w:color w:val="auto"/>
          <w:kern w:val="2"/>
          <w:sz w:val="44"/>
          <w:szCs w:val="44"/>
          <w:lang w:val="en-US" w:eastAsia="zh-CN" w:bidi="ar-SA"/>
          <w:highlight w:val="auto"/>
        </w:rPr>
        <w:t>攀枝花市妇幼保健院</w:t>
      </w:r>
    </w:p>
    <w:p>
      <w:pPr>
        <w:pStyle w:val="15"/>
        <w:ind w:firstLineChars="500" w:firstLine="2200"/>
        <w:jc w:val="both"/>
        <w:rPr>
          <w:rFonts w:ascii="Times New Roman" w:eastAsia="方正小标宋简体" w:cs="Times New Roman" w:hAnsi="Times New Roman"/>
          <w:color w:val="auto"/>
          <w:kern w:val="2"/>
          <w:sz w:val="44"/>
          <w:szCs w:val="44"/>
          <w:lang w:val="en-US" w:eastAsia="zh-CN" w:bidi="ar-SA"/>
          <w:highlight w:val="auto"/>
        </w:rPr>
      </w:pPr>
      <w:r>
        <w:rPr>
          <w:rFonts w:ascii="Times New Roman" w:eastAsia="方正小标宋简体" w:cs="Times New Roman" w:hAnsi="Times New Roman" w:hint="eastAsia"/>
          <w:color w:val="auto"/>
          <w:kern w:val="2"/>
          <w:sz w:val="44"/>
          <w:szCs w:val="44"/>
          <w:lang w:val="en-US" w:eastAsia="zh-CN" w:bidi="ar-SA"/>
          <w:highlight w:val="auto"/>
        </w:rPr>
        <w:t>单位决算</w:t>
      </w:r>
      <w:bookmarkEnd w:id="0"/>
      <w:bookmarkEnd w:id="1"/>
      <w:bookmarkEnd w:id="2"/>
      <w:bookmarkEnd w:id="3"/>
      <w:bookmarkEnd w:id="4"/>
      <w:bookmarkEnd w:id="5"/>
      <w:r>
        <w:rPr>
          <w:rFonts w:ascii="Times New Roman" w:eastAsia="方正小标宋简体" w:cs="Times New Roman" w:hAnsi="Times New Roman" w:hint="eastAsia"/>
          <w:color w:val="auto"/>
          <w:kern w:val="2"/>
          <w:sz w:val="44"/>
          <w:szCs w:val="44"/>
          <w:lang w:val="en-US" w:eastAsia="zh-CN" w:bidi="ar-SA"/>
          <w:highlight w:val="auto"/>
        </w:rPr>
        <w:t>公开文字说明</w:t>
      </w:r>
    </w:p>
    <w:p>
      <w:pPr>
        <w:widowControl/>
        <w:jc w:val="center"/>
        <w:rPr>
          <w:rFonts w:ascii="Times New Roman" w:eastAsia="黑体" w:hAnsi="Times New Roman" w:hint="eastAsia"/>
          <w:color w:val="auto"/>
          <w:sz w:val="48"/>
          <w:szCs w:val="48"/>
          <w:highlight w:val="auto"/>
        </w:rPr>
        <w:sectPr>
          <w:footerReference w:type="default" r:id="rId2"/>
          <w:pgSz w:w="11906" w:h="16838"/>
          <w:pgMar w:top="1440" w:right="1800" w:bottom="1440" w:left="1800" w:header="851" w:footer="992" w:gutter="0"/>
          <w:pgNumType w:start="1"/>
          <w:titlePg/>
          <w:docGrid w:type="lines" w:linePitch="312" w:charSpace="0"/>
        </w:sectPr>
      </w:pPr>
    </w:p>
    <w:p>
      <w:pPr>
        <w:widowControl/>
        <w:jc w:val="center"/>
        <w:rPr>
          <w:rFonts w:ascii="Times New Roman" w:eastAsia="黑体" w:hAnsi="Times New Roman"/>
          <w:color w:val="auto"/>
          <w:sz w:val="48"/>
          <w:szCs w:val="48"/>
          <w:highlight w:val="auto"/>
        </w:rPr>
      </w:pPr>
      <w:r>
        <w:rPr>
          <w:rFonts w:ascii="Times New Roman" w:eastAsia="黑体" w:hAnsi="Times New Roman" w:hint="eastAsia"/>
          <w:color w:val="auto"/>
          <w:sz w:val="48"/>
          <w:szCs w:val="48"/>
          <w:highlight w:val="auto"/>
        </w:rPr>
        <w:t>目录</w:t>
      </w:r>
    </w:p>
    <w:p>
      <w:pPr>
        <w:widowControl/>
        <w:jc w:val="center"/>
        <w:rPr>
          <w:rFonts w:ascii="Times New Roman" w:eastAsia="黑体" w:cs="Arial" w:hAnsi="Times New Roman"/>
          <w:color w:val="auto"/>
          <w:sz w:val="28"/>
          <w:szCs w:val="28"/>
          <w:highlight w:val="auto"/>
        </w:rPr>
      </w:pPr>
    </w:p>
    <w:p>
      <w:pPr>
        <w:pStyle w:val="20"/>
        <w:tabs>
          <w:tab w:val="right" w:leader="dot" w:pos="8296"/>
        </w:tabs>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公开时间：20</w:t>
      </w:r>
      <w:r>
        <w:rPr>
          <w:rFonts w:ascii="Times New Roman" w:eastAsia="仿宋_GB2312" w:cs="仿宋_GB2312" w:hAnsi="Times New Roman" w:hint="eastAsia"/>
          <w:color w:val="auto"/>
          <w:sz w:val="32"/>
          <w:szCs w:val="32"/>
          <w:lang w:val="en-US" w:eastAsia="zh-CN"/>
          <w:highlight w:val="auto"/>
        </w:rPr>
        <w:t>25</w:t>
      </w:r>
      <w:r>
        <w:rPr>
          <w:rFonts w:ascii="Times New Roman" w:eastAsia="仿宋_GB2312" w:cs="仿宋_GB2312" w:hAnsi="Times New Roman" w:hint="eastAsia"/>
          <w:color w:val="auto"/>
          <w:sz w:val="32"/>
          <w:szCs w:val="32"/>
          <w:highlight w:val="auto"/>
        </w:rPr>
        <w:t>年</w:t>
      </w:r>
      <w:r>
        <w:rPr>
          <w:rFonts w:ascii="Times New Roman" w:eastAsia="仿宋_GB2312" w:cs="仿宋_GB2312" w:hAnsi="Times New Roman" w:hint="eastAsia"/>
          <w:color w:val="auto"/>
          <w:sz w:val="32"/>
          <w:szCs w:val="32"/>
          <w:lang w:val="en-US" w:eastAsia="zh-CN"/>
          <w:highlight w:val="auto"/>
        </w:rPr>
        <w:t xml:space="preserve"> 9 </w:t>
      </w:r>
      <w:r>
        <w:rPr>
          <w:rFonts w:ascii="Times New Roman" w:eastAsia="仿宋_GB2312" w:cs="仿宋_GB2312" w:hAnsi="Times New Roman" w:hint="eastAsia"/>
          <w:color w:val="auto"/>
          <w:sz w:val="32"/>
          <w:szCs w:val="32"/>
          <w:highlight w:val="auto"/>
        </w:rPr>
        <w:t>月</w:t>
      </w:r>
      <w:r>
        <w:rPr>
          <w:rFonts w:ascii="Times New Roman" w:eastAsia="仿宋_GB2312" w:cs="仿宋_GB2312" w:hAnsi="Times New Roman"/>
          <w:color w:val="auto"/>
          <w:sz w:val="32"/>
          <w:szCs w:val="32"/>
          <w:lang w:val="en-US" w:eastAsia="zh-CN"/>
          <w:highlight w:val="auto"/>
        </w:rPr>
        <w:t>11</w:t>
      </w:r>
      <w:bookmarkStart w:id="6" w:name="_GoBack"/>
      <w:bookmarkEnd w:id="6"/>
      <w:r>
        <w:rPr>
          <w:rFonts w:ascii="Times New Roman" w:eastAsia="仿宋_GB2312" w:cs="仿宋_GB2312" w:hAnsi="Times New Roman" w:hint="eastAsia"/>
          <w:color w:val="auto"/>
          <w:sz w:val="32"/>
          <w:szCs w:val="32"/>
          <w:highlight w:val="auto"/>
        </w:rPr>
        <w:t>日</w:t>
      </w:r>
    </w:p>
    <w:p>
      <w:pPr>
        <w:rPr>
          <w:rFonts w:ascii="Times New Roman" w:hAnsi="Times New Roman"/>
          <w:color w:val="auto"/>
          <w:highlight w:val="auto"/>
        </w:rPr>
      </w:pPr>
    </w:p>
    <w:p>
      <w:pPr>
        <w:pStyle w:val="20"/>
        <w:tabs>
          <w:tab w:val="right" w:leader="dot" w:pos="8296"/>
        </w:tabs>
        <w:adjustRightInd w:val="0"/>
        <w:snapToGrid w:val="0"/>
        <w:spacing w:before="0" w:line="440" w:lineRule="exact"/>
        <w:jc w:val="left"/>
        <w:rPr>
          <w:rFonts w:ascii="Times New Roman" w:eastAsia="黑体" w:cs="黑体" w:hAnsi="Times New Roman"/>
          <w:color w:val="auto"/>
          <w:sz w:val="32"/>
          <w:szCs w:val="32"/>
          <w:lang w:val="en-US" w:eastAsia="zh-CN"/>
          <w:highlight w:val="auto"/>
        </w:rPr>
      </w:pPr>
      <w:r>
        <w:rPr>
          <w:rFonts w:ascii="Times New Roman" w:eastAsia="黑体" w:cs="黑体" w:hAnsi="Times New Roman" w:hint="eastAsia"/>
          <w:color w:val="auto"/>
          <w:sz w:val="32"/>
          <w:szCs w:val="32"/>
          <w:highlight w:val="auto"/>
        </w:rPr>
        <w:t>第一部分 部门概况</w:t>
      </w:r>
      <w:r>
        <w:rPr>
          <w:rFonts w:ascii="Times New Roman" w:eastAsia="黑体" w:cs="黑体" w:hAnsi="Times New Roman" w:hint="eastAsia"/>
          <w:color w:val="auto"/>
          <w:sz w:val="32"/>
          <w:szCs w:val="32"/>
          <w:lang w:val="en-US" w:eastAsia="zh-CN"/>
          <w:highlight w:val="auto"/>
        </w:rPr>
        <w:t>...................................................................1</w:t>
      </w:r>
    </w:p>
    <w:p>
      <w:pPr>
        <w:pStyle w:val="20"/>
        <w:tabs>
          <w:tab w:val="right" w:leader="dot" w:pos="8296"/>
        </w:tabs>
        <w:adjustRightInd w:val="0"/>
        <w:snapToGrid w:val="0"/>
        <w:spacing w:before="0" w:line="440" w:lineRule="exact"/>
        <w:ind w:firstLineChars="200" w:firstLine="640"/>
        <w:jc w:val="left"/>
        <w:rPr>
          <w:rFonts w:ascii="Times New Roman" w:eastAsia="仿宋_GB2312" w:cs="仿宋_GB2312" w:hAnsi="Times New Roman"/>
          <w:color w:val="auto"/>
          <w:sz w:val="32"/>
          <w:szCs w:val="32"/>
          <w:lang w:val="en-US"/>
          <w:highlight w:val="auto"/>
        </w:rPr>
      </w:pPr>
      <w:r>
        <w:rPr>
          <w:rFonts w:ascii="Times New Roman" w:eastAsia="仿宋_GB2312" w:cs="仿宋_GB2312" w:hAnsi="Times New Roman" w:hint="eastAsia"/>
          <w:color w:val="auto"/>
          <w:sz w:val="32"/>
          <w:szCs w:val="32"/>
          <w:highlight w:val="auto"/>
        </w:rPr>
        <w:t>一、</w:t>
      </w:r>
      <w:r>
        <w:rPr>
          <w:rFonts w:ascii="Times New Roman" w:eastAsia="仿宋_GB2312" w:cs="仿宋_GB2312" w:hAnsi="Times New Roman" w:hint="eastAsia"/>
          <w:color w:val="auto"/>
          <w:sz w:val="32"/>
          <w:szCs w:val="32"/>
          <w:lang w:eastAsia="zh-CN"/>
          <w:highlight w:val="auto"/>
        </w:rPr>
        <w:t>部门职责</w:t>
      </w:r>
      <w:r>
        <w:rPr>
          <w:rFonts w:ascii="Times New Roman" w:eastAsia="仿宋_GB2312" w:cs="仿宋_GB2312" w:hAnsi="Times New Roman" w:hint="eastAsia"/>
          <w:color w:val="auto"/>
          <w:sz w:val="32"/>
          <w:szCs w:val="32"/>
          <w:lang w:val="en-US" w:eastAsia="zh-CN"/>
          <w:highlight w:val="auto"/>
        </w:rPr>
        <w:t>.....................................................................1</w:t>
      </w:r>
    </w:p>
    <w:p>
      <w:pPr>
        <w:pStyle w:val="20"/>
        <w:tabs>
          <w:tab w:val="right" w:leader="dot" w:pos="8296"/>
        </w:tabs>
        <w:adjustRightInd w:val="0"/>
        <w:snapToGrid w:val="0"/>
        <w:spacing w:before="0" w:line="440" w:lineRule="exact"/>
        <w:ind w:firstLineChars="200" w:firstLine="640"/>
        <w:jc w:val="left"/>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二、机构设置</w:t>
      </w:r>
      <w:r>
        <w:rPr>
          <w:rFonts w:ascii="Times New Roman" w:eastAsia="仿宋_GB2312" w:cs="仿宋_GB2312" w:hAnsi="Times New Roman" w:hint="eastAsia"/>
          <w:color w:val="auto"/>
          <w:sz w:val="32"/>
          <w:szCs w:val="32"/>
          <w:lang w:val="en-US" w:eastAsia="zh-CN"/>
          <w:highlight w:val="auto"/>
        </w:rPr>
        <w:t>.....................................................................2</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黑体" w:cs="黑体" w:hAnsi="Times New Roman"/>
          <w:color w:val="auto"/>
          <w:sz w:val="32"/>
          <w:szCs w:val="32"/>
          <w:lang w:val="en-US" w:eastAsia="zh-CN"/>
          <w:highlight w:val="auto"/>
        </w:rPr>
      </w:pPr>
      <w:r>
        <w:rPr>
          <w:rFonts w:ascii="Times New Roman" w:eastAsia="黑体" w:cs="黑体" w:hAnsi="Times New Roman" w:hint="eastAsia"/>
          <w:color w:val="auto"/>
          <w:sz w:val="32"/>
          <w:szCs w:val="32"/>
          <w:highlight w:val="auto"/>
        </w:rPr>
        <w:t>第二部分</w:t>
      </w:r>
      <w:r>
        <w:rPr>
          <w:rFonts w:ascii="Times New Roman" w:eastAsia="黑体" w:cs="黑体" w:hAnsi="Times New Roman" w:hint="eastAsia"/>
          <w:color w:val="auto"/>
          <w:sz w:val="32"/>
          <w:szCs w:val="32"/>
          <w:lang w:val="en-US" w:eastAsia="zh-CN"/>
          <w:highlight w:val="auto"/>
        </w:rPr>
        <w:t xml:space="preserve"> 2024年度</w:t>
      </w:r>
      <w:r>
        <w:rPr>
          <w:rFonts w:ascii="Times New Roman" w:eastAsia="黑体" w:cs="黑体" w:hAnsi="Times New Roman" w:hint="eastAsia"/>
          <w:color w:val="auto"/>
          <w:sz w:val="32"/>
          <w:szCs w:val="32"/>
          <w:highlight w:val="auto"/>
        </w:rPr>
        <w:t>部门决算情况说明</w:t>
      </w:r>
      <w:r>
        <w:rPr>
          <w:rFonts w:ascii="Times New Roman" w:eastAsia="黑体" w:cs="黑体" w:hAnsi="Times New Roman" w:hint="eastAsia"/>
          <w:color w:val="auto"/>
          <w:sz w:val="32"/>
          <w:szCs w:val="32"/>
          <w:lang w:val="en-US" w:eastAsia="zh-CN"/>
          <w:highlight w:val="auto"/>
        </w:rPr>
        <w:t>..................................2</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ind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一、收入支出决算总体情况说明</w:t>
      </w:r>
      <w:r>
        <w:rPr>
          <w:rFonts w:ascii="Times New Roman" w:eastAsia="黑体" w:cs="黑体" w:hAnsi="Times New Roman" w:hint="eastAsia"/>
          <w:color w:val="auto"/>
          <w:sz w:val="32"/>
          <w:szCs w:val="32"/>
          <w:lang w:val="en-US" w:eastAsia="zh-CN"/>
          <w:highlight w:val="auto"/>
        </w:rPr>
        <w:t>.....................................2</w:t>
      </w:r>
    </w:p>
    <w:p>
      <w:pPr>
        <w:pStyle w:val="20"/>
        <w:tabs>
          <w:tab w:val="right" w:leader="dot" w:pos="8296"/>
        </w:tabs>
        <w:adjustRightInd w:val="0"/>
        <w:snapToGrid w:val="0"/>
        <w:spacing w:before="0" w:line="440" w:lineRule="exact"/>
        <w:ind w:firstLineChars="200" w:firstLine="640"/>
        <w:jc w:val="left"/>
        <w:rPr>
          <w:rFonts w:ascii="Times New Roman" w:eastAsia="仿宋_GB2312" w:cs="仿宋_GB2312" w:hAnsi="Times New Roman"/>
          <w:color w:val="auto"/>
          <w:sz w:val="32"/>
          <w:szCs w:val="32"/>
          <w:lang w:val="en-US"/>
          <w:highlight w:val="auto"/>
        </w:rPr>
      </w:pPr>
      <w:r>
        <w:rPr>
          <w:rFonts w:ascii="Times New Roman" w:eastAsia="仿宋_GB2312" w:cs="仿宋_GB2312" w:hAnsi="Times New Roman" w:hint="eastAsia"/>
          <w:color w:val="auto"/>
          <w:sz w:val="32"/>
          <w:szCs w:val="32"/>
          <w:highlight w:val="auto"/>
        </w:rPr>
        <w:t>二、收入决算情况说明</w:t>
      </w:r>
      <w:r>
        <w:rPr>
          <w:rFonts w:ascii="Times New Roman" w:eastAsia="仿宋_GB2312" w:cs="仿宋_GB2312" w:hAnsi="Times New Roman" w:hint="eastAsia"/>
          <w:color w:val="auto"/>
          <w:sz w:val="32"/>
          <w:szCs w:val="32"/>
          <w:lang w:val="en-US" w:eastAsia="zh-CN"/>
          <w:highlight w:val="auto"/>
        </w:rPr>
        <w:t>.....................................................2</w:t>
      </w:r>
    </w:p>
    <w:p>
      <w:pPr>
        <w:pStyle w:val="20"/>
        <w:tabs>
          <w:tab w:val="right" w:leader="dot" w:pos="8296"/>
        </w:tabs>
        <w:adjustRightInd w:val="0"/>
        <w:snapToGrid w:val="0"/>
        <w:spacing w:before="0" w:line="440" w:lineRule="exact"/>
        <w:ind w:firstLineChars="200" w:firstLine="640"/>
        <w:jc w:val="left"/>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三、支出决算情况说明</w:t>
      </w:r>
      <w:r>
        <w:rPr>
          <w:rFonts w:ascii="Times New Roman" w:eastAsia="仿宋_GB2312" w:cs="仿宋_GB2312" w:hAnsi="Times New Roman" w:hint="eastAsia"/>
          <w:color w:val="auto"/>
          <w:sz w:val="32"/>
          <w:szCs w:val="32"/>
          <w:lang w:val="en-US" w:eastAsia="zh-CN"/>
          <w:highlight w:val="auto"/>
        </w:rPr>
        <w:t>.....................................................3</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四、财政拨款收入支出决算总体情况说明</w:t>
      </w:r>
      <w:r>
        <w:rPr>
          <w:rFonts w:eastAsia="仿宋_GB2312" w:cs="仿宋_GB2312" w:hint="eastAsia"/>
          <w:color w:val="auto"/>
          <w:sz w:val="32"/>
          <w:szCs w:val="32"/>
          <w:lang w:val="en-US" w:eastAsia="zh-CN"/>
          <w:highlight w:val="auto"/>
        </w:rPr>
        <w:t>.....................4</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五、一般公共预算财政拨款支出决算情况说明</w:t>
      </w:r>
      <w:r>
        <w:rPr>
          <w:rFonts w:eastAsia="仿宋_GB2312" w:cs="仿宋_GB2312" w:hint="eastAsia"/>
          <w:color w:val="auto"/>
          <w:sz w:val="32"/>
          <w:szCs w:val="32"/>
          <w:lang w:val="en-US" w:eastAsia="zh-CN"/>
          <w:highlight w:val="auto"/>
        </w:rPr>
        <w:t>.............4</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六、一般公共预算财政拨款基本支出决算情况说明</w:t>
      </w:r>
      <w:r>
        <w:rPr>
          <w:rFonts w:eastAsia="仿宋_GB2312" w:cs="仿宋_GB2312" w:hint="eastAsia"/>
          <w:color w:val="auto"/>
          <w:sz w:val="32"/>
          <w:szCs w:val="32"/>
          <w:lang w:val="en-US" w:eastAsia="zh-CN"/>
          <w:highlight w:val="auto"/>
        </w:rPr>
        <w:t>.....7</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七、财政拨款</w:t>
      </w:r>
      <w:r>
        <w:rPr>
          <w:rFonts w:ascii="Times New Roman" w:eastAsia="仿宋_GB2312" w:cs="仿宋_GB2312" w:hAnsi="Times New Roman" w:hint="eastAsia"/>
          <w:color w:val="auto"/>
          <w:sz w:val="32"/>
          <w:szCs w:val="32"/>
          <w:lang w:eastAsia="zh-CN"/>
          <w:highlight w:val="auto"/>
        </w:rPr>
        <w:t>“</w:t>
      </w:r>
      <w:r>
        <w:rPr>
          <w:rFonts w:ascii="Times New Roman" w:eastAsia="仿宋_GB2312" w:cs="仿宋_GB2312" w:hAnsi="Times New Roman" w:hint="eastAsia"/>
          <w:color w:val="auto"/>
          <w:sz w:val="32"/>
          <w:szCs w:val="32"/>
          <w:highlight w:val="auto"/>
        </w:rPr>
        <w:t>三公”经费支出决算情况说明</w:t>
      </w:r>
      <w:r>
        <w:rPr>
          <w:rFonts w:eastAsia="仿宋_GB2312" w:cs="仿宋_GB2312" w:hint="eastAsia"/>
          <w:color w:val="auto"/>
          <w:sz w:val="32"/>
          <w:szCs w:val="32"/>
          <w:lang w:val="en-US" w:eastAsia="zh-CN"/>
          <w:highlight w:val="auto"/>
        </w:rPr>
        <w:t>.............8</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八、政府性基金预算支出决算情况说明</w:t>
      </w:r>
      <w:r>
        <w:rPr>
          <w:rFonts w:eastAsia="仿宋_GB2312" w:cs="仿宋_GB2312" w:hint="eastAsia"/>
          <w:color w:val="auto"/>
          <w:sz w:val="32"/>
          <w:szCs w:val="32"/>
          <w:lang w:val="en-US" w:eastAsia="zh-CN"/>
          <w:highlight w:val="auto"/>
        </w:rPr>
        <w:t>.........................9</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九、</w:t>
      </w:r>
      <w:r>
        <w:rPr>
          <w:rFonts w:ascii="Times New Roman" w:eastAsia="仿宋_GB2312" w:cs="仿宋_GB2312" w:hAnsi="Times New Roman" w:hint="eastAsia"/>
          <w:color w:val="auto"/>
          <w:sz w:val="32"/>
          <w:szCs w:val="32"/>
          <w:lang w:eastAsia="zh-CN"/>
          <w:highlight w:val="auto"/>
        </w:rPr>
        <w:t>国</w:t>
      </w:r>
      <w:r>
        <w:rPr>
          <w:rFonts w:ascii="Times New Roman" w:eastAsia="仿宋_GB2312" w:cs="仿宋_GB2312" w:hAnsi="Times New Roman" w:hint="eastAsia"/>
          <w:color w:val="auto"/>
          <w:sz w:val="32"/>
          <w:szCs w:val="32"/>
          <w:highlight w:val="auto"/>
        </w:rPr>
        <w:t>有资本经营预算支出决算情况说明</w:t>
      </w:r>
      <w:r>
        <w:rPr>
          <w:rFonts w:eastAsia="仿宋_GB2312" w:cs="仿宋_GB2312" w:hint="eastAsia"/>
          <w:color w:val="auto"/>
          <w:sz w:val="32"/>
          <w:szCs w:val="32"/>
          <w:lang w:val="en-US" w:eastAsia="zh-CN"/>
          <w:highlight w:val="auto"/>
        </w:rPr>
        <w:t>.....................9</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lang w:eastAsia="zh-CN"/>
          <w:highlight w:val="auto"/>
        </w:rPr>
        <w:t>十</w:t>
      </w:r>
      <w:r>
        <w:rPr>
          <w:rFonts w:ascii="Times New Roman" w:eastAsia="仿宋_GB2312" w:cs="仿宋_GB2312" w:hAnsi="Times New Roman" w:hint="eastAsia"/>
          <w:color w:val="auto"/>
          <w:sz w:val="32"/>
          <w:szCs w:val="32"/>
          <w:highlight w:val="auto"/>
        </w:rPr>
        <w:t>、其他重要事项的情况说明</w:t>
      </w:r>
      <w:r>
        <w:rPr>
          <w:rFonts w:eastAsia="仿宋_GB2312" w:cs="仿宋_GB2312" w:hint="eastAsia"/>
          <w:color w:val="auto"/>
          <w:sz w:val="32"/>
          <w:szCs w:val="32"/>
          <w:lang w:val="en-US" w:eastAsia="zh-CN"/>
          <w:highlight w:val="auto"/>
        </w:rPr>
        <w:t>.........................................9</w:t>
      </w:r>
    </w:p>
    <w:p>
      <w:pPr>
        <w:pStyle w:val="20"/>
        <w:tabs>
          <w:tab w:val="right" w:leader="dot" w:pos="8296"/>
        </w:tabs>
        <w:adjustRightInd w:val="0"/>
        <w:snapToGrid w:val="0"/>
        <w:spacing w:before="0" w:line="440" w:lineRule="exact"/>
        <w:jc w:val="left"/>
        <w:rPr>
          <w:rFonts w:ascii="Times New Roman" w:eastAsia="黑体" w:cs="黑体" w:hAnsi="Times New Roman"/>
          <w:color w:val="auto"/>
          <w:sz w:val="32"/>
          <w:szCs w:val="32"/>
          <w:lang w:val="en-US"/>
          <w:highlight w:val="auto"/>
        </w:rPr>
      </w:pPr>
      <w:r>
        <w:rPr>
          <w:rFonts w:ascii="Times New Roman" w:eastAsia="黑体" w:cs="黑体" w:hAnsi="Times New Roman" w:hint="eastAsia"/>
          <w:color w:val="auto"/>
          <w:sz w:val="32"/>
          <w:szCs w:val="32"/>
          <w:highlight w:val="auto"/>
        </w:rPr>
        <w:t>第三部分 名词</w:t>
      </w:r>
      <w:r>
        <w:rPr>
          <w:rFonts w:ascii="Times New Roman" w:eastAsia="黑体" w:cs="黑体" w:hAnsi="Times New Roman" w:hint="eastAsia"/>
          <w:color w:val="auto"/>
          <w:sz w:val="32"/>
          <w:szCs w:val="32"/>
          <w:lang w:val="en-US" w:eastAsia="zh-CN"/>
          <w:highlight w:val="auto"/>
        </w:rPr>
        <w:t>解释.................................................................11</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黑体" w:cs="黑体" w:hAnsi="Times New Roman"/>
          <w:color w:val="auto"/>
          <w:sz w:val="32"/>
          <w:szCs w:val="32"/>
          <w:lang w:val="en-US" w:eastAsia="zh-CN"/>
          <w:highlight w:val="auto"/>
        </w:rPr>
      </w:pPr>
      <w:r>
        <w:rPr>
          <w:rFonts w:ascii="Times New Roman" w:eastAsia="黑体" w:cs="黑体" w:hAnsi="Times New Roman" w:hint="eastAsia"/>
          <w:color w:val="auto"/>
          <w:sz w:val="32"/>
          <w:szCs w:val="32"/>
          <w:highlight w:val="auto"/>
        </w:rPr>
        <w:t>第四部分 附件</w:t>
      </w:r>
      <w:r>
        <w:rPr>
          <w:rFonts w:ascii="Times New Roman" w:eastAsia="黑体" w:cs="黑体" w:hAnsi="Times New Roman" w:hint="eastAsia"/>
          <w:color w:val="auto"/>
          <w:sz w:val="32"/>
          <w:szCs w:val="32"/>
          <w:lang w:val="en-US" w:eastAsia="zh-CN"/>
          <w:highlight w:val="auto"/>
        </w:rPr>
        <w:t>.........................................................................13</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黑体" w:cs="黑体" w:hAnsi="Times New Roman"/>
          <w:color w:val="auto"/>
          <w:sz w:val="32"/>
          <w:szCs w:val="32"/>
          <w:lang w:val="en-US" w:eastAsia="zh-CN"/>
          <w:highlight w:val="auto"/>
        </w:rPr>
      </w:pPr>
      <w:r>
        <w:rPr>
          <w:rFonts w:ascii="Times New Roman" w:eastAsia="黑体" w:cs="黑体" w:hAnsi="Times New Roman" w:hint="eastAsia"/>
          <w:color w:val="auto"/>
          <w:sz w:val="32"/>
          <w:szCs w:val="32"/>
          <w:highlight w:val="auto"/>
        </w:rPr>
        <w:t>第五部分 附表</w:t>
      </w:r>
      <w:r>
        <w:rPr>
          <w:rFonts w:ascii="Times New Roman" w:eastAsia="黑体" w:cs="黑体" w:hAnsi="Times New Roman" w:hint="eastAsia"/>
          <w:color w:val="auto"/>
          <w:sz w:val="32"/>
          <w:szCs w:val="32"/>
          <w:lang w:val="en-US" w:eastAsia="zh-CN"/>
          <w:highlight w:val="auto"/>
        </w:rPr>
        <w:t>.........................................................................13</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一、收入支出决算总表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二、收入决算表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三、支出决算表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sectPr>
          <w:footerReference w:type="default" r:id="rId3"/>
          <w:footerReference w:type="first" r:id="rId4"/>
          <w:pgSz w:w="11906" w:h="16838"/>
          <w:pgMar w:top="1440" w:right="1800" w:bottom="1440" w:left="1800" w:header="851" w:footer="992" w:gutter="0"/>
          <w:pgNumType w:start="1"/>
          <w:docGrid w:type="lines" w:linePitch="312" w:charSpace="0"/>
        </w:sectPr>
      </w:pP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四、财政拨款收入支出决算总表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五、财政拨款支出决算明细表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六、一般公共预算财政拨款支出决算表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七、一般公共预算财政拨款支出决算明细表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八、一般公共预算财政拨款基本支出决算</w:t>
      </w:r>
      <w:r>
        <w:rPr>
          <w:rFonts w:ascii="Times New Roman" w:eastAsia="仿宋_GB2312" w:cs="仿宋_GB2312" w:hAnsi="Times New Roman" w:hint="eastAsia"/>
          <w:color w:val="auto"/>
          <w:sz w:val="32"/>
          <w:szCs w:val="32"/>
          <w:lang w:eastAsia="zh-CN"/>
          <w:highlight w:val="auto"/>
        </w:rPr>
        <w:t>明细</w:t>
      </w:r>
      <w:r>
        <w:rPr>
          <w:rFonts w:ascii="Times New Roman" w:eastAsia="仿宋_GB2312" w:cs="仿宋_GB2312" w:hAnsi="Times New Roman" w:hint="eastAsia"/>
          <w:color w:val="auto"/>
          <w:sz w:val="32"/>
          <w:szCs w:val="32"/>
          <w:highlight w:val="auto"/>
        </w:rPr>
        <w:t>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九、一般公共预算财政拨款项目支出决算表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十、政府性基金预算财政拨款收入支出决算表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十一、国有资本经营预算财政拨款收入支出决算表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十二、</w:t>
      </w:r>
      <w:r>
        <w:rPr>
          <w:rFonts w:ascii="Times New Roman" w:eastAsia="仿宋_GB2312" w:cs="仿宋_GB2312" w:hAnsi="Times New Roman" w:hint="eastAsia"/>
          <w:color w:val="auto"/>
          <w:sz w:val="32"/>
          <w:szCs w:val="32"/>
          <w:lang w:val="en-US" w:eastAsia="zh-CN"/>
          <w:highlight w:val="auto"/>
        </w:rPr>
        <w:t>国有资本经营预算财政拨款支出决算表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十三、财政拨款“三公”经费支出决算表</w:t>
      </w:r>
    </w:p>
    <w:p>
      <w:pPr>
        <w:pStyle w:val="1"/>
        <w:jc w:val="center"/>
        <w:rPr>
          <w:rFonts w:ascii="Times New Roman" w:eastAsia="方正小标宋简体" w:cs="方正小标宋简体" w:hAnsi="Times New Roman" w:hint="eastAsia"/>
          <w:b w:val="0"/>
          <w:color w:val="auto"/>
          <w:highlight w:val="auto"/>
        </w:rPr>
        <w:sectPr>
          <w:footerReference w:type="default" r:id="rId5"/>
          <w:pgSz w:w="11906" w:h="16838"/>
          <w:pgMar w:top="1440" w:right="1800" w:bottom="1440" w:left="1800" w:header="851" w:footer="992" w:gutter="0"/>
          <w:pgNumType w:start="1"/>
          <w:docGrid w:type="lines" w:linePitch="312" w:charSpace="0"/>
        </w:sectPr>
      </w:pPr>
      <w:bookmarkStart w:id="7" w:name="_Toc15396599"/>
      <w:bookmarkStart w:id="8" w:name="_Toc15377196"/>
    </w:p>
    <w:p>
      <w:pPr>
        <w:pStyle w:val="1"/>
        <w:jc w:val="center"/>
        <w:rPr>
          <w:rStyle w:val="1Char"/>
          <w:rFonts w:ascii="Times New Roman" w:eastAsia="方正小标宋简体" w:cs="方正小标宋简体" w:hAnsi="Times New Roman" w:hint="eastAsia"/>
          <w:b/>
          <w:bCs w:val="0"/>
          <w:color w:val="auto"/>
          <w:highlight w:val="auto"/>
        </w:rPr>
      </w:pPr>
      <w:r>
        <w:rPr>
          <w:rFonts w:ascii="Times New Roman" w:eastAsia="方正小标宋简体" w:cs="方正小标宋简体" w:hAnsi="Times New Roman" w:hint="eastAsia"/>
          <w:b w:val="0"/>
          <w:color w:val="auto"/>
          <w:highlight w:val="auto"/>
        </w:rPr>
        <w:t>第一部分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Style w:val="1Char"/>
          <w:rFonts w:ascii="Times New Roman" w:eastAsia="方正小标宋简体" w:cs="方正小标宋简体" w:hAnsi="Times New Roman" w:hint="eastAsia"/>
          <w:b w:val="0"/>
          <w:bCs w:val="0"/>
          <w:color w:val="auto"/>
          <w:highlight w:val="auto"/>
        </w:rPr>
        <w:t>部门概况</w:t>
      </w:r>
      <w:bookmarkEnd w:id="7"/>
      <w:bookmarkEnd w:id="8"/>
    </w:p>
    <w:p>
      <w:pPr>
        <w:pStyle w:val="16"/>
        <w:spacing w:after="0" w:line="600" w:lineRule="exact"/>
        <w:ind w:leftChars="0" w:left="0"/>
        <w:rPr>
          <w:rFonts w:ascii="仿宋" w:eastAsia="仿宋" w:hint="eastAsia"/>
          <w:bCs/>
          <w:color w:val="000000"/>
          <w:sz w:val="32"/>
          <w:szCs w:val="32"/>
        </w:rPr>
      </w:pPr>
    </w:p>
    <w:p>
      <w:pPr>
        <w:pStyle w:val="2"/>
        <w:ind w:left="0" w:firstLineChars="200" w:firstLine="640"/>
        <w:rPr>
          <w:rFonts w:ascii="仿宋" w:eastAsia="仿宋"/>
          <w:bCs/>
          <w:color w:val="000000"/>
          <w:sz w:val="32"/>
          <w:szCs w:val="32"/>
        </w:rPr>
      </w:pPr>
      <w:r>
        <w:rPr>
          <w:rFonts w:ascii="仿宋" w:eastAsia="仿宋" w:cs="Times New Roman" w:hint="eastAsia"/>
          <w:b/>
          <w:bCs/>
          <w:color w:val="000000"/>
          <w:kern w:val="2"/>
          <w:sz w:val="32"/>
          <w:szCs w:val="32"/>
          <w:lang w:val="en-US" w:eastAsia="zh-CN" w:bidi="ar-SA"/>
        </w:rPr>
        <w:t>一、</w:t>
      </w:r>
      <w:r>
        <w:rPr>
          <w:rFonts w:ascii="Times New Roman" w:eastAsia="黑体" w:hAnsi="Times New Roman" w:hint="eastAsia"/>
          <w:b w:val="0"/>
          <w:color w:val="auto"/>
          <w:lang w:eastAsia="zh-CN"/>
          <w:highlight w:val="auto"/>
        </w:rPr>
        <w:t>部门职责</w:t>
      </w:r>
    </w:p>
    <w:p>
      <w:pPr>
        <w:pStyle w:val="16"/>
        <w:spacing w:after="0" w:line="600" w:lineRule="exact"/>
        <w:ind w:leftChars="0" w:left="0" w:firstLineChars="200" w:firstLine="640"/>
        <w:rPr>
          <w:rFonts w:ascii="仿宋" w:eastAsia="仿宋" w:hint="eastAsia"/>
          <w:bCs/>
          <w:color w:val="000000"/>
          <w:sz w:val="32"/>
          <w:szCs w:val="32"/>
        </w:rPr>
      </w:pPr>
      <w:r>
        <w:rPr>
          <w:rFonts w:ascii="仿宋" w:eastAsia="仿宋" w:hint="eastAsia"/>
          <w:bCs/>
          <w:color w:val="000000"/>
          <w:sz w:val="32"/>
          <w:szCs w:val="32"/>
        </w:rPr>
        <w:t>我院作为攀枝花市的唯一市级保健机构，肩负的主要职能</w:t>
      </w:r>
      <w:r>
        <w:rPr>
          <w:rFonts w:ascii="仿宋" w:eastAsia="仿宋" w:hint="eastAsia"/>
          <w:bCs/>
          <w:color w:val="000000"/>
          <w:sz w:val="32"/>
          <w:szCs w:val="32"/>
          <w:lang w:val="en-US" w:eastAsia="zh-CN"/>
        </w:rPr>
        <w:t>为</w:t>
      </w:r>
      <w:r>
        <w:rPr>
          <w:rFonts w:ascii="仿宋" w:eastAsia="仿宋" w:hint="eastAsia"/>
          <w:bCs/>
          <w:color w:val="000000"/>
          <w:sz w:val="32"/>
          <w:szCs w:val="32"/>
        </w:rPr>
        <w:t>：</w:t>
      </w:r>
    </w:p>
    <w:p>
      <w:pPr>
        <w:pStyle w:val="16"/>
        <w:spacing w:after="0" w:line="600" w:lineRule="exact"/>
        <w:ind w:leftChars="0" w:left="0"/>
        <w:rPr>
          <w:rFonts w:ascii="仿宋" w:eastAsia="仿宋" w:hint="eastAsia"/>
          <w:bCs/>
          <w:color w:val="000000"/>
          <w:sz w:val="32"/>
          <w:szCs w:val="32"/>
        </w:rPr>
      </w:pPr>
      <w:r>
        <w:rPr>
          <w:rFonts w:ascii="仿宋" w:eastAsia="仿宋" w:hint="eastAsia"/>
          <w:bCs/>
          <w:color w:val="000000"/>
          <w:sz w:val="32"/>
          <w:szCs w:val="32"/>
        </w:rPr>
        <w:t xml:space="preserve">    1.切实履行公共卫生职责，开展与妇女儿童健康密切相关的基本医疗服务。</w:t>
      </w:r>
    </w:p>
    <w:p>
      <w:pPr>
        <w:pStyle w:val="16"/>
        <w:spacing w:after="0" w:line="600" w:lineRule="exact"/>
        <w:ind w:leftChars="0" w:left="0"/>
        <w:rPr>
          <w:rFonts w:ascii="仿宋" w:eastAsia="仿宋"/>
          <w:bCs/>
          <w:color w:val="000000"/>
          <w:sz w:val="32"/>
          <w:szCs w:val="32"/>
        </w:rPr>
      </w:pPr>
      <w:r>
        <w:rPr>
          <w:rFonts w:ascii="仿宋" w:eastAsia="仿宋" w:hint="eastAsia"/>
          <w:bCs/>
          <w:color w:val="000000"/>
          <w:sz w:val="32"/>
          <w:szCs w:val="32"/>
        </w:rPr>
        <w:t xml:space="preserve">    2.完成各级政府和卫生行政部门下达的指令性任务。</w:t>
      </w:r>
    </w:p>
    <w:p>
      <w:pPr>
        <w:pStyle w:val="16"/>
        <w:spacing w:after="0" w:line="600" w:lineRule="exact"/>
        <w:ind w:leftChars="0" w:left="0"/>
        <w:rPr>
          <w:rFonts w:ascii="仿宋" w:eastAsia="仿宋"/>
          <w:bCs/>
          <w:color w:val="000000"/>
          <w:sz w:val="32"/>
          <w:szCs w:val="32"/>
        </w:rPr>
      </w:pPr>
      <w:r>
        <w:rPr>
          <w:rFonts w:ascii="仿宋" w:eastAsia="仿宋" w:hint="eastAsia"/>
          <w:bCs/>
          <w:color w:val="000000"/>
          <w:sz w:val="32"/>
          <w:szCs w:val="32"/>
        </w:rPr>
        <w:t xml:space="preserve">    3.负责指导和开展本辖区的妇幼保健健康教育与健康促进工作；组织实施本辖区母婴保健技术培训，对基层妇幼保健机构开展业务指导，并提供技术支持。</w:t>
      </w:r>
    </w:p>
    <w:p>
      <w:pPr>
        <w:pStyle w:val="16"/>
        <w:spacing w:after="0" w:line="600" w:lineRule="exact"/>
        <w:ind w:leftChars="0" w:left="0"/>
        <w:rPr>
          <w:rFonts w:ascii="仿宋" w:eastAsia="仿宋"/>
          <w:bCs/>
          <w:color w:val="000000"/>
          <w:sz w:val="32"/>
          <w:szCs w:val="32"/>
        </w:rPr>
      </w:pPr>
      <w:r>
        <w:rPr>
          <w:rFonts w:ascii="仿宋" w:eastAsia="仿宋" w:hint="eastAsia"/>
          <w:bCs/>
          <w:color w:val="000000"/>
          <w:sz w:val="32"/>
          <w:szCs w:val="32"/>
        </w:rPr>
        <w:t xml:space="preserve">    4.负责本辖区孕产妇死亡、婴儿及5岁以下儿童的死亡、出生缺陷监测、妇幼卫生服务及技术管理等信息的收集、统计、分析、质量控制和汇总上报。</w:t>
      </w:r>
    </w:p>
    <w:p>
      <w:pPr>
        <w:pStyle w:val="16"/>
        <w:spacing w:after="0" w:line="600" w:lineRule="exact"/>
        <w:ind w:leftChars="0" w:left="0"/>
        <w:rPr>
          <w:rFonts w:ascii="仿宋" w:eastAsia="仿宋"/>
          <w:bCs/>
          <w:color w:val="000000"/>
          <w:sz w:val="32"/>
          <w:szCs w:val="32"/>
        </w:rPr>
      </w:pPr>
      <w:r>
        <w:rPr>
          <w:rFonts w:ascii="仿宋" w:eastAsia="仿宋" w:hint="eastAsia"/>
          <w:bCs/>
          <w:color w:val="000000"/>
          <w:sz w:val="32"/>
          <w:szCs w:val="32"/>
        </w:rPr>
        <w:t xml:space="preserve">    5.开展妇女儿童保健服务项目，并开展对妇幼卫生、生殖健康的应用性科学研究，组织推广适宜技术。</w:t>
      </w:r>
    </w:p>
    <w:p>
      <w:pPr>
        <w:pStyle w:val="16"/>
        <w:spacing w:after="0" w:line="600" w:lineRule="exact"/>
        <w:ind w:leftChars="0" w:left="0" w:firstLine="640"/>
        <w:rPr>
          <w:rFonts w:ascii="仿宋" w:eastAsia="仿宋" w:hint="eastAsia"/>
          <w:bCs/>
          <w:color w:val="000000"/>
          <w:sz w:val="32"/>
          <w:szCs w:val="32"/>
        </w:rPr>
      </w:pPr>
      <w:r>
        <w:rPr>
          <w:rFonts w:ascii="仿宋" w:eastAsia="仿宋" w:hint="eastAsia"/>
          <w:bCs/>
          <w:color w:val="000000"/>
          <w:sz w:val="32"/>
          <w:szCs w:val="32"/>
        </w:rPr>
        <w:t>6.提供以下基本医疗服务，包括妇女儿童常见疾病诊治、计划生育技术服务、产前筛查、新生儿疾病筛查、助产技术服务、产前诊断、产科并发症处理、新生儿危重症抢救和治疗等。</w:t>
      </w:r>
    </w:p>
    <w:p>
      <w:pPr>
        <w:pStyle w:val="16"/>
        <w:spacing w:after="0" w:line="600" w:lineRule="exact"/>
        <w:ind w:leftChars="0" w:left="0" w:firstLine="640"/>
        <w:rPr>
          <w:rFonts w:ascii="仿宋" w:eastAsia="仿宋"/>
          <w:bCs/>
          <w:color w:val="000000"/>
          <w:sz w:val="32"/>
          <w:szCs w:val="32"/>
          <w:lang w:val="en-US" w:eastAsia="zh-CN"/>
        </w:rPr>
      </w:pPr>
      <w:r>
        <w:rPr>
          <w:rFonts w:ascii="仿宋" w:eastAsia="仿宋" w:hint="eastAsia"/>
          <w:bCs/>
          <w:color w:val="000000"/>
          <w:sz w:val="32"/>
          <w:szCs w:val="32"/>
          <w:lang w:val="en-US" w:eastAsia="zh-CN"/>
        </w:rPr>
        <w:t>7.开展辅助生殖技术，增加新生儿出生率。</w:t>
      </w:r>
    </w:p>
    <w:p>
      <w:pPr>
        <w:rPr>
          <w:rFonts w:hint="eastAsia"/>
          <w:lang w:eastAsia="zh-CN"/>
        </w:rPr>
      </w:pPr>
    </w:p>
    <w:p>
      <w:pPr>
        <w:pStyle w:val="2"/>
        <w:ind w:firstLineChars="200" w:firstLine="640"/>
        <w:rPr>
          <w:rStyle w:val="2Char"/>
          <w:rFonts w:ascii="Times New Roman" w:hAnsi="Times New Roman"/>
          <w:b w:val="0"/>
          <w:bCs w:val="0"/>
          <w:color w:val="auto"/>
          <w:highlight w:val="auto"/>
        </w:rPr>
      </w:pPr>
      <w:bookmarkStart w:id="9" w:name="_Toc15396601"/>
      <w:bookmarkStart w:id="10" w:name="_Toc15377200"/>
      <w:r>
        <w:rPr>
          <w:rFonts w:ascii="Times New Roman" w:eastAsia="黑体" w:hAnsi="Times New Roman" w:hint="eastAsia"/>
          <w:b w:val="0"/>
          <w:color w:val="auto"/>
          <w:highlight w:val="auto"/>
        </w:rPr>
        <w:t>二、机</w:t>
      </w:r>
      <w:r>
        <w:rPr>
          <w:rStyle w:val="2Char"/>
          <w:rFonts w:ascii="Times New Roman" w:eastAsia="黑体" w:hAnsi="Times New Roman" w:hint="eastAsia"/>
          <w:b w:val="0"/>
          <w:bCs w:val="0"/>
          <w:color w:val="auto"/>
          <w:highlight w:val="auto"/>
        </w:rPr>
        <w:t>构设置</w:t>
      </w:r>
      <w:bookmarkEnd w:id="9"/>
      <w:bookmarkEnd w:id="10"/>
    </w:p>
    <w:p>
      <w:pPr>
        <w:ind w:firstLineChars="200" w:firstLine="640"/>
        <w:rPr>
          <w:rFonts w:ascii="Times New Roman" w:eastAsia="仿宋_GB2312" w:cs="仿宋_GB2312" w:hAnsi="Times New Roman" w:hint="eastAsia"/>
          <w:color w:val="auto"/>
          <w:sz w:val="32"/>
          <w:szCs w:val="32"/>
          <w:highlight w:val="auto"/>
        </w:rPr>
      </w:pPr>
      <w:r>
        <w:rPr>
          <w:rFonts w:ascii="仿宋_GB2312" w:eastAsia="仿宋_GB2312" w:cs="仿宋_GB2312" w:hint="eastAsia"/>
          <w:color w:val="auto"/>
          <w:sz w:val="32"/>
          <w:szCs w:val="32"/>
          <w:highlight w:val="auto"/>
        </w:rPr>
        <w:t>四川省攀枝花市妇幼保健院</w:t>
      </w:r>
      <w:r>
        <w:rPr>
          <w:rFonts w:ascii="Times New Roman" w:eastAsia="仿宋_GB2312" w:cs="仿宋_GB2312" w:hAnsi="Times New Roman" w:hint="eastAsia"/>
          <w:color w:val="auto"/>
          <w:sz w:val="32"/>
          <w:szCs w:val="32"/>
          <w:highlight w:val="auto"/>
        </w:rPr>
        <w:t>下属二级</w:t>
      </w:r>
      <w:r>
        <w:rPr>
          <w:rFonts w:ascii="Times New Roman" w:eastAsia="仿宋_GB2312" w:cs="仿宋_GB2312" w:hAnsi="Times New Roman" w:hint="eastAsia"/>
          <w:color w:val="auto"/>
          <w:sz w:val="32"/>
          <w:szCs w:val="32"/>
          <w:lang w:eastAsia="zh-CN"/>
          <w:highlight w:val="auto"/>
        </w:rPr>
        <w:t>预算</w:t>
      </w:r>
      <w:r>
        <w:rPr>
          <w:rFonts w:ascii="Times New Roman" w:eastAsia="仿宋_GB2312" w:cs="仿宋_GB2312" w:hAnsi="Times New Roman" w:hint="eastAsia"/>
          <w:color w:val="auto"/>
          <w:sz w:val="32"/>
          <w:szCs w:val="32"/>
          <w:highlight w:val="auto"/>
        </w:rPr>
        <w:t>单位</w:t>
      </w:r>
      <w:r>
        <w:rPr>
          <w:rFonts w:eastAsia="仿宋_GB2312" w:cs="仿宋_GB2312" w:hint="eastAsia"/>
          <w:color w:val="auto"/>
          <w:sz w:val="32"/>
          <w:szCs w:val="32"/>
          <w:lang w:val="en-US" w:eastAsia="zh-CN"/>
          <w:highlight w:val="auto"/>
        </w:rPr>
        <w:t>0</w:t>
      </w:r>
      <w:r>
        <w:rPr>
          <w:rFonts w:ascii="Times New Roman" w:eastAsia="仿宋_GB2312" w:cs="仿宋_GB2312" w:hAnsi="Times New Roman" w:hint="eastAsia"/>
          <w:color w:val="auto"/>
          <w:sz w:val="32"/>
          <w:szCs w:val="32"/>
          <w:highlight w:val="auto"/>
        </w:rPr>
        <w:t>个，其中行政单位</w:t>
      </w:r>
      <w:r>
        <w:rPr>
          <w:rFonts w:eastAsia="仿宋_GB2312" w:cs="仿宋_GB2312" w:hint="eastAsia"/>
          <w:color w:val="auto"/>
          <w:sz w:val="32"/>
          <w:szCs w:val="32"/>
          <w:lang w:val="en-US" w:eastAsia="zh-CN"/>
          <w:highlight w:val="auto"/>
        </w:rPr>
        <w:t>0</w:t>
      </w:r>
      <w:r>
        <w:rPr>
          <w:rFonts w:ascii="Times New Roman" w:eastAsia="仿宋_GB2312" w:cs="仿宋_GB2312" w:hAnsi="Times New Roman" w:hint="eastAsia"/>
          <w:color w:val="auto"/>
          <w:sz w:val="32"/>
          <w:szCs w:val="32"/>
          <w:highlight w:val="auto"/>
        </w:rPr>
        <w:t>个，参照公务员法管理的事业单位</w:t>
      </w:r>
      <w:r>
        <w:rPr>
          <w:rFonts w:eastAsia="仿宋_GB2312" w:cs="仿宋_GB2312" w:hint="eastAsia"/>
          <w:bCs/>
          <w:color w:val="auto"/>
          <w:sz w:val="32"/>
          <w:szCs w:val="32"/>
          <w:lang w:val="en-US" w:eastAsia="zh-CN"/>
          <w:highlight w:val="auto"/>
        </w:rPr>
        <w:t>0</w:t>
      </w:r>
      <w:r>
        <w:rPr>
          <w:rFonts w:ascii="Times New Roman" w:eastAsia="仿宋_GB2312" w:cs="仿宋_GB2312" w:hAnsi="Times New Roman" w:hint="eastAsia"/>
          <w:color w:val="auto"/>
          <w:sz w:val="32"/>
          <w:szCs w:val="32"/>
          <w:highlight w:val="auto"/>
        </w:rPr>
        <w:t>个，其他事业单位</w:t>
      </w:r>
      <w:r>
        <w:rPr>
          <w:rFonts w:eastAsia="仿宋_GB2312" w:cs="仿宋_GB2312" w:hint="eastAsia"/>
          <w:color w:val="auto"/>
          <w:sz w:val="32"/>
          <w:szCs w:val="32"/>
          <w:lang w:val="en-US" w:eastAsia="zh-CN"/>
          <w:highlight w:val="auto"/>
        </w:rPr>
        <w:t>0</w:t>
      </w:r>
      <w:r>
        <w:rPr>
          <w:rFonts w:ascii="Times New Roman" w:eastAsia="仿宋_GB2312" w:cs="仿宋_GB2312" w:hAnsi="Times New Roman" w:hint="eastAsia"/>
          <w:color w:val="auto"/>
          <w:sz w:val="32"/>
          <w:szCs w:val="32"/>
          <w:highlight w:val="auto"/>
        </w:rPr>
        <w:t>个。</w:t>
      </w:r>
    </w:p>
    <w:p>
      <w:pPr>
        <w:pStyle w:val="1"/>
        <w:jc w:val="center"/>
        <w:rPr>
          <w:rFonts w:ascii="Times New Roman" w:eastAsia="方正小标宋简体" w:cs="方正小标宋简体" w:hAnsi="Times New Roman" w:hint="eastAsia"/>
          <w:b w:val="0"/>
          <w:color w:val="auto"/>
          <w:highlight w:val="auto"/>
        </w:rPr>
      </w:pPr>
      <w:bookmarkStart w:id="11" w:name="_Toc15396602"/>
      <w:bookmarkStart w:id="12" w:name="_Toc15377204"/>
      <w:r>
        <w:rPr>
          <w:rFonts w:ascii="Times New Roman" w:eastAsia="方正小标宋简体" w:cs="方正小标宋简体" w:hAnsi="Times New Roman" w:hint="eastAsia"/>
          <w:b w:val="0"/>
          <w:color w:val="auto"/>
          <w:highlight w:val="auto"/>
        </w:rPr>
        <w:t>第二部分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Fonts w:ascii="Times New Roman" w:eastAsia="方正小标宋简体" w:cs="方正小标宋简体" w:hAnsi="Times New Roman" w:hint="eastAsia"/>
          <w:b w:val="0"/>
          <w:color w:val="auto"/>
          <w:lang w:val="en-US" w:eastAsia="zh-CN"/>
          <w:highlight w:val="auto"/>
        </w:rPr>
        <w:t>2024年度</w:t>
      </w:r>
      <w:r>
        <w:rPr>
          <w:rFonts w:ascii="Times New Roman" w:eastAsia="方正小标宋简体" w:cs="方正小标宋简体" w:hAnsi="Times New Roman" w:hint="eastAsia"/>
          <w:b w:val="0"/>
          <w:color w:val="auto"/>
          <w:highlight w:val="auto"/>
        </w:rPr>
        <w:t>部门决算情况说明</w:t>
      </w:r>
      <w:bookmarkEnd w:id="11"/>
      <w:bookmarkEnd w:id="12"/>
    </w:p>
    <w:p>
      <w:pPr>
        <w:rPr>
          <w:rFonts w:ascii="Times New Roman" w:hAnsi="Times New Roman"/>
          <w:color w:val="auto"/>
          <w:highlight w:val="auto"/>
        </w:rPr>
      </w:pPr>
    </w:p>
    <w:p>
      <w:pPr>
        <w:pStyle w:val="23"/>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13" w:name="_Toc15396603"/>
      <w:bookmarkStart w:id="14" w:name="_Toc15377205"/>
      <w:r>
        <w:rPr>
          <w:rFonts w:ascii="Times New Roman" w:eastAsia="黑体" w:hAnsi="Times New Roman" w:hint="eastAsia"/>
          <w:color w:val="auto"/>
          <w:sz w:val="32"/>
          <w:szCs w:val="32"/>
          <w:lang w:eastAsia="zh-CN"/>
          <w:highlight w:val="auto"/>
        </w:rPr>
        <w:t>一、</w:t>
      </w:r>
      <w:r>
        <w:rPr>
          <w:rFonts w:ascii="Times New Roman" w:eastAsia="黑体" w:hAnsi="Times New Roman" w:hint="eastAsia"/>
          <w:color w:val="auto"/>
          <w:sz w:val="32"/>
          <w:szCs w:val="32"/>
          <w:highlight w:val="auto"/>
        </w:rPr>
        <w:t>收</w:t>
      </w:r>
      <w:r>
        <w:rPr>
          <w:rStyle w:val="2Char"/>
          <w:rFonts w:ascii="Times New Roman" w:eastAsia="黑体" w:hAnsi="Times New Roman" w:hint="eastAsia"/>
          <w:b w:val="0"/>
          <w:color w:val="auto"/>
          <w:highlight w:val="auto"/>
        </w:rPr>
        <w:t>入支出决算总体情况说明</w:t>
      </w:r>
      <w:bookmarkEnd w:id="13"/>
      <w:bookmarkEnd w:id="14"/>
    </w:p>
    <w:p>
      <w:pPr>
        <w:spacing w:line="600" w:lineRule="exact"/>
        <w:ind w:firstLineChars="200" w:firstLine="64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2024年度收入</w:t>
      </w:r>
      <w:r>
        <w:rPr>
          <w:rFonts w:eastAsia="仿宋_GB2312" w:cs="仿宋_GB2312" w:hint="eastAsia"/>
          <w:color w:val="auto"/>
          <w:sz w:val="32"/>
          <w:szCs w:val="32"/>
          <w:lang w:eastAsia="zh-CN"/>
          <w:highlight w:val="auto"/>
        </w:rPr>
        <w:t>、</w:t>
      </w:r>
      <w:r>
        <w:rPr>
          <w:rFonts w:eastAsia="仿宋_GB2312" w:cs="仿宋_GB2312" w:hint="eastAsia"/>
          <w:color w:val="auto"/>
          <w:sz w:val="32"/>
          <w:szCs w:val="32"/>
          <w:lang w:val="en-US" w:eastAsia="zh-CN"/>
          <w:highlight w:val="auto"/>
        </w:rPr>
        <w:t>支出总计均为16584.86万元，</w:t>
      </w:r>
      <w:r>
        <w:rPr>
          <w:rFonts w:ascii="Times New Roman" w:eastAsia="仿宋_GB2312" w:cs="仿宋_GB2312" w:hAnsi="Times New Roman" w:hint="eastAsia"/>
          <w:color w:val="auto"/>
          <w:sz w:val="32"/>
          <w:szCs w:val="32"/>
          <w:highlight w:val="auto"/>
        </w:rPr>
        <w:t>与</w:t>
      </w:r>
      <w:r>
        <w:rPr>
          <w:rFonts w:ascii="Times New Roman" w:eastAsia="仿宋_GB2312" w:cs="仿宋_GB2312" w:hAnsi="Times New Roman" w:hint="eastAsia"/>
          <w:color w:val="auto"/>
          <w:sz w:val="32"/>
          <w:szCs w:val="32"/>
          <w:lang w:eastAsia="zh-CN"/>
          <w:highlight w:val="auto"/>
        </w:rPr>
        <w:t>202</w:t>
      </w:r>
      <w:r>
        <w:rPr>
          <w:rFonts w:ascii="Times New Roman" w:eastAsia="仿宋_GB2312" w:cs="仿宋_GB2312" w:hAnsi="Times New Roman" w:hint="eastAsia"/>
          <w:color w:val="auto"/>
          <w:sz w:val="32"/>
          <w:szCs w:val="32"/>
          <w:lang w:val="en-US" w:eastAsia="zh-CN"/>
          <w:highlight w:val="auto"/>
        </w:rPr>
        <w:t>3</w:t>
      </w:r>
      <w:r>
        <w:rPr>
          <w:rFonts w:ascii="Times New Roman" w:eastAsia="仿宋_GB2312" w:cs="仿宋_GB2312" w:hAnsi="Times New Roman" w:hint="eastAsia"/>
          <w:color w:val="auto"/>
          <w:sz w:val="32"/>
          <w:szCs w:val="32"/>
          <w:highlight w:val="auto"/>
        </w:rPr>
        <w:t>年</w:t>
      </w:r>
      <w:r>
        <w:rPr>
          <w:rFonts w:ascii="Times New Roman" w:eastAsia="仿宋_GB2312" w:cs="仿宋_GB2312" w:hAnsi="Times New Roman" w:hint="eastAsia"/>
          <w:color w:val="auto"/>
          <w:sz w:val="32"/>
          <w:szCs w:val="32"/>
          <w:lang w:eastAsia="zh-CN"/>
          <w:highlight w:val="auto"/>
        </w:rPr>
        <w:t>度</w:t>
      </w:r>
      <w:r>
        <w:rPr>
          <w:rFonts w:ascii="Times New Roman" w:eastAsia="仿宋_GB2312" w:cs="仿宋_GB2312" w:hAnsi="Times New Roman" w:hint="eastAsia"/>
          <w:color w:val="auto"/>
          <w:sz w:val="32"/>
          <w:szCs w:val="32"/>
          <w:highlight w:val="auto"/>
        </w:rPr>
        <w:t>相比，</w:t>
      </w:r>
      <w:r>
        <w:rPr>
          <w:rFonts w:ascii="Times New Roman" w:eastAsia="仿宋_GB2312" w:cs="仿宋_GB2312" w:hAnsi="Times New Roman" w:hint="eastAsia"/>
          <w:color w:val="auto"/>
          <w:sz w:val="32"/>
          <w:szCs w:val="32"/>
          <w:lang w:eastAsia="zh-CN"/>
          <w:highlight w:val="auto"/>
        </w:rPr>
        <w:t>收入</w:t>
      </w:r>
      <w:r>
        <w:rPr>
          <w:rFonts w:eastAsia="仿宋_GB2312" w:cs="仿宋_GB2312" w:hint="eastAsia"/>
          <w:color w:val="auto"/>
          <w:sz w:val="32"/>
          <w:szCs w:val="32"/>
          <w:lang w:eastAsia="zh-CN"/>
          <w:highlight w:val="auto"/>
        </w:rPr>
        <w:t>、</w:t>
      </w:r>
      <w:r>
        <w:rPr>
          <w:rFonts w:eastAsia="仿宋_GB2312" w:cs="仿宋_GB2312" w:hint="eastAsia"/>
          <w:color w:val="auto"/>
          <w:sz w:val="32"/>
          <w:szCs w:val="32"/>
          <w:lang w:val="en-US" w:eastAsia="zh-CN"/>
          <w:highlight w:val="auto"/>
        </w:rPr>
        <w:t xml:space="preserve">支出总计各增加490.05万元，增长3.04%。 </w:t>
      </w:r>
      <w:r>
        <w:rPr>
          <w:rFonts w:ascii="Times New Roman" w:eastAsia="仿宋_GB2312" w:cs="仿宋_GB2312" w:hAnsi="Times New Roman" w:hint="eastAsia"/>
          <w:color w:val="auto"/>
          <w:sz w:val="32"/>
          <w:szCs w:val="32"/>
          <w:highlight w:val="auto"/>
        </w:rPr>
        <w:t>主要变动原因是</w:t>
      </w:r>
      <w:r>
        <w:rPr>
          <w:rFonts w:ascii="仿宋" w:eastAsia="仿宋" w:hint="eastAsia"/>
          <w:sz w:val="32"/>
          <w:szCs w:val="32"/>
        </w:rPr>
        <w:t>业务量上涨，收入与支出都较上年有</w:t>
      </w:r>
      <w:r>
        <w:rPr>
          <w:rFonts w:ascii="仿宋" w:eastAsia="仿宋" w:hint="eastAsia"/>
          <w:sz w:val="32"/>
          <w:szCs w:val="32"/>
          <w:lang w:val="en-US" w:eastAsia="zh-CN"/>
        </w:rPr>
        <w:t>所</w:t>
      </w:r>
      <w:r>
        <w:rPr>
          <w:rFonts w:ascii="仿宋" w:eastAsia="仿宋" w:hint="eastAsia"/>
          <w:sz w:val="32"/>
          <w:szCs w:val="32"/>
        </w:rPr>
        <w:t>增长。</w:t>
      </w:r>
    </w:p>
    <w:p>
      <w:pPr>
        <w:keepNext w:val="0"/>
        <w:keepLines w:val="0"/>
        <w:pageBreakBefore w:val="0"/>
        <w:widowControl w:val="0"/>
        <w:kinsoku/>
        <w:wordWrap/>
        <w:overflowPunct/>
        <w:topLinePunct w:val="0"/>
        <w:autoSpaceDE/>
        <w:autoSpaceDN/>
        <w:bidi w:val="0"/>
        <w:adjustRightInd/>
        <w:snapToGrid/>
        <w:ind w:firstLineChars="400" w:firstLine="1280"/>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（图1：</w:t>
      </w:r>
      <w:r>
        <w:rPr>
          <w:rFonts w:ascii="Times New Roman" w:eastAsia="仿宋_GB2312" w:cs="仿宋_GB2312" w:hAnsi="Times New Roman" w:hint="eastAsia"/>
          <w:color w:val="auto"/>
          <w:sz w:val="32"/>
          <w:szCs w:val="32"/>
          <w:lang w:eastAsia="zh-CN"/>
          <w:highlight w:val="auto"/>
        </w:rPr>
        <w:t>收入</w:t>
      </w:r>
      <w:r>
        <w:rPr>
          <w:rFonts w:ascii="Times New Roman" w:eastAsia="仿宋_GB2312" w:cs="仿宋_GB2312" w:hAnsi="Times New Roman" w:hint="eastAsia"/>
          <w:color w:val="auto"/>
          <w:sz w:val="32"/>
          <w:szCs w:val="32"/>
          <w:highlight w:val="auto"/>
        </w:rPr>
        <w:t>、</w:t>
      </w:r>
      <w:r>
        <w:rPr>
          <w:rFonts w:ascii="Times New Roman" w:eastAsia="仿宋_GB2312" w:cs="仿宋_GB2312" w:hAnsi="Times New Roman" w:hint="eastAsia"/>
          <w:color w:val="auto"/>
          <w:sz w:val="32"/>
          <w:szCs w:val="32"/>
          <w:lang w:eastAsia="zh-CN"/>
          <w:highlight w:val="auto"/>
        </w:rPr>
        <w:t>支出</w:t>
      </w:r>
      <w:r>
        <w:rPr>
          <w:rFonts w:ascii="Times New Roman" w:eastAsia="仿宋_GB2312" w:cs="仿宋_GB2312" w:hAnsi="Times New Roman" w:hint="eastAsia"/>
          <w:color w:val="auto"/>
          <w:sz w:val="32"/>
          <w:szCs w:val="32"/>
          <w:highlight w:val="auto"/>
        </w:rPr>
        <w:t>决算总计变动情况图）</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inline distT="0" distB="0" distL="114300" distR="114300">
            <wp:extent cx="4706620" cy="2956560"/>
            <wp:effectExtent l="0" t="0" r="0" b="0"/>
            <wp:docPr id="7" name="图表 1"/>
            <wp:cNvGraphicFramePr>
              <a:graphicFrameLocks noChangeAspect="0"/>
            </wp:cNvGraphicFramePr>
            <a:graphic>
              <a:graphicData uri="http://schemas.openxmlformats.org/drawingml/2006/chart">
                <c:chart xmlns:c="http://schemas.openxmlformats.org/drawingml/2006/chart" r:id="rId7"/>
              </a:graphicData>
            </a:graphic>
          </wp:inline>
        </w:drawing>
      </w:r>
    </w:p>
    <w:p>
      <w:pPr>
        <w:pStyle w:val="23"/>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黑体" w:hAnsi="Times New Roman" w:hint="eastAsia"/>
          <w:color w:val="auto"/>
          <w:sz w:val="32"/>
          <w:szCs w:val="32"/>
          <w:lang w:eastAsia="zh-CN"/>
          <w:highlight w:val="auto"/>
        </w:rPr>
      </w:pPr>
      <w:bookmarkStart w:id="15" w:name="_Toc15396604"/>
      <w:bookmarkStart w:id="16" w:name="_Toc15377206"/>
      <w:r>
        <w:rPr>
          <w:rFonts w:ascii="Times New Roman" w:eastAsia="黑体" w:hAnsi="Times New Roman" w:hint="eastAsia"/>
          <w:color w:val="auto"/>
          <w:sz w:val="32"/>
          <w:szCs w:val="32"/>
          <w:lang w:eastAsia="zh-CN"/>
          <w:highlight w:val="auto"/>
        </w:rPr>
        <w:t>二、收入决算情况说明</w:t>
      </w:r>
      <w:bookmarkEnd w:id="15"/>
      <w:bookmarkEnd w:id="16"/>
    </w:p>
    <w:p>
      <w:pPr>
        <w:pStyle w:val="23"/>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outlineLvl w:val="1"/>
        <w:rPr>
          <w:rFonts w:ascii="Times New Roman" w:eastAsia="仿宋_GB2312" w:cs="仿宋_GB2312" w:hAnsi="Times New Roman" w:hint="eastAsia"/>
          <w:b/>
          <w:bCs/>
          <w:color w:val="auto"/>
          <w:sz w:val="32"/>
          <w:szCs w:val="32"/>
          <w:lang w:eastAsia="zh-CN"/>
          <w:highlight w:val="auto"/>
        </w:rPr>
      </w:pPr>
      <w:r>
        <w:rPr>
          <w:rFonts w:ascii="仿宋_GB2312" w:eastAsia="仿宋_GB2312" w:cs="仿宋_GB2312" w:hint="eastAsia"/>
          <w:color w:val="auto"/>
          <w:sz w:val="32"/>
          <w:szCs w:val="32"/>
          <w:lang w:eastAsia="zh-CN"/>
          <w:highlight w:val="auto"/>
        </w:rPr>
        <w:t>2024年度本年收入合计</w:t>
      </w:r>
      <w:r>
        <w:rPr>
          <w:rFonts w:ascii="仿宋_GB2312" w:eastAsia="仿宋_GB2312" w:cs="仿宋_GB2312" w:hint="eastAsia"/>
          <w:sz w:val="32"/>
          <w:szCs w:val="32"/>
        </w:rPr>
        <w:t>16584.86万元，其中：一般公共预算财政拨款收入377.52</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2.2</w:t>
      </w:r>
      <w:r>
        <w:rPr>
          <w:rFonts w:ascii="仿宋_GB2312" w:eastAsia="仿宋_GB2312" w:cs="仿宋_GB2312" w:hint="eastAsia"/>
          <w:sz w:val="32"/>
          <w:szCs w:val="32"/>
          <w:lang w:val="en-US" w:eastAsia="zh-CN"/>
        </w:rPr>
        <w:t>8</w:t>
      </w:r>
      <w:r>
        <w:rPr>
          <w:rFonts w:ascii="仿宋_GB2312" w:eastAsia="仿宋_GB2312" w:cs="仿宋_GB2312" w:hint="eastAsia"/>
          <w:color w:val="auto"/>
          <w:sz w:val="32"/>
          <w:szCs w:val="32"/>
          <w:lang w:eastAsia="zh-CN"/>
          <w:highlight w:val="auto"/>
        </w:rPr>
        <w:t>%；政府性基金预算财政拨款收入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；国有资本经营预算财政拨款收入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%；上级补助收入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%；事业收入</w:t>
      </w:r>
      <w:r>
        <w:rPr>
          <w:rFonts w:ascii="仿宋_GB2312" w:eastAsia="仿宋_GB2312" w:cs="仿宋_GB2312" w:hint="eastAsia"/>
          <w:sz w:val="32"/>
          <w:szCs w:val="32"/>
        </w:rPr>
        <w:t>15849.84</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95.5</w:t>
      </w:r>
      <w:r>
        <w:rPr>
          <w:rFonts w:ascii="仿宋_GB2312" w:eastAsia="仿宋_GB2312" w:cs="仿宋_GB2312" w:hint="eastAsia"/>
          <w:sz w:val="32"/>
          <w:szCs w:val="32"/>
          <w:lang w:val="en-US" w:eastAsia="zh-CN"/>
        </w:rPr>
        <w:t>7</w:t>
      </w:r>
      <w:r>
        <w:rPr>
          <w:rFonts w:ascii="仿宋_GB2312" w:eastAsia="仿宋_GB2312" w:cs="仿宋_GB2312" w:hint="eastAsia"/>
          <w:color w:val="auto"/>
          <w:sz w:val="32"/>
          <w:szCs w:val="32"/>
          <w:lang w:eastAsia="zh-CN"/>
          <w:highlight w:val="auto"/>
        </w:rPr>
        <w:t>%；经营收入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%；附属单位上缴收入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%；其他收入</w:t>
      </w:r>
      <w:r>
        <w:rPr>
          <w:rFonts w:ascii="仿宋_GB2312" w:eastAsia="仿宋_GB2312" w:cs="仿宋_GB2312" w:hint="eastAsia"/>
          <w:sz w:val="32"/>
          <w:szCs w:val="32"/>
        </w:rPr>
        <w:t>357.5</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2.15</w:t>
      </w:r>
      <w:r>
        <w:rPr>
          <w:rFonts w:ascii="仿宋_GB2312" w:eastAsia="仿宋_GB2312" w:cs="仿宋_GB2312" w:hint="eastAsia"/>
          <w:color w:val="auto"/>
          <w:sz w:val="32"/>
          <w:szCs w:val="32"/>
          <w:lang w:eastAsia="zh-CN"/>
          <w:highlight w:val="auto"/>
        </w:rPr>
        <w:t>%。</w:t>
      </w:r>
    </w:p>
    <w:p>
      <w:pPr>
        <w:ind w:firstLineChars="750" w:firstLine="24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（图2：收入决算结构图）</w:t>
      </w:r>
    </w:p>
    <w:p>
      <w:pPr>
        <w:ind w:firstLineChars="250" w:firstLine="8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inline distT="0" distB="0" distL="114300" distR="114300">
            <wp:extent cx="4600575" cy="2904490"/>
            <wp:effectExtent l="0" t="0" r="0" b="0"/>
            <wp:docPr id="8" name="图表 2"/>
            <wp:cNvGraphicFramePr>
              <a:graphicFrameLocks noChangeAspect="0"/>
            </wp:cNvGraphicFramePr>
            <a:graphic>
              <a:graphicData uri="http://schemas.openxmlformats.org/drawingml/2006/chart">
                <c:chart xmlns:c="http://schemas.openxmlformats.org/drawingml/2006/chart" r:id="rId8"/>
              </a:graphicData>
            </a:graphic>
          </wp:inline>
        </w:drawing>
      </w:r>
    </w:p>
    <w:p>
      <w:pPr>
        <w:pStyle w:val="23"/>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17" w:name="_Toc15377207"/>
      <w:bookmarkStart w:id="18" w:name="_Toc15396605"/>
      <w:r>
        <w:rPr>
          <w:rFonts w:ascii="Times New Roman" w:eastAsia="黑体" w:hAnsi="Times New Roman" w:hint="eastAsia"/>
          <w:color w:val="auto"/>
          <w:sz w:val="32"/>
          <w:szCs w:val="32"/>
          <w:lang w:eastAsia="zh-CN"/>
          <w:highlight w:val="auto"/>
        </w:rPr>
        <w:t>三、</w:t>
      </w:r>
      <w:r>
        <w:rPr>
          <w:rFonts w:ascii="Times New Roman" w:eastAsia="黑体" w:hAnsi="Times New Roman" w:hint="eastAsia"/>
          <w:color w:val="auto"/>
          <w:sz w:val="32"/>
          <w:szCs w:val="32"/>
          <w:highlight w:val="auto"/>
        </w:rPr>
        <w:t>支</w:t>
      </w:r>
      <w:r>
        <w:rPr>
          <w:rStyle w:val="2Char"/>
          <w:rFonts w:ascii="Times New Roman" w:eastAsia="黑体" w:hAnsi="Times New Roman" w:hint="eastAsia"/>
          <w:b w:val="0"/>
          <w:color w:val="auto"/>
          <w:highlight w:val="auto"/>
        </w:rPr>
        <w:t>出决算情况说明</w:t>
      </w:r>
      <w:bookmarkEnd w:id="17"/>
      <w:bookmarkEnd w:id="18"/>
    </w:p>
    <w:p>
      <w:pPr>
        <w:pStyle w:val="23"/>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outlineLvl w:val="1"/>
        <w:rPr>
          <w:rFonts w:ascii="Times New Roman" w:eastAsia="仿宋_GB2312" w:cs="仿宋_GB2312" w:hAnsi="Times New Roman" w:hint="eastAsia"/>
          <w:color w:val="auto"/>
          <w:sz w:val="32"/>
          <w:szCs w:val="32"/>
          <w:lang w:eastAsia="zh-CN"/>
          <w:highlight w:val="auto"/>
        </w:rPr>
      </w:pPr>
      <w:r>
        <w:rPr>
          <w:rFonts w:ascii="仿宋_GB2312" w:eastAsia="仿宋_GB2312" w:cs="仿宋_GB2312" w:hint="eastAsia"/>
          <w:color w:val="auto"/>
          <w:sz w:val="32"/>
          <w:szCs w:val="32"/>
          <w:lang w:eastAsia="zh-CN"/>
          <w:highlight w:val="auto"/>
        </w:rPr>
        <w:t>2024年度本年支出合计</w:t>
      </w:r>
      <w:r>
        <w:rPr>
          <w:rFonts w:ascii="仿宋_GB2312" w:eastAsia="仿宋_GB2312" w:cs="仿宋_GB2312" w:hint="eastAsia"/>
          <w:sz w:val="32"/>
          <w:szCs w:val="32"/>
        </w:rPr>
        <w:t>16516.33</w:t>
      </w:r>
      <w:r>
        <w:rPr>
          <w:rFonts w:ascii="仿宋_GB2312" w:eastAsia="仿宋_GB2312" w:cs="仿宋_GB2312" w:hint="eastAsia"/>
          <w:color w:val="auto"/>
          <w:sz w:val="32"/>
          <w:szCs w:val="32"/>
          <w:lang w:eastAsia="zh-CN"/>
          <w:highlight w:val="auto"/>
        </w:rPr>
        <w:t>万元，其中：基本支出</w:t>
      </w:r>
      <w:r>
        <w:rPr>
          <w:rFonts w:ascii="仿宋_GB2312" w:eastAsia="仿宋_GB2312" w:cs="仿宋_GB2312" w:hint="eastAsia"/>
          <w:sz w:val="32"/>
          <w:szCs w:val="32"/>
        </w:rPr>
        <w:t>16356.81</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99.03</w:t>
      </w:r>
      <w:r>
        <w:rPr>
          <w:rFonts w:ascii="仿宋_GB2312" w:eastAsia="仿宋_GB2312" w:cs="仿宋_GB2312" w:hint="eastAsia"/>
          <w:color w:val="auto"/>
          <w:sz w:val="32"/>
          <w:szCs w:val="32"/>
          <w:lang w:eastAsia="zh-CN"/>
          <w:highlight w:val="auto"/>
        </w:rPr>
        <w:t>%；项目支出</w:t>
      </w:r>
      <w:r>
        <w:rPr>
          <w:rFonts w:ascii="仿宋_GB2312" w:eastAsia="仿宋_GB2312" w:cs="仿宋_GB2312" w:hint="eastAsia"/>
          <w:sz w:val="32"/>
          <w:szCs w:val="32"/>
        </w:rPr>
        <w:t>159.52</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0.9</w:t>
      </w:r>
      <w:r>
        <w:rPr>
          <w:rFonts w:ascii="仿宋_GB2312" w:eastAsia="仿宋_GB2312" w:cs="仿宋_GB2312" w:hint="eastAsia"/>
          <w:sz w:val="32"/>
          <w:szCs w:val="32"/>
          <w:lang w:val="en-US" w:eastAsia="zh-CN"/>
        </w:rPr>
        <w:t>7</w:t>
      </w:r>
      <w:r>
        <w:rPr>
          <w:rFonts w:ascii="仿宋_GB2312" w:eastAsia="仿宋_GB2312" w:cs="仿宋_GB2312" w:hint="eastAsia"/>
          <w:color w:val="auto"/>
          <w:sz w:val="32"/>
          <w:szCs w:val="32"/>
          <w:lang w:eastAsia="zh-CN"/>
          <w:highlight w:val="auto"/>
        </w:rPr>
        <w:t>%；上缴上级支出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%；经营支出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%；对附属单位补助支出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w:t>
      </w:r>
    </w:p>
    <w:p>
      <w:pPr>
        <w:ind w:firstLineChars="650" w:firstLine="2080"/>
        <w:rPr>
          <w:rFonts w:ascii="Times New Roman" w:eastAsia="仿宋_GB2312" w:cs="仿宋_GB2312" w:hAnsi="Times New Roman" w:hint="eastAsia"/>
          <w:color w:val="auto"/>
          <w:sz w:val="32"/>
          <w:szCs w:val="32"/>
          <w:lang w:eastAsia="zh-CN"/>
          <w:highlight w:val="auto"/>
        </w:rPr>
      </w:pPr>
    </w:p>
    <w:p>
      <w:pPr>
        <w:ind w:firstLineChars="800" w:firstLine="256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（图3：支出决算结构图）</w:t>
      </w:r>
    </w:p>
    <w:p>
      <w:pPr>
        <w:ind w:firstLineChars="250" w:firstLine="8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inline distT="0" distB="0" distL="114300" distR="114300">
            <wp:extent cx="4526915" cy="2861945"/>
            <wp:effectExtent l="0" t="0" r="0" b="0"/>
            <wp:docPr id="9" name="图表 3"/>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200" w:firstLine="640"/>
        <w:outlineLvl w:val="1"/>
        <w:rPr>
          <w:rStyle w:val="2Char"/>
          <w:rFonts w:ascii="Times New Roman" w:eastAsia="黑体" w:hAnsi="Times New Roman"/>
          <w:b w:val="0"/>
          <w:color w:val="auto"/>
          <w:highlight w:val="auto"/>
        </w:rPr>
      </w:pPr>
      <w:bookmarkStart w:id="19" w:name="_Toc15377208"/>
      <w:bookmarkStart w:id="20" w:name="_Toc15396606"/>
      <w:r>
        <w:rPr>
          <w:rFonts w:ascii="Times New Roman" w:eastAsia="黑体" w:hAnsi="Times New Roman" w:hint="eastAsia"/>
          <w:color w:val="auto"/>
          <w:sz w:val="32"/>
          <w:szCs w:val="32"/>
          <w:highlight w:val="auto"/>
        </w:rPr>
        <w:t>四、财</w:t>
      </w:r>
      <w:r>
        <w:rPr>
          <w:rStyle w:val="2Char"/>
          <w:rFonts w:ascii="Times New Roman" w:eastAsia="黑体" w:hAnsi="Times New Roman" w:hint="eastAsia"/>
          <w:b w:val="0"/>
          <w:color w:val="auto"/>
          <w:highlight w:val="auto"/>
        </w:rPr>
        <w:t>政拨款收入支出决算总体情况说明</w:t>
      </w:r>
      <w:bookmarkEnd w:id="19"/>
      <w:bookmarkEnd w:id="20"/>
    </w:p>
    <w:p>
      <w:pPr>
        <w:spacing w:line="600" w:lineRule="exact"/>
        <w:ind w:firstLine="640"/>
        <w:jc w:val="both"/>
        <w:rPr>
          <w:rFonts w:ascii="Times New Roman" w:eastAsia="仿宋_GB2312" w:cs="仿宋_GB2312" w:hAnsi="Times New Roman"/>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2024年度财政拨款收入、支出总计均为</w:t>
      </w:r>
      <w:r>
        <w:rPr>
          <w:rFonts w:ascii="仿宋_GB2312" w:eastAsia="仿宋_GB2312" w:cs="仿宋_GB2312" w:hint="eastAsia"/>
          <w:sz w:val="32"/>
          <w:szCs w:val="32"/>
        </w:rPr>
        <w:t>377.52</w:t>
      </w:r>
      <w:r>
        <w:rPr>
          <w:rFonts w:ascii="Times New Roman" w:eastAsia="仿宋_GB2312" w:cs="仿宋_GB2312" w:hAnsi="Times New Roman" w:hint="eastAsia"/>
          <w:color w:val="auto"/>
          <w:kern w:val="2"/>
          <w:sz w:val="32"/>
          <w:szCs w:val="32"/>
          <w:lang w:val="en-US" w:eastAsia="zh-CN" w:bidi="ar-SA"/>
          <w:highlight w:val="auto"/>
        </w:rPr>
        <w:t>万元。与2023年度相比，财政拨款收入总计、支出总计各减少</w:t>
      </w:r>
      <w:r>
        <w:rPr>
          <w:rFonts w:eastAsia="仿宋_GB2312" w:cs="仿宋_GB2312" w:hint="eastAsia"/>
          <w:color w:val="auto"/>
          <w:kern w:val="2"/>
          <w:sz w:val="32"/>
          <w:szCs w:val="32"/>
          <w:lang w:val="en-US" w:eastAsia="zh-CN" w:bidi="ar-SA"/>
          <w:highlight w:val="auto"/>
        </w:rPr>
        <w:t>301.51</w:t>
      </w:r>
      <w:r>
        <w:rPr>
          <w:rFonts w:ascii="Times New Roman" w:eastAsia="仿宋_GB2312" w:cs="仿宋_GB2312" w:hAnsi="Times New Roman" w:hint="eastAsia"/>
          <w:color w:val="auto"/>
          <w:kern w:val="2"/>
          <w:sz w:val="32"/>
          <w:szCs w:val="32"/>
          <w:lang w:val="en-US" w:eastAsia="zh-CN" w:bidi="ar-SA"/>
          <w:highlight w:val="auto"/>
        </w:rPr>
        <w:t>万元，下降</w:t>
      </w:r>
      <w:r>
        <w:rPr>
          <w:rFonts w:eastAsia="仿宋_GB2312" w:cs="仿宋_GB2312" w:hint="eastAsia"/>
          <w:color w:val="auto"/>
          <w:kern w:val="2"/>
          <w:sz w:val="32"/>
          <w:szCs w:val="32"/>
          <w:lang w:val="en-US" w:eastAsia="zh-CN" w:bidi="ar-SA"/>
          <w:highlight w:val="auto"/>
        </w:rPr>
        <w:t>44.40</w:t>
      </w:r>
      <w:r>
        <w:rPr>
          <w:rFonts w:ascii="Times New Roman" w:eastAsia="仿宋_GB2312" w:cs="仿宋_GB2312" w:hAnsi="Times New Roman" w:hint="eastAsia"/>
          <w:color w:val="auto"/>
          <w:kern w:val="2"/>
          <w:sz w:val="32"/>
          <w:szCs w:val="32"/>
          <w:lang w:val="en-US" w:eastAsia="zh-CN" w:bidi="ar-SA"/>
          <w:highlight w:val="auto"/>
        </w:rPr>
        <w:t>%。主要变动原因是</w:t>
      </w:r>
      <w:r>
        <w:rPr>
          <w:rFonts w:eastAsia="仿宋_GB2312" w:cs="仿宋_GB2312" w:hint="eastAsia"/>
          <w:color w:val="auto"/>
          <w:kern w:val="2"/>
          <w:sz w:val="32"/>
          <w:szCs w:val="32"/>
          <w:lang w:val="en-US" w:eastAsia="zh-CN" w:bidi="ar-SA"/>
          <w:highlight w:val="auto"/>
        </w:rPr>
        <w:t>2023年收到区域妇幼保健中心建设项目资金200万元、人才专项资金77.25万元等，2024年无这几项财政拨款收入。</w:t>
      </w:r>
    </w:p>
    <w:p>
      <w:pPr>
        <w:spacing w:line="600" w:lineRule="exact"/>
        <w:ind w:firstLineChars="300" w:firstLine="96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（图4：财政拨款收、支决算总计变动情况）</w:t>
      </w:r>
    </w:p>
    <w:p>
      <w:pPr>
        <w:pStyle w:val="15"/>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inline distT="0" distB="0" distL="114300" distR="114300">
            <wp:extent cx="5256530" cy="2479675"/>
            <wp:effectExtent l="0" t="0" r="0" b="0"/>
            <wp:docPr id="10" name="图表 5"/>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ind w:firstLineChars="200" w:firstLine="640"/>
        <w:outlineLvl w:val="1"/>
        <w:rPr>
          <w:rStyle w:val="2Char"/>
          <w:rFonts w:ascii="Times New Roman" w:eastAsia="黑体" w:hAnsi="Times New Roman"/>
          <w:b w:val="0"/>
          <w:color w:val="auto"/>
          <w:highlight w:val="auto"/>
        </w:rPr>
      </w:pPr>
      <w:bookmarkStart w:id="21" w:name="_Toc15377209"/>
      <w:bookmarkStart w:id="22" w:name="_Toc15396607"/>
      <w:r>
        <w:rPr>
          <w:rFonts w:ascii="Times New Roman" w:eastAsia="黑体" w:hAnsi="Times New Roman" w:hint="eastAsia"/>
          <w:color w:val="auto"/>
          <w:sz w:val="32"/>
          <w:szCs w:val="32"/>
          <w:highlight w:val="auto"/>
        </w:rPr>
        <w:t>五、</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般公共预算财政拨款支出决算情况说明</w:t>
      </w:r>
      <w:bookmarkEnd w:id="21"/>
      <w:bookmarkEnd w:id="22"/>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23" w:name="_Toc15377210"/>
      <w:r>
        <w:rPr>
          <w:rFonts w:ascii="Times New Roman" w:eastAsia="楷体_GB2312" w:cs="楷体_GB2312" w:hAnsi="Times New Roman" w:hint="eastAsia"/>
          <w:b/>
          <w:color w:val="auto"/>
          <w:sz w:val="32"/>
          <w:szCs w:val="32"/>
          <w:highlight w:val="auto"/>
        </w:rPr>
        <w:t>（一）一般公共预算财政拨款支出决算总体情况</w:t>
      </w:r>
      <w:bookmarkEnd w:id="23"/>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green"/>
        </w:rPr>
      </w:pPr>
      <w:r>
        <w:rPr>
          <w:rFonts w:ascii="仿宋_GB2312" w:eastAsia="仿宋_GB2312" w:cs="仿宋_GB2312"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377.52</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highlight w:val="auto"/>
        </w:rPr>
        <w:t>2.28</w:t>
      </w:r>
      <w:r>
        <w:rPr>
          <w:rFonts w:ascii="仿宋_GB2312" w:eastAsia="仿宋_GB2312" w:cs="仿宋_GB2312" w:hint="eastAsia"/>
          <w:color w:val="auto"/>
          <w:kern w:val="2"/>
          <w:sz w:val="32"/>
          <w:szCs w:val="32"/>
          <w:lang w:val="en-US" w:eastAsia="zh-CN" w:bidi="ar-SA"/>
          <w:highlight w:val="auto"/>
        </w:rPr>
        <w:t>%。与2023年度相比，一般公共预算财政拨款支出减少301.51万元，下降44.40%。主要变动原因是</w:t>
      </w:r>
      <w:r>
        <w:rPr>
          <w:rFonts w:eastAsia="仿宋_GB2312" w:cs="仿宋_GB2312" w:hint="eastAsia"/>
          <w:color w:val="auto"/>
          <w:kern w:val="2"/>
          <w:sz w:val="32"/>
          <w:szCs w:val="32"/>
          <w:lang w:val="en-US" w:eastAsia="zh-CN" w:bidi="ar-SA"/>
          <w:highlight w:val="auto"/>
        </w:rPr>
        <w:t>2023年支出区域妇幼保健中心建设项目资金200万元、人才专项资金77.25万元等，2024年无这几项财政拨款支出。</w:t>
      </w:r>
    </w:p>
    <w:p>
      <w:pPr>
        <w:spacing w:line="600" w:lineRule="exact"/>
        <w:ind w:firstLineChars="200" w:firstLine="640"/>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（图5：一般公共预算财政拨款支出决算变动情况）</w:t>
      </w:r>
      <w:bookmarkStart w:id="24" w:name="_Toc15377211"/>
    </w:p>
    <w:p>
      <w:pPr>
        <w:pStyle w:val="15"/>
        <w:rPr>
          <w:rFonts w:ascii="Times New Roman" w:eastAsia="仿宋_GB2312" w:cs="仿宋_GB2312" w:hAnsi="Times New Roman" w:hint="eastAsia"/>
          <w:color w:val="auto"/>
          <w:kern w:val="2"/>
          <w:sz w:val="32"/>
          <w:szCs w:val="32"/>
          <w:lang w:val="en-US" w:eastAsia="zh-CN" w:bidi="ar-SA"/>
          <w:highlight w:val="green"/>
        </w:rPr>
      </w:pPr>
      <w:r>
        <w:rPr>
          <w:rFonts w:ascii="Times New Roman" w:eastAsia="仿宋_GB2312" w:cs="仿宋_GB2312" w:hAnsi="Times New Roman" w:hint="eastAsia"/>
          <w:color w:val="auto"/>
          <w:kern w:val="2"/>
          <w:sz w:val="32"/>
          <w:szCs w:val="32"/>
          <w:lang w:val="en-US" w:eastAsia="zh-CN" w:bidi="ar-SA"/>
          <w:highlight w:val="auto"/>
        </w:rPr>
        <w:drawing>
          <wp:inline distT="0" distB="0" distL="114300" distR="114300">
            <wp:extent cx="5256530" cy="2850514"/>
            <wp:effectExtent l="0" t="0" r="0" b="0"/>
            <wp:docPr id="11" name="图表 7"/>
            <wp:cNvGraphicFramePr>
              <a:graphicFrameLocks noChangeAspect="0"/>
            </wp:cNvGraphicFramePr>
            <a:graphic>
              <a:graphicData uri="http://schemas.openxmlformats.org/drawingml/2006/chart">
                <c:chart xmlns:c="http://schemas.openxmlformats.org/drawingml/2006/chart" r:id="rId11"/>
              </a:graphicData>
            </a:graphic>
          </wp:inline>
        </w:drawing>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r>
        <w:rPr>
          <w:rFonts w:ascii="Times New Roman" w:eastAsia="楷体_GB2312" w:cs="楷体_GB2312" w:hAnsi="Times New Roman" w:hint="eastAsia"/>
          <w:b/>
          <w:color w:val="auto"/>
          <w:sz w:val="32"/>
          <w:szCs w:val="32"/>
          <w:highlight w:val="auto"/>
        </w:rPr>
        <w:t>（二）一般公共预算财政拨款支出决算结构情况</w:t>
      </w:r>
      <w:bookmarkEnd w:id="24"/>
    </w:p>
    <w:p>
      <w:pPr>
        <w:spacing w:line="600" w:lineRule="exact"/>
        <w:ind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377.52</w:t>
      </w:r>
      <w:r>
        <w:rPr>
          <w:rFonts w:ascii="仿宋_GB2312"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，主要用于以下方面</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一般公共服务支出</w:t>
      </w:r>
      <w:r>
        <w:rPr>
          <w:rFonts w:eastAsia="仿宋_GB2312" w:cs="仿宋_GB2312" w:hint="eastAsia"/>
          <w:color w:val="auto"/>
          <w:kern w:val="2"/>
          <w:sz w:val="32"/>
          <w:szCs w:val="32"/>
          <w:lang w:val="en-US" w:eastAsia="zh-CN" w:bidi="ar-SA"/>
          <w:highlight w:val="auto"/>
        </w:rPr>
        <w:t>1.53</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0.41</w:t>
      </w:r>
      <w:r>
        <w:rPr>
          <w:rFonts w:ascii="Times New Roman" w:eastAsia="仿宋_GB2312" w:cs="仿宋_GB2312" w:hAnsi="Times New Roman" w:hint="eastAsia"/>
          <w:color w:val="auto"/>
          <w:kern w:val="2"/>
          <w:sz w:val="32"/>
          <w:szCs w:val="32"/>
          <w:lang w:val="en-US" w:eastAsia="zh-CN" w:bidi="ar-SA"/>
          <w:highlight w:val="auto"/>
        </w:rPr>
        <w:t>%；教育支出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%；科学技术支出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%；文化旅游体育与传媒支出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%；社会保障和就业支出</w:t>
      </w:r>
      <w:r>
        <w:rPr>
          <w:rFonts w:eastAsia="仿宋_GB2312" w:cs="仿宋_GB2312" w:hint="eastAsia"/>
          <w:color w:val="auto"/>
          <w:kern w:val="2"/>
          <w:sz w:val="32"/>
          <w:szCs w:val="32"/>
          <w:lang w:val="en-US" w:eastAsia="zh-CN" w:bidi="ar-SA"/>
          <w:highlight w:val="auto"/>
        </w:rPr>
        <w:t>124.28</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32.92</w:t>
      </w:r>
      <w:r>
        <w:rPr>
          <w:rFonts w:ascii="Times New Roman" w:eastAsia="仿宋_GB2312" w:cs="仿宋_GB2312" w:hAnsi="Times New Roman" w:hint="eastAsia"/>
          <w:color w:val="auto"/>
          <w:kern w:val="2"/>
          <w:sz w:val="32"/>
          <w:szCs w:val="32"/>
          <w:lang w:val="en-US" w:eastAsia="zh-CN" w:bidi="ar-SA"/>
          <w:highlight w:val="auto"/>
        </w:rPr>
        <w:t>%；卫生健康支出</w:t>
      </w:r>
      <w:r>
        <w:rPr>
          <w:rFonts w:eastAsia="仿宋_GB2312" w:cs="仿宋_GB2312" w:hint="eastAsia"/>
          <w:color w:val="auto"/>
          <w:kern w:val="2"/>
          <w:sz w:val="32"/>
          <w:szCs w:val="32"/>
          <w:lang w:val="en-US" w:eastAsia="zh-CN" w:bidi="ar-SA"/>
          <w:highlight w:val="auto"/>
        </w:rPr>
        <w:t>251.71</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66.67</w:t>
      </w:r>
      <w:r>
        <w:rPr>
          <w:rFonts w:ascii="Times New Roman" w:eastAsia="仿宋_GB2312" w:cs="仿宋_GB2312" w:hAnsi="Times New Roman" w:hint="eastAsia"/>
          <w:color w:val="auto"/>
          <w:kern w:val="2"/>
          <w:sz w:val="32"/>
          <w:szCs w:val="32"/>
          <w:lang w:val="en-US" w:eastAsia="zh-CN" w:bidi="ar-SA"/>
          <w:highlight w:val="auto"/>
        </w:rPr>
        <w:t>%；住房保障支出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（图6：一般公共预算财政拨款支出决算结构）</w:t>
      </w:r>
    </w:p>
    <w:p>
      <w:pPr>
        <w:pStyle w:val="15"/>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inline distT="0" distB="0" distL="114300" distR="114300">
            <wp:extent cx="4927598" cy="2654300"/>
            <wp:effectExtent l="0" t="0" r="0" b="0"/>
            <wp:docPr id="12" name="图表 8"/>
            <wp:cNvGraphicFramePr>
              <a:graphicFrameLocks noChangeAspect="0"/>
            </wp:cNvGraphicFramePr>
            <a:graphic>
              <a:graphicData uri="http://schemas.openxmlformats.org/drawingml/2006/chart">
                <c:chart xmlns:c="http://schemas.openxmlformats.org/drawingml/2006/chart" r:id="rId12"/>
              </a:graphicData>
            </a:graphic>
          </wp:inline>
        </w:drawing>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25" w:name="_Toc15377212"/>
      <w:r>
        <w:rPr>
          <w:rFonts w:ascii="Times New Roman" w:eastAsia="楷体_GB2312" w:cs="楷体_GB2312" w:hAnsi="Times New Roman" w:hint="eastAsia"/>
          <w:b/>
          <w:color w:val="auto"/>
          <w:sz w:val="32"/>
          <w:szCs w:val="32"/>
          <w:highlight w:val="auto"/>
        </w:rPr>
        <w:t>（三）一般公共预算财政拨款支出决算具体情况</w:t>
      </w:r>
      <w:bookmarkEnd w:id="25"/>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bookmarkStart w:id="26" w:name="_Toc15377444"/>
      <w:bookmarkStart w:id="27" w:name="_Toc15378460"/>
      <w:bookmarkStart w:id="28" w:name="_Toc15377213"/>
      <w:r>
        <w:rPr>
          <w:rFonts w:ascii="Times New Roman" w:eastAsia="仿宋_GB2312" w:cs="仿宋_GB2312" w:hAnsi="Times New Roman" w:hint="eastAsia"/>
          <w:color w:val="auto"/>
          <w:kern w:val="2"/>
          <w:sz w:val="32"/>
          <w:szCs w:val="32"/>
          <w:lang w:val="en-US" w:eastAsia="zh-CN" w:bidi="ar-SA"/>
          <w:highlight w:val="auto"/>
        </w:rPr>
        <w:t>2024年度一般公共预算财政拨款支出决算数为</w:t>
      </w:r>
      <w:r>
        <w:rPr>
          <w:rFonts w:ascii="仿宋_GB2312" w:eastAsia="仿宋_GB2312" w:cs="仿宋_GB2312" w:hint="eastAsia"/>
          <w:sz w:val="32"/>
          <w:szCs w:val="32"/>
        </w:rPr>
        <w:t>377.52</w:t>
      </w:r>
      <w:r>
        <w:rPr>
          <w:rFonts w:ascii="仿宋_GB2312" w:eastAsia="仿宋_GB2312" w:cs="仿宋_GB2312" w:hint="eastAsia"/>
          <w:sz w:val="32"/>
          <w:szCs w:val="32"/>
          <w:lang w:val="en-US" w:eastAsia="zh-CN"/>
        </w:rPr>
        <w:t>万元</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%。其中：</w:t>
      </w:r>
      <w:bookmarkEnd w:id="26"/>
      <w:bookmarkEnd w:id="27"/>
      <w:bookmarkEnd w:id="28"/>
    </w:p>
    <w:p>
      <w:pPr>
        <w:spacing w:line="600" w:lineRule="exact"/>
        <w:ind w:left="0"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rPr>
        <w:t>1.</w:t>
      </w:r>
      <w:r>
        <w:rPr>
          <w:rFonts w:ascii="Times New Roman" w:eastAsia="仿宋_GB2312" w:cs="仿宋_GB2312" w:hAnsi="Times New Roman" w:hint="eastAsia"/>
          <w:color w:val="auto"/>
          <w:kern w:val="2"/>
          <w:sz w:val="32"/>
          <w:szCs w:val="32"/>
          <w:lang w:val="en-US" w:eastAsia="zh-CN" w:bidi="ar-SA"/>
          <w:highlight w:val="auto"/>
        </w:rPr>
        <w:t>一般公共服务（类）</w:t>
      </w:r>
      <w:r>
        <w:rPr>
          <w:rFonts w:eastAsia="仿宋_GB2312" w:cs="仿宋_GB2312" w:hint="eastAsia"/>
          <w:color w:val="auto"/>
          <w:kern w:val="2"/>
          <w:sz w:val="32"/>
          <w:szCs w:val="32"/>
          <w:lang w:val="en-US" w:eastAsia="zh-CN" w:bidi="ar-SA"/>
          <w:highlight w:val="auto"/>
        </w:rPr>
        <w:t>组织事务</w:t>
      </w:r>
      <w:r>
        <w:rPr>
          <w:rFonts w:ascii="Times New Roman" w:eastAsia="仿宋_GB2312" w:cs="仿宋_GB2312" w:hAnsi="Times New Roman" w:hint="eastAsia"/>
          <w:color w:val="auto"/>
          <w:kern w:val="2"/>
          <w:sz w:val="32"/>
          <w:szCs w:val="32"/>
          <w:lang w:val="en-US" w:eastAsia="zh-CN" w:bidi="ar-SA"/>
          <w:highlight w:val="auto"/>
        </w:rPr>
        <w:t>（款）</w:t>
      </w:r>
      <w:r>
        <w:rPr>
          <w:rFonts w:eastAsia="仿宋_GB2312" w:cs="仿宋_GB2312" w:hint="eastAsia"/>
          <w:color w:val="auto"/>
          <w:kern w:val="2"/>
          <w:sz w:val="32"/>
          <w:szCs w:val="32"/>
          <w:lang w:val="en-US" w:eastAsia="zh-CN" w:bidi="ar-SA"/>
          <w:highlight w:val="auto"/>
        </w:rPr>
        <w:t>其他组织事务支出</w:t>
      </w:r>
      <w:r>
        <w:rPr>
          <w:rFonts w:ascii="Times New Roman" w:eastAsia="仿宋_GB2312" w:cs="仿宋_GB2312" w:hAnsi="Times New Roman" w:hint="eastAsia"/>
          <w:color w:val="auto"/>
          <w:kern w:val="2"/>
          <w:sz w:val="32"/>
          <w:szCs w:val="32"/>
          <w:lang w:val="en-US" w:eastAsia="zh-CN" w:bidi="ar-SA"/>
          <w:highlight w:val="auto"/>
        </w:rPr>
        <w:t>（项）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1.53</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left="0"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rPr>
        <w:t>2.</w:t>
      </w:r>
      <w:r>
        <w:rPr>
          <w:rFonts w:ascii="Times New Roman" w:eastAsia="仿宋_GB2312" w:cs="仿宋_GB2312" w:hAnsi="Times New Roman" w:hint="eastAsia"/>
          <w:color w:val="auto"/>
          <w:kern w:val="2"/>
          <w:sz w:val="32"/>
          <w:szCs w:val="32"/>
          <w:lang w:val="en-US" w:eastAsia="zh-CN" w:bidi="ar-SA"/>
          <w:highlight w:val="auto"/>
        </w:rPr>
        <w:t>社会保障和就业（类）</w:t>
      </w:r>
      <w:r>
        <w:rPr>
          <w:rFonts w:eastAsia="仿宋_GB2312" w:cs="仿宋_GB2312" w:hint="eastAsia"/>
          <w:color w:val="auto"/>
          <w:kern w:val="2"/>
          <w:sz w:val="32"/>
          <w:szCs w:val="32"/>
          <w:lang w:val="en-US" w:eastAsia="zh-CN" w:bidi="ar-SA"/>
          <w:highlight w:val="auto"/>
        </w:rPr>
        <w:t>行政事业单位养老支出</w:t>
      </w:r>
      <w:r>
        <w:rPr>
          <w:rFonts w:ascii="Times New Roman" w:eastAsia="仿宋_GB2312" w:cs="仿宋_GB2312" w:hAnsi="Times New Roman" w:hint="eastAsia"/>
          <w:color w:val="auto"/>
          <w:kern w:val="2"/>
          <w:sz w:val="32"/>
          <w:szCs w:val="32"/>
          <w:lang w:val="en-US" w:eastAsia="zh-CN" w:bidi="ar-SA"/>
          <w:highlight w:val="auto"/>
        </w:rPr>
        <w:t>（款）</w:t>
      </w:r>
      <w:r>
        <w:rPr>
          <w:rFonts w:eastAsia="仿宋_GB2312" w:cs="仿宋_GB2312" w:hint="eastAsia"/>
          <w:color w:val="auto"/>
          <w:kern w:val="2"/>
          <w:sz w:val="32"/>
          <w:szCs w:val="32"/>
          <w:lang w:val="en-US" w:eastAsia="zh-CN" w:bidi="ar-SA"/>
          <w:highlight w:val="auto"/>
        </w:rPr>
        <w:t>事业单位离退休</w:t>
      </w:r>
      <w:r>
        <w:rPr>
          <w:rFonts w:ascii="Times New Roman" w:eastAsia="仿宋_GB2312" w:cs="仿宋_GB2312" w:hAnsi="Times New Roman" w:hint="eastAsia"/>
          <w:color w:val="auto"/>
          <w:kern w:val="2"/>
          <w:sz w:val="32"/>
          <w:szCs w:val="32"/>
          <w:lang w:val="en-US" w:eastAsia="zh-CN" w:bidi="ar-SA"/>
          <w:highlight w:val="auto"/>
        </w:rPr>
        <w:t>（项）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117.81</w:t>
      </w:r>
      <w:r>
        <w:rPr>
          <w:rFonts w:ascii="Times New Roman" w:eastAsia="仿宋_GB2312" w:cs="仿宋_GB2312" w:hAnsi="Times New Roman" w:hint="eastAsia"/>
          <w:color w:val="auto"/>
          <w:kern w:val="2"/>
          <w:sz w:val="32"/>
          <w:szCs w:val="32"/>
          <w:lang w:val="en-US" w:eastAsia="zh-CN" w:bidi="ar-SA"/>
          <w:highlight w:val="auto"/>
        </w:rPr>
        <w:t>万元</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firstLine="640"/>
        <w:rPr>
          <w:rFonts w:hint="eastAsia"/>
          <w:lang w:val="en-US" w:eastAsia="zh-CN"/>
        </w:rPr>
      </w:pPr>
      <w:r>
        <w:rPr>
          <w:rFonts w:eastAsia="仿宋_GB2312" w:cs="仿宋_GB2312" w:hint="eastAsia"/>
          <w:color w:val="auto"/>
          <w:kern w:val="2"/>
          <w:sz w:val="32"/>
          <w:szCs w:val="32"/>
          <w:lang w:val="en-US" w:eastAsia="zh-CN" w:bidi="ar-SA"/>
          <w:highlight w:val="auto"/>
        </w:rPr>
        <w:t>3</w:t>
      </w:r>
      <w:r>
        <w:rPr>
          <w:rFonts w:ascii="Times New Roman" w:eastAsia="仿宋_GB2312" w:cs="仿宋_GB2312" w:hAnsi="Times New Roman" w:hint="eastAsia"/>
          <w:color w:val="auto"/>
          <w:kern w:val="2"/>
          <w:sz w:val="32"/>
          <w:szCs w:val="32"/>
          <w:lang w:val="en-US" w:eastAsia="zh-CN" w:bidi="ar-SA"/>
          <w:highlight w:val="auto"/>
        </w:rPr>
        <w:t>.社会保障和就业（类）</w:t>
      </w:r>
      <w:r>
        <w:rPr>
          <w:rFonts w:eastAsia="仿宋_GB2312" w:cs="仿宋_GB2312" w:hint="eastAsia"/>
          <w:color w:val="auto"/>
          <w:kern w:val="2"/>
          <w:sz w:val="32"/>
          <w:szCs w:val="32"/>
          <w:lang w:val="en-US" w:eastAsia="zh-CN" w:bidi="ar-SA"/>
          <w:highlight w:val="auto"/>
        </w:rPr>
        <w:t>抚恤</w:t>
      </w:r>
      <w:r>
        <w:rPr>
          <w:rFonts w:ascii="Times New Roman" w:eastAsia="仿宋_GB2312" w:cs="仿宋_GB2312" w:hAnsi="Times New Roman" w:hint="eastAsia"/>
          <w:color w:val="auto"/>
          <w:kern w:val="2"/>
          <w:sz w:val="32"/>
          <w:szCs w:val="32"/>
          <w:lang w:val="en-US" w:eastAsia="zh-CN" w:bidi="ar-SA"/>
          <w:highlight w:val="auto"/>
        </w:rPr>
        <w:t>（款）</w:t>
      </w:r>
      <w:r>
        <w:rPr>
          <w:rFonts w:eastAsia="仿宋_GB2312" w:cs="仿宋_GB2312" w:hint="eastAsia"/>
          <w:color w:val="auto"/>
          <w:kern w:val="2"/>
          <w:sz w:val="32"/>
          <w:szCs w:val="32"/>
          <w:lang w:val="en-US" w:eastAsia="zh-CN" w:bidi="ar-SA"/>
          <w:highlight w:val="auto"/>
        </w:rPr>
        <w:t>死亡抚恤</w:t>
      </w:r>
      <w:r>
        <w:rPr>
          <w:rFonts w:ascii="Times New Roman" w:eastAsia="仿宋_GB2312" w:cs="仿宋_GB2312" w:hAnsi="Times New Roman" w:hint="eastAsia"/>
          <w:color w:val="auto"/>
          <w:kern w:val="2"/>
          <w:sz w:val="32"/>
          <w:szCs w:val="32"/>
          <w:lang w:val="en-US" w:eastAsia="zh-CN" w:bidi="ar-SA"/>
          <w:highlight w:val="auto"/>
        </w:rPr>
        <w:t>（项）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6.47</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firstLine="640"/>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4</w:t>
      </w:r>
      <w:r>
        <w:rPr>
          <w:rFonts w:ascii="Times New Roman" w:eastAsia="仿宋_GB2312" w:cs="仿宋_GB2312" w:hAnsi="Times New Roman" w:hint="eastAsia"/>
          <w:color w:val="auto"/>
          <w:kern w:val="2"/>
          <w:sz w:val="32"/>
          <w:szCs w:val="32"/>
          <w:lang w:val="en-US" w:eastAsia="zh-CN" w:bidi="ar-SA"/>
          <w:highlight w:val="auto"/>
        </w:rPr>
        <w:t>.卫生健康</w:t>
      </w:r>
      <w:r>
        <w:rPr>
          <w:rFonts w:eastAsia="仿宋_GB2312" w:cs="仿宋_GB2312" w:hint="eastAsia"/>
          <w:color w:val="auto"/>
          <w:kern w:val="2"/>
          <w:sz w:val="32"/>
          <w:szCs w:val="32"/>
          <w:lang w:val="en-US" w:eastAsia="zh-CN" w:bidi="ar-SA"/>
          <w:highlight w:val="auto"/>
        </w:rPr>
        <w:t>支出</w:t>
      </w:r>
      <w:r>
        <w:rPr>
          <w:rFonts w:ascii="Times New Roman" w:eastAsia="仿宋_GB2312" w:cs="仿宋_GB2312" w:hAnsi="Times New Roman" w:hint="eastAsia"/>
          <w:color w:val="auto"/>
          <w:kern w:val="2"/>
          <w:sz w:val="32"/>
          <w:szCs w:val="32"/>
          <w:lang w:val="en-US" w:eastAsia="zh-CN" w:bidi="ar-SA"/>
          <w:highlight w:val="auto"/>
        </w:rPr>
        <w:t>（类）</w:t>
      </w:r>
      <w:r>
        <w:rPr>
          <w:rFonts w:eastAsia="仿宋_GB2312" w:cs="仿宋_GB2312" w:hint="eastAsia"/>
          <w:color w:val="auto"/>
          <w:kern w:val="2"/>
          <w:sz w:val="32"/>
          <w:szCs w:val="32"/>
          <w:lang w:val="en-US" w:eastAsia="zh-CN" w:bidi="ar-SA"/>
          <w:highlight w:val="auto"/>
        </w:rPr>
        <w:t>公立医院</w:t>
      </w:r>
      <w:r>
        <w:rPr>
          <w:rFonts w:ascii="Times New Roman" w:eastAsia="仿宋_GB2312" w:cs="仿宋_GB2312" w:hAnsi="Times New Roman" w:hint="eastAsia"/>
          <w:color w:val="auto"/>
          <w:kern w:val="2"/>
          <w:sz w:val="32"/>
          <w:szCs w:val="32"/>
          <w:lang w:val="en-US" w:eastAsia="zh-CN" w:bidi="ar-SA"/>
          <w:highlight w:val="auto"/>
        </w:rPr>
        <w:t>（款）</w:t>
      </w:r>
      <w:r>
        <w:rPr>
          <w:rFonts w:eastAsia="仿宋_GB2312" w:cs="仿宋_GB2312" w:hint="eastAsia"/>
          <w:color w:val="auto"/>
          <w:kern w:val="2"/>
          <w:sz w:val="32"/>
          <w:szCs w:val="32"/>
          <w:lang w:val="en-US" w:eastAsia="zh-CN" w:bidi="ar-SA"/>
          <w:highlight w:val="auto"/>
        </w:rPr>
        <w:t>其他公立医院支出</w:t>
      </w:r>
      <w:r>
        <w:rPr>
          <w:rFonts w:ascii="Times New Roman" w:eastAsia="仿宋_GB2312" w:cs="仿宋_GB2312" w:hAnsi="Times New Roman" w:hint="eastAsia"/>
          <w:color w:val="auto"/>
          <w:kern w:val="2"/>
          <w:sz w:val="32"/>
          <w:szCs w:val="32"/>
          <w:lang w:val="en-US" w:eastAsia="zh-CN" w:bidi="ar-SA"/>
          <w:highlight w:val="auto"/>
        </w:rPr>
        <w:t>（项）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40</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firstLine="640"/>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5</w:t>
      </w:r>
      <w:r>
        <w:rPr>
          <w:rFonts w:ascii="Times New Roman" w:eastAsia="仿宋_GB2312" w:cs="仿宋_GB2312" w:hAnsi="Times New Roman" w:hint="eastAsia"/>
          <w:color w:val="auto"/>
          <w:kern w:val="2"/>
          <w:sz w:val="32"/>
          <w:szCs w:val="32"/>
          <w:lang w:val="en-US" w:eastAsia="zh-CN" w:bidi="ar-SA"/>
          <w:highlight w:val="auto"/>
        </w:rPr>
        <w:t>.卫生健康</w:t>
      </w:r>
      <w:r>
        <w:rPr>
          <w:rFonts w:eastAsia="仿宋_GB2312" w:cs="仿宋_GB2312" w:hint="eastAsia"/>
          <w:color w:val="auto"/>
          <w:kern w:val="2"/>
          <w:sz w:val="32"/>
          <w:szCs w:val="32"/>
          <w:lang w:val="en-US" w:eastAsia="zh-CN" w:bidi="ar-SA"/>
          <w:highlight w:val="auto"/>
        </w:rPr>
        <w:t>支出</w:t>
      </w:r>
      <w:r>
        <w:rPr>
          <w:rFonts w:ascii="Times New Roman" w:eastAsia="仿宋_GB2312" w:cs="仿宋_GB2312" w:hAnsi="Times New Roman" w:hint="eastAsia"/>
          <w:color w:val="auto"/>
          <w:kern w:val="2"/>
          <w:sz w:val="32"/>
          <w:szCs w:val="32"/>
          <w:lang w:val="en-US" w:eastAsia="zh-CN" w:bidi="ar-SA"/>
          <w:highlight w:val="auto"/>
        </w:rPr>
        <w:t>（类）</w:t>
      </w:r>
      <w:r>
        <w:rPr>
          <w:rFonts w:eastAsia="仿宋_GB2312" w:cs="仿宋_GB2312" w:hint="eastAsia"/>
          <w:color w:val="auto"/>
          <w:kern w:val="2"/>
          <w:sz w:val="32"/>
          <w:szCs w:val="32"/>
          <w:lang w:val="en-US" w:eastAsia="zh-CN" w:bidi="ar-SA"/>
          <w:highlight w:val="auto"/>
        </w:rPr>
        <w:t>公共卫生</w:t>
      </w:r>
      <w:r>
        <w:rPr>
          <w:rFonts w:ascii="Times New Roman" w:eastAsia="仿宋_GB2312" w:cs="仿宋_GB2312" w:hAnsi="Times New Roman" w:hint="eastAsia"/>
          <w:color w:val="auto"/>
          <w:kern w:val="2"/>
          <w:sz w:val="32"/>
          <w:szCs w:val="32"/>
          <w:lang w:val="en-US" w:eastAsia="zh-CN" w:bidi="ar-SA"/>
          <w:highlight w:val="auto"/>
        </w:rPr>
        <w:t>（款）</w:t>
      </w:r>
      <w:r>
        <w:rPr>
          <w:rFonts w:eastAsia="仿宋_GB2312" w:cs="仿宋_GB2312" w:hint="eastAsia"/>
          <w:color w:val="auto"/>
          <w:kern w:val="2"/>
          <w:sz w:val="32"/>
          <w:szCs w:val="32"/>
          <w:lang w:val="en-US" w:eastAsia="zh-CN" w:bidi="ar-SA"/>
          <w:highlight w:val="auto"/>
        </w:rPr>
        <w:t>妇幼保健机构</w:t>
      </w:r>
      <w:r>
        <w:rPr>
          <w:rFonts w:ascii="Times New Roman" w:eastAsia="仿宋_GB2312" w:cs="仿宋_GB2312" w:hAnsi="Times New Roman" w:hint="eastAsia"/>
          <w:color w:val="auto"/>
          <w:kern w:val="2"/>
          <w:sz w:val="32"/>
          <w:szCs w:val="32"/>
          <w:lang w:val="en-US" w:eastAsia="zh-CN" w:bidi="ar-SA"/>
          <w:highlight w:val="auto"/>
        </w:rPr>
        <w:t>（项）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93.72</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firstLine="640"/>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6</w:t>
      </w:r>
      <w:r>
        <w:rPr>
          <w:rFonts w:ascii="Times New Roman" w:eastAsia="仿宋_GB2312" w:cs="仿宋_GB2312" w:hAnsi="Times New Roman" w:hint="eastAsia"/>
          <w:color w:val="auto"/>
          <w:kern w:val="2"/>
          <w:sz w:val="32"/>
          <w:szCs w:val="32"/>
          <w:lang w:val="en-US" w:eastAsia="zh-CN" w:bidi="ar-SA"/>
          <w:highlight w:val="auto"/>
        </w:rPr>
        <w:t>.卫生健康</w:t>
      </w:r>
      <w:r>
        <w:rPr>
          <w:rFonts w:eastAsia="仿宋_GB2312" w:cs="仿宋_GB2312" w:hint="eastAsia"/>
          <w:color w:val="auto"/>
          <w:kern w:val="2"/>
          <w:sz w:val="32"/>
          <w:szCs w:val="32"/>
          <w:lang w:val="en-US" w:eastAsia="zh-CN" w:bidi="ar-SA"/>
          <w:highlight w:val="auto"/>
        </w:rPr>
        <w:t>支出</w:t>
      </w:r>
      <w:r>
        <w:rPr>
          <w:rFonts w:ascii="Times New Roman" w:eastAsia="仿宋_GB2312" w:cs="仿宋_GB2312" w:hAnsi="Times New Roman" w:hint="eastAsia"/>
          <w:color w:val="auto"/>
          <w:kern w:val="2"/>
          <w:sz w:val="32"/>
          <w:szCs w:val="32"/>
          <w:lang w:val="en-US" w:eastAsia="zh-CN" w:bidi="ar-SA"/>
          <w:highlight w:val="auto"/>
        </w:rPr>
        <w:t>（类）</w:t>
      </w:r>
      <w:r>
        <w:rPr>
          <w:rFonts w:eastAsia="仿宋_GB2312" w:cs="仿宋_GB2312" w:hint="eastAsia"/>
          <w:color w:val="auto"/>
          <w:kern w:val="2"/>
          <w:sz w:val="32"/>
          <w:szCs w:val="32"/>
          <w:lang w:val="en-US" w:eastAsia="zh-CN" w:bidi="ar-SA"/>
          <w:highlight w:val="auto"/>
        </w:rPr>
        <w:t>公共卫生</w:t>
      </w:r>
      <w:r>
        <w:rPr>
          <w:rFonts w:ascii="Times New Roman" w:eastAsia="仿宋_GB2312" w:cs="仿宋_GB2312" w:hAnsi="Times New Roman" w:hint="eastAsia"/>
          <w:color w:val="auto"/>
          <w:kern w:val="2"/>
          <w:sz w:val="32"/>
          <w:szCs w:val="32"/>
          <w:lang w:val="en-US" w:eastAsia="zh-CN" w:bidi="ar-SA"/>
          <w:highlight w:val="auto"/>
        </w:rPr>
        <w:t>（款）</w:t>
      </w:r>
      <w:r>
        <w:rPr>
          <w:rFonts w:eastAsia="仿宋_GB2312" w:cs="仿宋_GB2312" w:hint="eastAsia"/>
          <w:color w:val="auto"/>
          <w:kern w:val="2"/>
          <w:sz w:val="32"/>
          <w:szCs w:val="32"/>
          <w:lang w:val="en-US" w:eastAsia="zh-CN" w:bidi="ar-SA"/>
          <w:highlight w:val="auto"/>
        </w:rPr>
        <w:t>基本公共卫生服务</w:t>
      </w:r>
      <w:r>
        <w:rPr>
          <w:rFonts w:ascii="Times New Roman" w:eastAsia="仿宋_GB2312" w:cs="仿宋_GB2312" w:hAnsi="Times New Roman" w:hint="eastAsia"/>
          <w:color w:val="auto"/>
          <w:kern w:val="2"/>
          <w:sz w:val="32"/>
          <w:szCs w:val="32"/>
          <w:lang w:val="en-US" w:eastAsia="zh-CN" w:bidi="ar-SA"/>
          <w:highlight w:val="auto"/>
        </w:rPr>
        <w:t>（项）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29.47</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firstLine="640"/>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7</w:t>
      </w:r>
      <w:r>
        <w:rPr>
          <w:rFonts w:ascii="Times New Roman" w:eastAsia="仿宋_GB2312" w:cs="仿宋_GB2312" w:hAnsi="Times New Roman" w:hint="eastAsia"/>
          <w:color w:val="auto"/>
          <w:kern w:val="2"/>
          <w:sz w:val="32"/>
          <w:szCs w:val="32"/>
          <w:lang w:val="en-US" w:eastAsia="zh-CN" w:bidi="ar-SA"/>
          <w:highlight w:val="auto"/>
        </w:rPr>
        <w:t>.卫生健康</w:t>
      </w:r>
      <w:r>
        <w:rPr>
          <w:rFonts w:eastAsia="仿宋_GB2312" w:cs="仿宋_GB2312" w:hint="eastAsia"/>
          <w:color w:val="auto"/>
          <w:kern w:val="2"/>
          <w:sz w:val="32"/>
          <w:szCs w:val="32"/>
          <w:lang w:val="en-US" w:eastAsia="zh-CN" w:bidi="ar-SA"/>
          <w:highlight w:val="auto"/>
        </w:rPr>
        <w:t>支出</w:t>
      </w:r>
      <w:r>
        <w:rPr>
          <w:rFonts w:ascii="Times New Roman" w:eastAsia="仿宋_GB2312" w:cs="仿宋_GB2312" w:hAnsi="Times New Roman" w:hint="eastAsia"/>
          <w:color w:val="auto"/>
          <w:kern w:val="2"/>
          <w:sz w:val="32"/>
          <w:szCs w:val="32"/>
          <w:lang w:val="en-US" w:eastAsia="zh-CN" w:bidi="ar-SA"/>
          <w:highlight w:val="auto"/>
        </w:rPr>
        <w:t>（类）</w:t>
      </w:r>
      <w:r>
        <w:rPr>
          <w:rFonts w:eastAsia="仿宋_GB2312" w:cs="仿宋_GB2312" w:hint="eastAsia"/>
          <w:color w:val="auto"/>
          <w:kern w:val="2"/>
          <w:sz w:val="32"/>
          <w:szCs w:val="32"/>
          <w:lang w:val="en-US" w:eastAsia="zh-CN" w:bidi="ar-SA"/>
          <w:highlight w:val="auto"/>
        </w:rPr>
        <w:t>公共卫生</w:t>
      </w:r>
      <w:r>
        <w:rPr>
          <w:rFonts w:ascii="Times New Roman" w:eastAsia="仿宋_GB2312" w:cs="仿宋_GB2312" w:hAnsi="Times New Roman" w:hint="eastAsia"/>
          <w:color w:val="auto"/>
          <w:kern w:val="2"/>
          <w:sz w:val="32"/>
          <w:szCs w:val="32"/>
          <w:lang w:val="en-US" w:eastAsia="zh-CN" w:bidi="ar-SA"/>
          <w:highlight w:val="auto"/>
        </w:rPr>
        <w:t>（款）</w:t>
      </w:r>
      <w:r>
        <w:rPr>
          <w:rFonts w:eastAsia="仿宋_GB2312" w:cs="仿宋_GB2312" w:hint="eastAsia"/>
          <w:color w:val="auto"/>
          <w:kern w:val="2"/>
          <w:sz w:val="32"/>
          <w:szCs w:val="32"/>
          <w:lang w:val="en-US" w:eastAsia="zh-CN" w:bidi="ar-SA"/>
          <w:highlight w:val="auto"/>
        </w:rPr>
        <w:t>重大公共卫生服务</w:t>
      </w:r>
      <w:r>
        <w:rPr>
          <w:rFonts w:ascii="Times New Roman" w:eastAsia="仿宋_GB2312" w:cs="仿宋_GB2312" w:hAnsi="Times New Roman" w:hint="eastAsia"/>
          <w:color w:val="auto"/>
          <w:kern w:val="2"/>
          <w:sz w:val="32"/>
          <w:szCs w:val="32"/>
          <w:lang w:val="en-US" w:eastAsia="zh-CN" w:bidi="ar-SA"/>
          <w:highlight w:val="auto"/>
        </w:rPr>
        <w:t>（项）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63.21</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firstLine="640"/>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8</w:t>
      </w:r>
      <w:r>
        <w:rPr>
          <w:rFonts w:ascii="Times New Roman" w:eastAsia="仿宋_GB2312" w:cs="仿宋_GB2312" w:hAnsi="Times New Roman" w:hint="eastAsia"/>
          <w:color w:val="auto"/>
          <w:kern w:val="2"/>
          <w:sz w:val="32"/>
          <w:szCs w:val="32"/>
          <w:lang w:val="en-US" w:eastAsia="zh-CN" w:bidi="ar-SA"/>
          <w:highlight w:val="auto"/>
        </w:rPr>
        <w:t>.卫生健康</w:t>
      </w:r>
      <w:r>
        <w:rPr>
          <w:rFonts w:eastAsia="仿宋_GB2312" w:cs="仿宋_GB2312" w:hint="eastAsia"/>
          <w:color w:val="auto"/>
          <w:kern w:val="2"/>
          <w:sz w:val="32"/>
          <w:szCs w:val="32"/>
          <w:lang w:val="en-US" w:eastAsia="zh-CN" w:bidi="ar-SA"/>
          <w:highlight w:val="auto"/>
        </w:rPr>
        <w:t>支出</w:t>
      </w:r>
      <w:r>
        <w:rPr>
          <w:rFonts w:ascii="Times New Roman" w:eastAsia="仿宋_GB2312" w:cs="仿宋_GB2312" w:hAnsi="Times New Roman" w:hint="eastAsia"/>
          <w:color w:val="auto"/>
          <w:kern w:val="2"/>
          <w:sz w:val="32"/>
          <w:szCs w:val="32"/>
          <w:lang w:val="en-US" w:eastAsia="zh-CN" w:bidi="ar-SA"/>
          <w:highlight w:val="auto"/>
        </w:rPr>
        <w:t>（类）</w:t>
      </w:r>
      <w:r>
        <w:rPr>
          <w:rFonts w:eastAsia="仿宋_GB2312" w:cs="仿宋_GB2312" w:hint="eastAsia"/>
          <w:color w:val="auto"/>
          <w:kern w:val="2"/>
          <w:sz w:val="32"/>
          <w:szCs w:val="32"/>
          <w:lang w:val="en-US" w:eastAsia="zh-CN" w:bidi="ar-SA"/>
          <w:highlight w:val="auto"/>
        </w:rPr>
        <w:t>公共卫生</w:t>
      </w:r>
      <w:r>
        <w:rPr>
          <w:rFonts w:ascii="Times New Roman" w:eastAsia="仿宋_GB2312" w:cs="仿宋_GB2312" w:hAnsi="Times New Roman" w:hint="eastAsia"/>
          <w:color w:val="auto"/>
          <w:kern w:val="2"/>
          <w:sz w:val="32"/>
          <w:szCs w:val="32"/>
          <w:lang w:val="en-US" w:eastAsia="zh-CN" w:bidi="ar-SA"/>
          <w:highlight w:val="auto"/>
        </w:rPr>
        <w:t>（款）</w:t>
      </w:r>
      <w:r>
        <w:rPr>
          <w:rFonts w:eastAsia="仿宋_GB2312" w:cs="仿宋_GB2312" w:hint="eastAsia"/>
          <w:color w:val="auto"/>
          <w:kern w:val="2"/>
          <w:sz w:val="32"/>
          <w:szCs w:val="32"/>
          <w:lang w:val="en-US" w:eastAsia="zh-CN" w:bidi="ar-SA"/>
          <w:highlight w:val="auto"/>
        </w:rPr>
        <w:t>其他公共卫生支出</w:t>
      </w:r>
      <w:r>
        <w:rPr>
          <w:rFonts w:ascii="Times New Roman" w:eastAsia="仿宋_GB2312" w:cs="仿宋_GB2312" w:hAnsi="Times New Roman" w:hint="eastAsia"/>
          <w:color w:val="auto"/>
          <w:kern w:val="2"/>
          <w:sz w:val="32"/>
          <w:szCs w:val="32"/>
          <w:lang w:val="en-US" w:eastAsia="zh-CN" w:bidi="ar-SA"/>
          <w:highlight w:val="auto"/>
        </w:rPr>
        <w:t>（项）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8.80</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9</w:t>
      </w:r>
      <w:r>
        <w:rPr>
          <w:rFonts w:ascii="Times New Roman" w:eastAsia="仿宋_GB2312" w:cs="仿宋_GB2312" w:hAnsi="Times New Roman" w:hint="eastAsia"/>
          <w:color w:val="auto"/>
          <w:kern w:val="2"/>
          <w:sz w:val="32"/>
          <w:szCs w:val="32"/>
          <w:lang w:val="en-US" w:eastAsia="zh-CN" w:bidi="ar-SA"/>
          <w:highlight w:val="auto"/>
        </w:rPr>
        <w:t>.卫生健康</w:t>
      </w:r>
      <w:r>
        <w:rPr>
          <w:rFonts w:eastAsia="仿宋_GB2312" w:cs="仿宋_GB2312" w:hint="eastAsia"/>
          <w:color w:val="auto"/>
          <w:kern w:val="2"/>
          <w:sz w:val="32"/>
          <w:szCs w:val="32"/>
          <w:lang w:val="en-US" w:eastAsia="zh-CN" w:bidi="ar-SA"/>
          <w:highlight w:val="auto"/>
        </w:rPr>
        <w:t>支出</w:t>
      </w:r>
      <w:r>
        <w:rPr>
          <w:rFonts w:ascii="Times New Roman" w:eastAsia="仿宋_GB2312" w:cs="仿宋_GB2312" w:hAnsi="Times New Roman" w:hint="eastAsia"/>
          <w:color w:val="auto"/>
          <w:kern w:val="2"/>
          <w:sz w:val="32"/>
          <w:szCs w:val="32"/>
          <w:lang w:val="en-US" w:eastAsia="zh-CN" w:bidi="ar-SA"/>
          <w:highlight w:val="auto"/>
        </w:rPr>
        <w:t>（类）</w:t>
      </w:r>
      <w:r>
        <w:rPr>
          <w:rFonts w:eastAsia="仿宋_GB2312" w:cs="仿宋_GB2312" w:hint="eastAsia"/>
          <w:color w:val="auto"/>
          <w:kern w:val="2"/>
          <w:sz w:val="32"/>
          <w:szCs w:val="32"/>
          <w:lang w:val="en-US" w:eastAsia="zh-CN" w:bidi="ar-SA"/>
          <w:highlight w:val="auto"/>
        </w:rPr>
        <w:t>其他卫生健康支出</w:t>
      </w:r>
      <w:r>
        <w:rPr>
          <w:rFonts w:ascii="Times New Roman" w:eastAsia="仿宋_GB2312" w:cs="仿宋_GB2312" w:hAnsi="Times New Roman" w:hint="eastAsia"/>
          <w:color w:val="auto"/>
          <w:kern w:val="2"/>
          <w:sz w:val="32"/>
          <w:szCs w:val="32"/>
          <w:lang w:val="en-US" w:eastAsia="zh-CN" w:bidi="ar-SA"/>
          <w:highlight w:val="auto"/>
        </w:rPr>
        <w:t>（款）</w:t>
      </w:r>
      <w:r>
        <w:rPr>
          <w:rFonts w:eastAsia="仿宋_GB2312" w:cs="仿宋_GB2312" w:hint="eastAsia"/>
          <w:color w:val="auto"/>
          <w:kern w:val="2"/>
          <w:sz w:val="32"/>
          <w:szCs w:val="32"/>
          <w:lang w:val="en-US" w:eastAsia="zh-CN" w:bidi="ar-SA"/>
          <w:highlight w:val="auto"/>
        </w:rPr>
        <w:t>其他卫生健康支出</w:t>
      </w:r>
      <w:r>
        <w:rPr>
          <w:rFonts w:ascii="Times New Roman" w:eastAsia="仿宋_GB2312" w:cs="仿宋_GB2312" w:hAnsi="Times New Roman" w:hint="eastAsia"/>
          <w:color w:val="auto"/>
          <w:kern w:val="2"/>
          <w:sz w:val="32"/>
          <w:szCs w:val="32"/>
          <w:lang w:val="en-US" w:eastAsia="zh-CN" w:bidi="ar-SA"/>
          <w:highlight w:val="auto"/>
        </w:rPr>
        <w:t>（项）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16.51</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tabs>
          <w:tab w:val="right" w:pos="8306"/>
        </w:tabs>
        <w:spacing w:line="600" w:lineRule="exact"/>
        <w:ind w:firstLine="640"/>
        <w:outlineLvl w:val="1"/>
        <w:rPr>
          <w:rStyle w:val="2Char"/>
          <w:rFonts w:ascii="Times New Roman" w:hAnsi="Times New Roman"/>
          <w:color w:val="auto"/>
          <w:highlight w:val="auto"/>
        </w:rPr>
      </w:pPr>
      <w:bookmarkStart w:id="29" w:name="_Toc15377214"/>
      <w:bookmarkStart w:id="30" w:name="_Toc15396608"/>
      <w:r>
        <w:rPr>
          <w:rFonts w:ascii="Times New Roman" w:eastAsia="黑体" w:hAnsi="Times New Roman" w:hint="eastAsia"/>
          <w:color w:val="auto"/>
          <w:sz w:val="32"/>
          <w:szCs w:val="32"/>
          <w:highlight w:val="auto"/>
        </w:rPr>
        <w:t>六</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般公共预算财政拨款基本支出决算情况说明</w:t>
      </w:r>
      <w:bookmarkEnd w:id="29"/>
      <w:bookmarkEnd w:id="30"/>
      <w:r>
        <w:rPr>
          <w:rStyle w:val="2Char"/>
          <w:rFonts w:ascii="Times New Roman" w:eastAsia="黑体" w:hAnsi="Times New Roman"/>
          <w:b w:val="0"/>
          <w:color w:val="auto"/>
          <w:highlight w:val="auto"/>
        </w:rPr>
        <w:tab/>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2024年度一般公共预算财政拨款基本支出</w:t>
      </w:r>
      <w:r>
        <w:rPr>
          <w:rFonts w:ascii="仿宋_GB2312" w:eastAsia="仿宋_GB2312" w:cs="仿宋_GB2312" w:hint="eastAsia"/>
          <w:sz w:val="32"/>
          <w:szCs w:val="32"/>
        </w:rPr>
        <w:t>218</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元，其中：</w:t>
      </w:r>
    </w:p>
    <w:p>
      <w:pPr>
        <w:spacing w:line="600" w:lineRule="exact"/>
        <w:ind w:firstLine="645"/>
        <w:rPr>
          <w:rFonts w:ascii="Times New Roman" w:eastAsia="仿宋_GB2312" w:cs="仿宋_GB2312" w:hAnsi="Times New Roman" w:hint="eastAsia"/>
          <w:color w:val="auto"/>
          <w:kern w:val="2"/>
          <w:sz w:val="32"/>
          <w:szCs w:val="32"/>
          <w:lang w:val="en-US" w:eastAsia="zh-CN" w:bidi="ar-SA"/>
          <w:highlight w:val="green"/>
        </w:rPr>
      </w:pPr>
      <w:r>
        <w:rPr>
          <w:rFonts w:ascii="Times New Roman" w:eastAsia="仿宋_GB2312" w:cs="仿宋_GB2312" w:hAnsi="Times New Roman" w:hint="eastAsia"/>
          <w:color w:val="auto"/>
          <w:kern w:val="2"/>
          <w:sz w:val="32"/>
          <w:szCs w:val="32"/>
          <w:lang w:val="en-US" w:eastAsia="zh-CN" w:bidi="ar-SA"/>
          <w:highlight w:val="auto"/>
        </w:rPr>
        <w:t>人员经费</w:t>
      </w:r>
      <w:r>
        <w:rPr>
          <w:rFonts w:ascii="仿宋_GB2312" w:eastAsia="仿宋_GB2312" w:cs="仿宋_GB2312" w:hint="eastAsia"/>
          <w:sz w:val="32"/>
          <w:szCs w:val="32"/>
        </w:rPr>
        <w:t>198.3</w:t>
      </w:r>
      <w:r>
        <w:rPr>
          <w:rFonts w:ascii="仿宋_GB2312" w:eastAsia="仿宋_GB2312" w:cs="仿宋_GB2312" w:hint="eastAsia"/>
          <w:sz w:val="32"/>
          <w:szCs w:val="32"/>
          <w:lang w:val="en-US" w:eastAsia="zh-CN"/>
        </w:rPr>
        <w:t>9</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元，主要包括：基本工资</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、津贴补贴</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、奖金</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、伙食补助费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、绩效工资</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、机关事业单位基本养老保险缴费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、职业年金缴费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、其他社会保障缴费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、其他工资福利支出</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、离休费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、退休费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w:t>
      </w:r>
      <w:r>
        <w:rPr>
          <w:rFonts w:ascii="仿宋" w:eastAsia="仿宋" w:hint="eastAsia"/>
          <w:sz w:val="32"/>
          <w:szCs w:val="32"/>
          <w:highlight w:val="auto"/>
        </w:rPr>
        <w:t>抚恤金</w:t>
      </w:r>
      <w:r>
        <w:rPr>
          <w:rFonts w:ascii="仿宋" w:eastAsia="仿宋" w:hint="eastAsia"/>
          <w:sz w:val="32"/>
          <w:szCs w:val="32"/>
          <w:lang w:val="en-US" w:eastAsia="zh-CN"/>
          <w:highlight w:val="auto"/>
        </w:rPr>
        <w:t>6.47</w:t>
      </w:r>
      <w:r>
        <w:rPr>
          <w:rFonts w:ascii="仿宋" w:eastAsia="仿宋" w:hint="eastAsia"/>
          <w:sz w:val="32"/>
          <w:szCs w:val="32"/>
          <w:highlight w:val="auto"/>
        </w:rPr>
        <w:t>万元、生活补助</w:t>
      </w:r>
      <w:r>
        <w:rPr>
          <w:rFonts w:ascii="仿宋" w:eastAsia="仿宋" w:hint="eastAsia"/>
          <w:sz w:val="32"/>
          <w:szCs w:val="32"/>
          <w:lang w:val="en-US" w:eastAsia="zh-CN"/>
          <w:highlight w:val="auto"/>
        </w:rPr>
        <w:t>172.50</w:t>
      </w:r>
      <w:r>
        <w:rPr>
          <w:rFonts w:ascii="仿宋" w:eastAsia="仿宋" w:hint="eastAsia"/>
          <w:sz w:val="32"/>
          <w:szCs w:val="32"/>
          <w:highlight w:val="auto"/>
        </w:rPr>
        <w:t>万元、医疗费补助</w:t>
      </w:r>
      <w:r>
        <w:rPr>
          <w:rFonts w:ascii="仿宋" w:eastAsia="仿宋" w:hint="eastAsia"/>
          <w:sz w:val="32"/>
          <w:szCs w:val="32"/>
          <w:lang w:val="en-US" w:eastAsia="zh-CN"/>
          <w:highlight w:val="auto"/>
        </w:rPr>
        <w:t>19.42</w:t>
      </w:r>
      <w:r>
        <w:rPr>
          <w:rFonts w:ascii="仿宋" w:eastAsia="仿宋" w:hint="eastAsia"/>
          <w:sz w:val="32"/>
          <w:szCs w:val="32"/>
          <w:highlight w:val="auto"/>
        </w:rPr>
        <w:t>万元</w:t>
      </w:r>
      <w:r>
        <w:rPr>
          <w:rFonts w:ascii="Times New Roman" w:eastAsia="仿宋_GB2312" w:cs="仿宋_GB2312" w:hAnsi="Times New Roman" w:hint="eastAsia"/>
          <w:color w:val="auto"/>
          <w:kern w:val="2"/>
          <w:sz w:val="32"/>
          <w:szCs w:val="32"/>
          <w:lang w:val="en-US" w:eastAsia="zh-CN" w:bidi="ar-SA"/>
          <w:highlight w:val="auto"/>
        </w:rPr>
        <w:t>、奖励金</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、住房公积金</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、其他对个人和家庭的补助支出</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w:t>
        <w:br/>
        <w:t>　　公用经费</w:t>
      </w:r>
      <w:r>
        <w:rPr>
          <w:rFonts w:ascii="仿宋_GB2312" w:eastAsia="仿宋_GB2312" w:cs="仿宋_GB2312" w:hint="eastAsia"/>
          <w:sz w:val="32"/>
          <w:szCs w:val="32"/>
        </w:rPr>
        <w:t>19.6</w:t>
      </w:r>
      <w:r>
        <w:rPr>
          <w:rFonts w:ascii="仿宋_GB2312" w:eastAsia="仿宋_GB2312" w:cs="仿宋_GB2312" w:hint="eastAsia"/>
          <w:sz w:val="32"/>
          <w:szCs w:val="32"/>
          <w:lang w:val="en-US" w:eastAsia="zh-CN"/>
        </w:rPr>
        <w:t>1</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w:t>
      </w:r>
      <w:r>
        <w:rPr>
          <w:rFonts w:ascii="仿宋" w:eastAsia="仿宋" w:hint="eastAsia"/>
          <w:sz w:val="32"/>
          <w:szCs w:val="32"/>
          <w:highlight w:val="auto"/>
        </w:rPr>
        <w:t>主要包括：</w:t>
      </w:r>
      <w:r>
        <w:rPr>
          <w:rFonts w:ascii="Times New Roman" w:eastAsia="仿宋_GB2312" w:cs="仿宋_GB2312" w:hAnsi="Times New Roman" w:hint="eastAsia"/>
          <w:color w:val="auto"/>
          <w:kern w:val="2"/>
          <w:sz w:val="32"/>
          <w:szCs w:val="32"/>
          <w:lang w:val="en-US" w:eastAsia="zh-CN" w:bidi="ar-SA"/>
          <w:highlight w:val="auto"/>
        </w:rPr>
        <w:t>办公费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、印刷费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、咨询费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、手续费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、水费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、电费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、邮电费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、取暖费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、物业管理费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、差旅费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、因公出国（境）费用</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、维修（护）费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、租赁费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、会议费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、培训费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、公务接待费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、劳务费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、委托业务费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、工会经费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、福利费</w:t>
      </w:r>
      <w:r>
        <w:rPr>
          <w:rFonts w:ascii="仿宋" w:eastAsia="仿宋" w:hint="eastAsia"/>
          <w:sz w:val="32"/>
          <w:szCs w:val="32"/>
          <w:lang w:val="en-US" w:eastAsia="zh-CN"/>
          <w:highlight w:val="auto"/>
        </w:rPr>
        <w:t>4.63万元</w:t>
      </w:r>
      <w:r>
        <w:rPr>
          <w:rFonts w:ascii="Times New Roman" w:eastAsia="仿宋_GB2312" w:cs="仿宋_GB2312" w:hAnsi="Times New Roman" w:hint="eastAsia"/>
          <w:color w:val="auto"/>
          <w:kern w:val="2"/>
          <w:sz w:val="32"/>
          <w:szCs w:val="32"/>
          <w:lang w:val="en-US" w:eastAsia="zh-CN" w:bidi="ar-SA"/>
          <w:highlight w:val="auto"/>
        </w:rPr>
        <w:t>、公务用车运行维护费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、其他交通费</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、税金及附加费用</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w:t>
      </w:r>
      <w:r>
        <w:rPr>
          <w:rFonts w:ascii="仿宋" w:eastAsia="仿宋" w:hint="eastAsia"/>
          <w:sz w:val="32"/>
          <w:szCs w:val="32"/>
          <w:highlight w:val="auto"/>
        </w:rPr>
        <w:t>其他商品和服务支出</w:t>
      </w:r>
      <w:r>
        <w:rPr>
          <w:rFonts w:ascii="仿宋" w:eastAsia="仿宋" w:hint="eastAsia"/>
          <w:sz w:val="32"/>
          <w:szCs w:val="32"/>
          <w:lang w:val="en-US" w:eastAsia="zh-CN"/>
          <w:highlight w:val="auto"/>
        </w:rPr>
        <w:t>3.26</w:t>
      </w:r>
      <w:r>
        <w:rPr>
          <w:rFonts w:ascii="仿宋" w:eastAsia="仿宋" w:hint="eastAsia"/>
          <w:sz w:val="32"/>
          <w:szCs w:val="32"/>
          <w:highlight w:val="auto"/>
        </w:rPr>
        <w:t>万元、办公设备购置</w:t>
      </w:r>
      <w:r>
        <w:rPr>
          <w:rFonts w:ascii="仿宋" w:eastAsia="仿宋" w:hint="eastAsia"/>
          <w:sz w:val="32"/>
          <w:szCs w:val="32"/>
          <w:lang w:val="en-US" w:eastAsia="zh-CN"/>
          <w:highlight w:val="auto"/>
        </w:rPr>
        <w:t>11.72</w:t>
      </w:r>
      <w:r>
        <w:rPr>
          <w:rFonts w:ascii="仿宋" w:eastAsia="仿宋" w:hint="eastAsia"/>
          <w:sz w:val="32"/>
          <w:szCs w:val="32"/>
          <w:highlight w:val="auto"/>
        </w:rPr>
        <w:t>万元</w:t>
      </w:r>
      <w:r>
        <w:rPr>
          <w:rFonts w:ascii="Times New Roman" w:eastAsia="仿宋_GB2312" w:cs="仿宋_GB2312" w:hAnsi="Times New Roman" w:hint="eastAsia"/>
          <w:color w:val="auto"/>
          <w:kern w:val="2"/>
          <w:sz w:val="32"/>
          <w:szCs w:val="32"/>
          <w:lang w:val="en-US" w:eastAsia="zh-CN" w:bidi="ar-SA"/>
          <w:highlight w:val="auto"/>
        </w:rPr>
        <w:t>、专用设备购置</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、信息网络及软件购置更新</w:t>
      </w:r>
      <w:r>
        <w:rPr>
          <w:rFonts w:eastAsia="仿宋_GB2312" w:cs="仿宋_GB2312" w:hint="eastAsia"/>
          <w:color w:val="auto"/>
          <w:kern w:val="2"/>
          <w:sz w:val="32"/>
          <w:szCs w:val="32"/>
          <w:lang w:val="en-US" w:eastAsia="zh-CN" w:bidi="ar-SA"/>
          <w:highlight w:val="auto"/>
        </w:rPr>
        <w:t>0万元</w:t>
      </w:r>
      <w:r>
        <w:rPr>
          <w:rFonts w:ascii="Times New Roman" w:eastAsia="仿宋_GB2312" w:cs="仿宋_GB2312" w:hAnsi="Times New Roman" w:hint="eastAsia"/>
          <w:color w:val="auto"/>
          <w:kern w:val="2"/>
          <w:sz w:val="32"/>
          <w:szCs w:val="32"/>
          <w:lang w:val="en-US" w:eastAsia="zh-CN" w:bidi="ar-SA"/>
          <w:highlight w:val="auto"/>
        </w:rPr>
        <w:t>、其他资本性支出</w:t>
      </w:r>
      <w:r>
        <w:rPr>
          <w:rFonts w:eastAsia="仿宋_GB2312" w:cs="仿宋_GB2312" w:hint="eastAsia"/>
          <w:color w:val="auto"/>
          <w:kern w:val="2"/>
          <w:sz w:val="32"/>
          <w:szCs w:val="32"/>
          <w:lang w:val="en-US" w:eastAsia="zh-CN" w:bidi="ar-SA"/>
          <w:highlight w:val="auto"/>
        </w:rPr>
        <w:t xml:space="preserve">0万元。 </w:t>
      </w:r>
    </w:p>
    <w:p>
      <w:pPr>
        <w:spacing w:line="600" w:lineRule="exact"/>
        <w:ind w:firstLine="640"/>
        <w:outlineLvl w:val="1"/>
        <w:rPr>
          <w:rStyle w:val="2Char"/>
          <w:rFonts w:ascii="Times New Roman" w:eastAsia="黑体" w:hAnsi="Times New Roman"/>
          <w:b w:val="0"/>
          <w:color w:val="auto"/>
          <w:highlight w:val="auto"/>
        </w:rPr>
      </w:pPr>
      <w:bookmarkStart w:id="31" w:name="_Toc15377215"/>
      <w:bookmarkStart w:id="32" w:name="_Toc15396609"/>
      <w:r>
        <w:rPr>
          <w:rFonts w:ascii="Times New Roman" w:eastAsia="黑体" w:hAnsi="Times New Roman" w:hint="eastAsia"/>
          <w:color w:val="auto"/>
          <w:sz w:val="32"/>
          <w:szCs w:val="32"/>
          <w:highlight w:val="auto"/>
        </w:rPr>
        <w:t>七、</w:t>
      </w:r>
      <w:r>
        <w:rPr>
          <w:rStyle w:val="2Char"/>
          <w:rFonts w:ascii="Times New Roman" w:eastAsia="黑体" w:hAnsi="Times New Roman" w:hint="eastAsia"/>
          <w:b w:val="0"/>
          <w:color w:val="auto"/>
          <w:highlight w:val="auto"/>
        </w:rPr>
        <w:t>财政拨款</w:t>
      </w:r>
      <w:r>
        <w:rPr>
          <w:rStyle w:val="2Char"/>
          <w:rFonts w:ascii="Times New Roman" w:eastAsia="黑体" w:hAnsi="Times New Roman" w:hint="eastAsia"/>
          <w:color w:val="auto"/>
          <w:highlight w:val="auto"/>
        </w:rPr>
        <w:t>“</w:t>
      </w:r>
      <w:r>
        <w:rPr>
          <w:rStyle w:val="2Char"/>
          <w:rFonts w:ascii="Times New Roman" w:eastAsia="黑体" w:hAnsi="Times New Roman" w:hint="eastAsia"/>
          <w:b w:val="0"/>
          <w:color w:val="auto"/>
          <w:highlight w:val="auto"/>
        </w:rPr>
        <w:t>三公”经费支出决算情况说明</w:t>
      </w:r>
      <w:bookmarkEnd w:id="31"/>
      <w:bookmarkEnd w:id="32"/>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33" w:name="_Toc15377216"/>
      <w:r>
        <w:rPr>
          <w:rFonts w:ascii="Times New Roman" w:eastAsia="楷体_GB2312" w:cs="楷体_GB2312" w:hAnsi="Times New Roman" w:hint="eastAsia"/>
          <w:b/>
          <w:color w:val="auto"/>
          <w:sz w:val="32"/>
          <w:szCs w:val="32"/>
          <w:highlight w:val="auto"/>
        </w:rPr>
        <w:t>（一）“三公”经费财政拨款支出决算总体情况说明</w:t>
      </w:r>
      <w:bookmarkEnd w:id="33"/>
    </w:p>
    <w:p>
      <w:pPr>
        <w:spacing w:line="600" w:lineRule="exact"/>
        <w:ind w:firstLine="640"/>
        <w:rPr>
          <w:rFonts w:hint="eastAsia"/>
        </w:rPr>
      </w:pPr>
      <w:r>
        <w:rPr>
          <w:rFonts w:ascii="Times New Roman" w:eastAsia="仿宋_GB2312" w:cs="仿宋_GB2312" w:hAnsi="Times New Roman" w:hint="eastAsia"/>
          <w:color w:val="auto"/>
          <w:kern w:val="2"/>
          <w:sz w:val="32"/>
          <w:szCs w:val="32"/>
          <w:lang w:val="en-US" w:eastAsia="zh-CN" w:bidi="ar-SA"/>
          <w:highlight w:val="auto"/>
        </w:rPr>
        <w:t>2024年度“三公”经费财政拨款支出决算为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万元，完成预算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w:t>
      </w:r>
      <w:r>
        <w:rPr>
          <w:rFonts w:ascii="仿宋" w:eastAsia="仿宋" w:hint="eastAsia"/>
          <w:sz w:val="32"/>
          <w:szCs w:val="32"/>
        </w:rPr>
        <w:t>与上年度持平，均未安排“三公”经费财政拨款支出预算。</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34" w:name="_Toc15377217"/>
      <w:r>
        <w:rPr>
          <w:rFonts w:ascii="Times New Roman" w:eastAsia="楷体_GB2312" w:cs="楷体_GB2312" w:hAnsi="Times New Roman" w:hint="eastAsia"/>
          <w:b/>
          <w:color w:val="auto"/>
          <w:sz w:val="32"/>
          <w:szCs w:val="32"/>
          <w:highlight w:val="auto"/>
        </w:rPr>
        <w:t>（二）“三公”经费财政拨款支出决算具体情况说明</w:t>
      </w:r>
      <w:bookmarkEnd w:id="34"/>
    </w:p>
    <w:p>
      <w:pPr>
        <w:spacing w:line="600" w:lineRule="exact"/>
        <w:ind w:firstLine="640"/>
        <w:rPr>
          <w:rFonts w:ascii="仿宋_GB2312" w:eastAsia="仿宋_GB2312" w:cs="仿宋_GB2312"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2024年度“三公”经费财政拨款支出决算中，因公出国（境）费支出决算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万元，占0%；公务用车购置及运行维护费支出决算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万元，占0%；公务接待费支出决算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万元，占0%。具体情况如下：</w:t>
      </w:r>
    </w:p>
    <w:p>
      <w:pPr>
        <w:spacing w:line="600" w:lineRule="exact"/>
        <w:ind w:firstLine="640"/>
        <w:rPr>
          <w:rFonts w:ascii="仿宋_GB2312" w:eastAsia="仿宋_GB2312"/>
          <w:sz w:val="32"/>
          <w:szCs w:val="32"/>
        </w:rPr>
      </w:pPr>
      <w:r>
        <w:rPr>
          <w:rFonts w:ascii="Times New Roman" w:eastAsia="仿宋_GB2312" w:cs="仿宋_GB2312" w:hAnsi="Times New Roman" w:hint="eastAsia"/>
          <w:b/>
          <w:bCs/>
          <w:color w:val="auto"/>
          <w:kern w:val="2"/>
          <w:sz w:val="32"/>
          <w:szCs w:val="32"/>
          <w:lang w:val="en-US" w:eastAsia="zh-CN" w:bidi="ar-SA"/>
          <w:highlight w:val="auto"/>
        </w:rPr>
        <w:t>1.因公出国（境）经费支出</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万元，完成预算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全年安排因公出国（境）团</w:t>
      </w:r>
      <w:r>
        <w:rPr>
          <w:rFonts w:ascii="仿宋_GB2312" w:eastAsia="仿宋_GB2312" w:cs="仿宋_GB2312" w:hint="eastAsia"/>
          <w:color w:val="auto"/>
          <w:kern w:val="2"/>
          <w:sz w:val="32"/>
          <w:szCs w:val="32"/>
          <w:lang w:val="en-US" w:eastAsia="zh-CN" w:bidi="ar-SA"/>
          <w:highlight w:val="auto"/>
        </w:rPr>
        <w:t>组</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次，出国（境）</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人</w:t>
      </w:r>
      <w:r>
        <w:rPr>
          <w:rFonts w:ascii="Times New Roman" w:eastAsia="仿宋_GB2312" w:cs="仿宋_GB2312" w:hAnsi="Times New Roman" w:hint="eastAsia"/>
          <w:color w:val="auto"/>
          <w:kern w:val="2"/>
          <w:sz w:val="32"/>
          <w:szCs w:val="32"/>
          <w:lang w:val="en-US" w:eastAsia="zh-CN" w:bidi="ar-SA"/>
          <w:highlight w:val="auto"/>
        </w:rPr>
        <w:t>。</w:t>
      </w:r>
      <w:r>
        <w:rPr>
          <w:rFonts w:ascii="仿宋_GB2312" w:eastAsia="仿宋_GB2312" w:hint="eastAsia"/>
          <w:sz w:val="32"/>
          <w:szCs w:val="32"/>
        </w:rPr>
        <w:t>因公出国（境）支出决算与202</w:t>
      </w:r>
      <w:r>
        <w:rPr>
          <w:rFonts w:ascii="仿宋_GB2312" w:eastAsia="仿宋_GB2312" w:hint="eastAsia"/>
          <w:sz w:val="32"/>
          <w:szCs w:val="32"/>
          <w:lang w:val="en-US" w:eastAsia="zh-CN"/>
        </w:rPr>
        <w:t>3</w:t>
      </w:r>
      <w:r>
        <w:rPr>
          <w:rFonts w:ascii="仿宋_GB2312" w:eastAsia="仿宋_GB2312" w:hint="eastAsia"/>
          <w:sz w:val="32"/>
          <w:szCs w:val="32"/>
        </w:rPr>
        <w:t>年度持平，均未安排财政拨款支出预算。</w:t>
      </w:r>
    </w:p>
    <w:p>
      <w:pPr>
        <w:spacing w:line="600" w:lineRule="exact"/>
        <w:ind w:firstLine="640"/>
        <w:rPr>
          <w:rFonts w:ascii="仿宋_GB2312" w:eastAsia="仿宋_GB2312"/>
          <w:b/>
          <w:sz w:val="32"/>
          <w:szCs w:val="32"/>
        </w:rPr>
      </w:pPr>
      <w:r>
        <w:rPr>
          <w:rFonts w:ascii="Times New Roman" w:eastAsia="仿宋_GB2312" w:cs="仿宋_GB2312" w:hAnsi="Times New Roman" w:hint="eastAsia"/>
          <w:b/>
          <w:bCs/>
          <w:color w:val="auto"/>
          <w:kern w:val="2"/>
          <w:sz w:val="32"/>
          <w:szCs w:val="32"/>
          <w:lang w:val="en-US" w:eastAsia="zh-CN" w:bidi="ar-SA"/>
          <w:highlight w:val="auto"/>
        </w:rPr>
        <w:t>2.公务用车购置及运行维护费支出</w:t>
      </w:r>
      <w:r>
        <w:rPr>
          <w:rFonts w:ascii="仿宋_GB2312" w:eastAsia="仿宋_GB2312" w:cs="仿宋_GB2312" w:hint="eastAsia"/>
          <w:b/>
          <w:bCs/>
          <w:color w:val="auto"/>
          <w:kern w:val="2"/>
          <w:sz w:val="32"/>
          <w:szCs w:val="32"/>
          <w:lang w:val="en-US" w:eastAsia="zh-CN" w:bidi="ar-SA"/>
          <w:highlight w:val="auto"/>
        </w:rPr>
        <w:t>0万</w:t>
      </w:r>
      <w:r>
        <w:rPr>
          <w:rFonts w:ascii="Times New Roman" w:eastAsia="仿宋_GB2312" w:cs="仿宋_GB2312" w:hAnsi="Times New Roman" w:hint="eastAsia"/>
          <w:b/>
          <w:bCs/>
          <w:color w:val="auto"/>
          <w:kern w:val="2"/>
          <w:sz w:val="32"/>
          <w:szCs w:val="32"/>
          <w:lang w:val="en-US" w:eastAsia="zh-CN" w:bidi="ar-SA"/>
          <w:highlight w:val="auto"/>
        </w:rPr>
        <w:t>元</w:t>
      </w:r>
      <w:r>
        <w:rPr>
          <w:rFonts w:eastAsia="仿宋_GB2312" w:cs="仿宋_GB2312" w:hint="eastAsia"/>
          <w:b/>
          <w:bCs/>
          <w:color w:val="auto"/>
          <w:kern w:val="2"/>
          <w:sz w:val="32"/>
          <w:szCs w:val="32"/>
          <w:lang w:val="en-US" w:eastAsia="zh-CN" w:bidi="ar-SA"/>
          <w:highlight w:val="auto"/>
        </w:rPr>
        <w:t>，</w:t>
      </w:r>
      <w:r>
        <w:rPr>
          <w:rFonts w:ascii="Times New Roman" w:eastAsia="仿宋_GB2312" w:cs="仿宋_GB2312" w:hAnsi="Times New Roman" w:hint="eastAsia"/>
          <w:b/>
          <w:bCs/>
          <w:color w:val="auto"/>
          <w:kern w:val="2"/>
          <w:sz w:val="32"/>
          <w:szCs w:val="32"/>
          <w:lang w:val="en-US" w:eastAsia="zh-CN" w:bidi="ar-SA"/>
          <w:highlight w:val="auto"/>
        </w:rPr>
        <w:t>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仿宋_GB2312" w:eastAsia="仿宋_GB2312" w:hint="eastAsia"/>
          <w:sz w:val="32"/>
          <w:szCs w:val="32"/>
        </w:rPr>
        <w:t>公务用车购置及运行维护费支出决算与202</w:t>
      </w:r>
      <w:r>
        <w:rPr>
          <w:rFonts w:ascii="仿宋_GB2312" w:eastAsia="仿宋_GB2312" w:hint="eastAsia"/>
          <w:sz w:val="32"/>
          <w:szCs w:val="32"/>
          <w:lang w:val="en-US" w:eastAsia="zh-CN"/>
        </w:rPr>
        <w:t>3</w:t>
      </w:r>
      <w:r>
        <w:rPr>
          <w:rFonts w:ascii="仿宋_GB2312" w:eastAsia="仿宋_GB2312" w:hint="eastAsia"/>
          <w:sz w:val="32"/>
          <w:szCs w:val="32"/>
        </w:rPr>
        <w:t>年度持平，均未安排财政拨款支出预算。</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其中：公务用车购置支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lang w:val="en-US" w:eastAsia="zh-CN"/>
        </w:rPr>
        <w:t>0</w:t>
      </w:r>
      <w:r>
        <w:rPr>
          <w:rFonts w:ascii="Times New Roman" w:eastAsia="仿宋_GB2312" w:cs="仿宋_GB2312" w:hAnsi="Times New Roman" w:hint="eastAsia"/>
          <w:color w:val="auto"/>
          <w:kern w:val="2"/>
          <w:sz w:val="32"/>
          <w:szCs w:val="32"/>
          <w:lang w:val="en-US" w:eastAsia="zh-CN" w:bidi="ar-SA"/>
          <w:highlight w:val="auto"/>
        </w:rPr>
        <w:t>万元。全年按规定更新购置公务用车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万元，越野车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万元，载客汽车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万元，主要用于</w:t>
      </w:r>
      <w:r>
        <w:rPr>
          <w:rFonts w:ascii="仿宋_GB2312" w:eastAsia="仿宋_GB2312" w:hint="eastAsia"/>
          <w:color w:val="000000"/>
          <w:sz w:val="32"/>
          <w:szCs w:val="32"/>
          <w:highlight w:val="auto"/>
        </w:rPr>
        <w:t>日常业务及公务出行</w:t>
      </w:r>
      <w:r>
        <w:rPr>
          <w:rFonts w:ascii="Times New Roman" w:eastAsia="仿宋_GB2312" w:cs="仿宋_GB2312" w:hAnsi="Times New Roman" w:hint="eastAsia"/>
          <w:color w:val="auto"/>
          <w:kern w:val="2"/>
          <w:sz w:val="32"/>
          <w:szCs w:val="32"/>
          <w:lang w:val="en-US" w:eastAsia="zh-CN" w:bidi="ar-SA"/>
          <w:highlight w:val="auto"/>
        </w:rPr>
        <w:t>。截至2024年12月31日，单位共有公务用车</w:t>
      </w:r>
      <w:r>
        <w:rPr>
          <w:rFonts w:eastAsia="仿宋_GB2312" w:cs="仿宋_GB2312" w:hint="eastAsia"/>
          <w:color w:val="auto"/>
          <w:kern w:val="2"/>
          <w:sz w:val="32"/>
          <w:szCs w:val="32"/>
          <w:lang w:val="en-US" w:eastAsia="zh-CN" w:bidi="ar-SA"/>
          <w:highlight w:val="auto"/>
        </w:rPr>
        <w:t>6</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2</w:t>
      </w:r>
      <w:r>
        <w:rPr>
          <w:rFonts w:ascii="Times New Roman" w:eastAsia="仿宋_GB2312" w:cs="仿宋_GB2312" w:hAnsi="Times New Roman" w:hint="eastAsia"/>
          <w:color w:val="auto"/>
          <w:kern w:val="2"/>
          <w:sz w:val="32"/>
          <w:szCs w:val="32"/>
          <w:lang w:val="en-US" w:eastAsia="zh-CN" w:bidi="ar-SA"/>
          <w:highlight w:val="auto"/>
        </w:rPr>
        <w:t>辆、</w:t>
      </w:r>
      <w:r>
        <w:rPr>
          <w:rFonts w:ascii="仿宋_GB2312" w:eastAsia="仿宋_GB2312" w:hint="eastAsia"/>
          <w:sz w:val="32"/>
          <w:szCs w:val="32"/>
          <w:highlight w:val="auto"/>
        </w:rPr>
        <w:t>越野车1辆</w:t>
      </w:r>
      <w:r>
        <w:rPr>
          <w:rFonts w:ascii="Times New Roman" w:eastAsia="仿宋_GB2312" w:cs="仿宋_GB2312" w:hAnsi="Times New Roman" w:hint="eastAsia"/>
          <w:color w:val="auto"/>
          <w:kern w:val="2"/>
          <w:sz w:val="32"/>
          <w:szCs w:val="32"/>
          <w:lang w:val="en-US" w:eastAsia="zh-CN" w:bidi="ar-SA"/>
          <w:highlight w:val="auto"/>
        </w:rPr>
        <w:t>、</w:t>
      </w:r>
      <w:r>
        <w:rPr>
          <w:rFonts w:ascii="仿宋_GB2312" w:eastAsia="仿宋_GB2312" w:hint="eastAsia"/>
          <w:sz w:val="32"/>
          <w:szCs w:val="32"/>
          <w:highlight w:val="auto"/>
        </w:rPr>
        <w:t>救护车3辆</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Chars="200"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公务用车运行维护费支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万元。</w:t>
      </w:r>
    </w:p>
    <w:p>
      <w:pPr>
        <w:spacing w:line="600" w:lineRule="exact"/>
        <w:ind w:firstLine="640"/>
        <w:rPr>
          <w:rFonts w:ascii="仿宋_GB2312" w:eastAsia="仿宋_GB2312"/>
          <w:sz w:val="32"/>
          <w:szCs w:val="32"/>
        </w:rPr>
      </w:pPr>
      <w:r>
        <w:rPr>
          <w:rFonts w:ascii="Times New Roman" w:eastAsia="仿宋_GB2312" w:cs="仿宋_GB2312" w:hAnsi="Times New Roman" w:hint="eastAsia"/>
          <w:b/>
          <w:bCs/>
          <w:color w:val="auto"/>
          <w:kern w:val="2"/>
          <w:sz w:val="32"/>
          <w:szCs w:val="32"/>
          <w:lang w:val="en-US" w:eastAsia="zh-CN" w:bidi="ar-SA"/>
          <w:highlight w:val="auto"/>
        </w:rPr>
        <w:t>3.公务接待费支出</w:t>
      </w:r>
      <w:r>
        <w:rPr>
          <w:rFonts w:ascii="仿宋_GB2312" w:eastAsia="仿宋_GB2312" w:cs="仿宋_GB2312" w:hint="eastAsia"/>
          <w:b/>
          <w:bCs/>
          <w:color w:val="auto"/>
          <w:kern w:val="2"/>
          <w:sz w:val="32"/>
          <w:szCs w:val="32"/>
          <w:lang w:val="en-US" w:eastAsia="zh-CN" w:bidi="ar-SA"/>
          <w:highlight w:val="auto"/>
        </w:rPr>
        <w:t>0万</w:t>
      </w:r>
      <w:r>
        <w:rPr>
          <w:rFonts w:ascii="Times New Roman" w:eastAsia="仿宋_GB2312" w:cs="仿宋_GB2312" w:hAnsi="Times New Roman" w:hint="eastAsia"/>
          <w:b/>
          <w:bCs/>
          <w:color w:val="auto"/>
          <w:kern w:val="2"/>
          <w:sz w:val="32"/>
          <w:szCs w:val="32"/>
          <w:lang w:val="en-US" w:eastAsia="zh-CN" w:bidi="ar-SA"/>
          <w:highlight w:val="auto"/>
        </w:rPr>
        <w:t>元，完成预算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公</w:t>
      </w:r>
      <w:r>
        <w:rPr>
          <w:rFonts w:ascii="仿宋_GB2312" w:eastAsia="仿宋_GB2312" w:hint="eastAsia"/>
          <w:sz w:val="32"/>
          <w:szCs w:val="32"/>
        </w:rPr>
        <w:t>务接待费支出决算与202</w:t>
      </w:r>
      <w:r>
        <w:rPr>
          <w:rFonts w:ascii="仿宋_GB2312" w:eastAsia="仿宋_GB2312" w:hint="eastAsia"/>
          <w:sz w:val="32"/>
          <w:szCs w:val="32"/>
          <w:lang w:val="en-US" w:eastAsia="zh-CN"/>
        </w:rPr>
        <w:t>3</w:t>
      </w:r>
      <w:r>
        <w:rPr>
          <w:rFonts w:ascii="仿宋_GB2312" w:eastAsia="仿宋_GB2312" w:hint="eastAsia"/>
          <w:sz w:val="32"/>
          <w:szCs w:val="32"/>
        </w:rPr>
        <w:t>年度持平，均未安排财政拨款支出预算。</w:t>
      </w:r>
    </w:p>
    <w:p>
      <w:pPr>
        <w:spacing w:line="600" w:lineRule="exac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其中：</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国内公务接待支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元。国内公务接</w:t>
      </w:r>
      <w:r>
        <w:rPr>
          <w:rFonts w:ascii="仿宋_GB2312" w:eastAsia="仿宋_GB2312" w:cs="仿宋_GB2312" w:hint="eastAsia"/>
          <w:color w:val="auto"/>
          <w:kern w:val="2"/>
          <w:sz w:val="32"/>
          <w:szCs w:val="32"/>
          <w:lang w:val="en-US" w:eastAsia="zh-CN" w:bidi="ar-SA"/>
          <w:highlight w:val="auto"/>
        </w:rPr>
        <w:t>待</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批次，</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人次（不包括陪同人员），共计支出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外事接待支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万元。外事接待</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批次，</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人次（不包括陪同人员），共计支出0万</w:t>
      </w:r>
      <w:r>
        <w:rPr>
          <w:rFonts w:ascii="Times New Roman" w:eastAsia="仿宋_GB2312" w:cs="仿宋_GB2312" w:hAnsi="Times New Roman" w:hint="eastAsia"/>
          <w:color w:val="auto"/>
          <w:kern w:val="2"/>
          <w:sz w:val="32"/>
          <w:szCs w:val="32"/>
          <w:lang w:val="en-US" w:eastAsia="zh-CN" w:bidi="ar-SA"/>
          <w:highlight w:val="auto"/>
        </w:rPr>
        <w:t>元。</w:t>
      </w:r>
      <w:bookmarkStart w:id="35" w:name="_Toc15396610"/>
      <w:bookmarkStart w:id="36" w:name="_Toc15377218"/>
    </w:p>
    <w:p>
      <w:pPr>
        <w:spacing w:line="600" w:lineRule="exact"/>
        <w:ind w:firstLine="640"/>
        <w:outlineLvl w:val="1"/>
        <w:rPr>
          <w:rStyle w:val="2Char"/>
          <w:rFonts w:ascii="Times New Roman" w:eastAsia="黑体" w:hAnsi="Times New Roman"/>
          <w:color w:val="auto"/>
          <w:highlight w:val="auto"/>
        </w:rPr>
      </w:pPr>
      <w:r>
        <w:rPr>
          <w:rFonts w:ascii="Times New Roman" w:eastAsia="黑体" w:hAnsi="Times New Roman" w:hint="eastAsia"/>
          <w:color w:val="auto"/>
          <w:sz w:val="32"/>
          <w:szCs w:val="32"/>
          <w:highlight w:val="auto"/>
        </w:rPr>
        <w:t>八、</w:t>
      </w:r>
      <w:r>
        <w:rPr>
          <w:rStyle w:val="2Char"/>
          <w:rFonts w:ascii="Times New Roman" w:eastAsia="黑体" w:hAnsi="Times New Roman" w:hint="eastAsia"/>
          <w:b w:val="0"/>
          <w:color w:val="auto"/>
          <w:highlight w:val="auto"/>
        </w:rPr>
        <w:t>政府性基金预算支出决算情况说明</w:t>
      </w:r>
      <w:bookmarkEnd w:id="35"/>
      <w:bookmarkEnd w:id="36"/>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2024年度政府性基金预算财政拨款支出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w:t>
      </w:r>
    </w:p>
    <w:p>
      <w:pPr>
        <w:spacing w:line="600" w:lineRule="exact"/>
        <w:ind w:left="630"/>
        <w:outlineLvl w:val="1"/>
        <w:rPr>
          <w:rStyle w:val="2Char"/>
          <w:rFonts w:ascii="Times New Roman" w:eastAsia="黑体" w:hAnsi="Times New Roman"/>
          <w:b w:val="0"/>
          <w:color w:val="auto"/>
          <w:highlight w:val="auto"/>
        </w:rPr>
      </w:pPr>
      <w:bookmarkStart w:id="37" w:name="_Toc15377219"/>
      <w:bookmarkStart w:id="38" w:name="_Toc15396611"/>
      <w:r>
        <w:rPr>
          <w:rStyle w:val="2Char"/>
          <w:rFonts w:ascii="Times New Roman" w:eastAsia="黑体" w:hAnsi="Times New Roman" w:hint="eastAsia"/>
          <w:b w:val="0"/>
          <w:color w:val="auto"/>
          <w:lang w:eastAsia="zh-CN"/>
          <w:highlight w:val="auto"/>
        </w:rPr>
        <w:t>九、</w:t>
      </w:r>
      <w:r>
        <w:rPr>
          <w:rStyle w:val="2Char"/>
          <w:rFonts w:ascii="Times New Roman" w:eastAsia="黑体" w:hAnsi="Times New Roman" w:hint="eastAsia"/>
          <w:b w:val="0"/>
          <w:color w:val="auto"/>
          <w:highlight w:val="auto"/>
        </w:rPr>
        <w:t>国有资本经营预算支出决算情况说明</w:t>
      </w:r>
      <w:bookmarkEnd w:id="37"/>
      <w:bookmarkEnd w:id="38"/>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2024年度国有资本经营预算财政拨款支出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w:t>
      </w:r>
    </w:p>
    <w:p>
      <w:pPr>
        <w:spacing w:line="600" w:lineRule="exact"/>
        <w:ind w:left="630"/>
        <w:outlineLvl w:val="1"/>
        <w:rPr>
          <w:rStyle w:val="2Char"/>
          <w:rFonts w:ascii="Times New Roman" w:eastAsia="黑体" w:hAnsi="Times New Roman" w:hint="eastAsia"/>
          <w:b w:val="0"/>
          <w:color w:val="auto"/>
          <w:highlight w:val="auto"/>
        </w:rPr>
      </w:pPr>
      <w:bookmarkStart w:id="39" w:name="_Toc15396612"/>
      <w:bookmarkStart w:id="40" w:name="_Toc15377221"/>
      <w:r>
        <w:rPr>
          <w:rStyle w:val="2Char"/>
          <w:rFonts w:ascii="Times New Roman" w:eastAsia="黑体" w:hAnsi="Times New Roman" w:hint="eastAsia"/>
          <w:b w:val="0"/>
          <w:color w:val="auto"/>
          <w:lang w:eastAsia="zh-CN"/>
          <w:highlight w:val="auto"/>
        </w:rPr>
        <w:t>十、</w:t>
      </w:r>
      <w:r>
        <w:rPr>
          <w:rStyle w:val="2Char"/>
          <w:rFonts w:ascii="Times New Roman" w:eastAsia="黑体" w:hAnsi="Times New Roman" w:hint="eastAsia"/>
          <w:b w:val="0"/>
          <w:color w:val="auto"/>
          <w:highlight w:val="auto"/>
        </w:rPr>
        <w:t>其他重要事项的情况说明</w:t>
      </w:r>
      <w:bookmarkEnd w:id="39"/>
      <w:bookmarkEnd w:id="40"/>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41" w:name="_Toc15377222"/>
      <w:r>
        <w:rPr>
          <w:rFonts w:ascii="Times New Roman" w:eastAsia="楷体_GB2312" w:cs="楷体_GB2312" w:hAnsi="Times New Roman" w:hint="eastAsia"/>
          <w:b/>
          <w:color w:val="auto"/>
          <w:sz w:val="32"/>
          <w:szCs w:val="32"/>
          <w:highlight w:val="auto"/>
        </w:rPr>
        <w:t>（一）机关运行经费支出情况</w:t>
      </w:r>
      <w:bookmarkEnd w:id="41"/>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w:t>
      </w:r>
      <w:r>
        <w:rPr>
          <w:rFonts w:ascii="仿宋_GB2312" w:eastAsia="仿宋_GB2312" w:cs="仿宋_GB2312" w:hint="eastAsia"/>
          <w:color w:val="auto"/>
          <w:kern w:val="2"/>
          <w:sz w:val="32"/>
          <w:szCs w:val="32"/>
          <w:lang w:val="en-US" w:eastAsia="zh-CN" w:bidi="ar-SA"/>
          <w:highlight w:val="auto"/>
        </w:rPr>
        <w:t>，</w:t>
      </w:r>
      <w:r>
        <w:rPr>
          <w:rFonts w:ascii="仿宋_GB2312" w:eastAsia="仿宋_GB2312" w:cs="仿宋_GB2312" w:hint="eastAsia"/>
          <w:sz w:val="32"/>
          <w:szCs w:val="32"/>
        </w:rPr>
        <w:t>四川省攀枝花市妇幼保健院</w:t>
      </w:r>
      <w:r>
        <w:rPr>
          <w:rFonts w:ascii="仿宋_GB2312" w:eastAsia="仿宋_GB2312" w:cs="仿宋_GB2312" w:hint="eastAsia"/>
          <w:color w:val="auto"/>
          <w:kern w:val="2"/>
          <w:sz w:val="32"/>
          <w:szCs w:val="32"/>
          <w:lang w:val="en-US" w:eastAsia="zh-CN" w:bidi="ar-SA"/>
          <w:highlight w:val="auto"/>
        </w:rPr>
        <w:t>机关运行经费支出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w:t>
      </w:r>
      <w:r>
        <w:rPr>
          <w:rFonts w:ascii="仿宋_GB2312" w:eastAsia="仿宋_GB2312" w:hint="eastAsia"/>
          <w:sz w:val="32"/>
          <w:szCs w:val="32"/>
        </w:rPr>
        <w:t>，与</w:t>
      </w:r>
      <w:r>
        <w:rPr>
          <w:rFonts w:ascii="仿宋_GB2312" w:eastAsia="仿宋_GB2312"/>
          <w:sz w:val="32"/>
          <w:szCs w:val="32"/>
        </w:rPr>
        <w:t>20</w:t>
      </w:r>
      <w:r>
        <w:rPr>
          <w:rFonts w:ascii="仿宋_GB2312" w:eastAsia="仿宋_GB2312" w:hint="eastAsia"/>
          <w:sz w:val="32"/>
          <w:szCs w:val="32"/>
        </w:rPr>
        <w:t>2</w:t>
      </w:r>
      <w:r>
        <w:rPr>
          <w:rFonts w:ascii="仿宋_GB2312" w:eastAsia="仿宋_GB2312" w:hint="eastAsia"/>
          <w:sz w:val="32"/>
          <w:szCs w:val="32"/>
          <w:lang w:val="en-US" w:eastAsia="zh-CN"/>
        </w:rPr>
        <w:t>3</w:t>
      </w:r>
      <w:r>
        <w:rPr>
          <w:rFonts w:ascii="仿宋_GB2312" w:eastAsia="仿宋_GB2312" w:hint="eastAsia"/>
          <w:sz w:val="32"/>
          <w:szCs w:val="32"/>
        </w:rPr>
        <w:t>年度决算数持平，均未安排财政拨款支出预算。</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42" w:name="_Toc15377223"/>
      <w:r>
        <w:rPr>
          <w:rFonts w:ascii="Times New Roman" w:eastAsia="楷体_GB2312" w:cs="楷体_GB2312" w:hAnsi="Times New Roman" w:hint="eastAsia"/>
          <w:b/>
          <w:color w:val="auto"/>
          <w:sz w:val="32"/>
          <w:szCs w:val="32"/>
          <w:highlight w:val="auto"/>
        </w:rPr>
        <w:t>（二）政府采购支出情况</w:t>
      </w:r>
      <w:bookmarkEnd w:id="42"/>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w:t>
      </w:r>
      <w:r>
        <w:rPr>
          <w:rFonts w:ascii="仿宋_GB2312" w:eastAsia="仿宋_GB2312" w:cs="仿宋_GB2312" w:hint="eastAsia"/>
          <w:sz w:val="32"/>
          <w:szCs w:val="32"/>
        </w:rPr>
        <w:t>四川省攀枝花市妇幼保健院</w:t>
      </w:r>
      <w:r>
        <w:rPr>
          <w:rFonts w:ascii="仿宋_GB2312" w:eastAsia="仿宋_GB2312" w:cs="仿宋_GB2312" w:hint="eastAsia"/>
          <w:color w:val="auto"/>
          <w:kern w:val="2"/>
          <w:sz w:val="32"/>
          <w:szCs w:val="32"/>
          <w:lang w:val="en-US" w:eastAsia="zh-CN" w:bidi="ar-SA"/>
          <w:highlight w:val="auto"/>
        </w:rPr>
        <w:t>政府采购支出总额</w:t>
      </w:r>
      <w:r>
        <w:rPr>
          <w:rFonts w:ascii="仿宋_GB2312" w:eastAsia="仿宋_GB2312" w:cs="仿宋_GB2312" w:hint="eastAsia"/>
          <w:sz w:val="32"/>
          <w:szCs w:val="32"/>
        </w:rPr>
        <w:t>32.53</w:t>
      </w:r>
      <w:r>
        <w:rPr>
          <w:rFonts w:ascii="仿宋_GB2312" w:eastAsia="仿宋_GB2312" w:cs="仿宋_GB2312" w:hint="eastAsia"/>
          <w:color w:val="auto"/>
          <w:kern w:val="2"/>
          <w:sz w:val="32"/>
          <w:szCs w:val="32"/>
          <w:lang w:val="en-US" w:eastAsia="zh-CN" w:bidi="ar-SA"/>
          <w:highlight w:val="auto"/>
        </w:rPr>
        <w:t>万元，其中：政府采购货物支出</w:t>
      </w:r>
      <w:r>
        <w:rPr>
          <w:rFonts w:ascii="仿宋_GB2312" w:eastAsia="仿宋_GB2312" w:cs="仿宋_GB2312" w:hint="eastAsia"/>
          <w:sz w:val="32"/>
          <w:szCs w:val="32"/>
        </w:rPr>
        <w:t>28.21</w:t>
      </w:r>
      <w:r>
        <w:rPr>
          <w:rFonts w:ascii="仿宋_GB2312" w:eastAsia="仿宋_GB2312" w:cs="仿宋_GB2312" w:hint="eastAsia"/>
          <w:color w:val="auto"/>
          <w:kern w:val="2"/>
          <w:sz w:val="32"/>
          <w:szCs w:val="32"/>
          <w:lang w:val="en-US" w:eastAsia="zh-CN" w:bidi="ar-SA"/>
          <w:highlight w:val="auto"/>
        </w:rPr>
        <w:t>万元、政府采购工程支出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万元、政府采购服务支出</w:t>
      </w:r>
      <w:r>
        <w:rPr>
          <w:rFonts w:ascii="仿宋_GB2312" w:eastAsia="仿宋_GB2312" w:cs="仿宋_GB2312" w:hint="eastAsia"/>
          <w:sz w:val="32"/>
          <w:szCs w:val="32"/>
        </w:rPr>
        <w:t>4.32</w:t>
      </w:r>
      <w:r>
        <w:rPr>
          <w:rFonts w:ascii="仿宋_GB2312" w:eastAsia="仿宋_GB2312" w:cs="仿宋_GB2312" w:hint="eastAsia"/>
          <w:color w:val="auto"/>
          <w:kern w:val="2"/>
          <w:sz w:val="32"/>
          <w:szCs w:val="32"/>
          <w:lang w:val="en-US" w:eastAsia="zh-CN" w:bidi="ar-SA"/>
          <w:highlight w:val="auto"/>
        </w:rPr>
        <w:t>万元。</w:t>
      </w:r>
      <w:r>
        <w:rPr>
          <w:rFonts w:ascii="仿宋_GB2312" w:eastAsia="仿宋_GB2312" w:hint="eastAsia"/>
          <w:sz w:val="32"/>
          <w:szCs w:val="32"/>
        </w:rPr>
        <w:t>主要用于</w:t>
      </w:r>
      <w:r>
        <w:rPr>
          <w:rFonts w:ascii="仿宋_GB2312" w:eastAsia="仿宋_GB2312" w:hint="eastAsia"/>
          <w:color w:val="000000"/>
          <w:sz w:val="32"/>
          <w:szCs w:val="32"/>
        </w:rPr>
        <w:t>医疗专用设备、办公设备、保洁、安保等物业服务</w:t>
      </w:r>
      <w:r>
        <w:rPr>
          <w:rFonts w:ascii="仿宋_GB2312" w:eastAsia="仿宋_GB2312" w:hint="eastAsia"/>
          <w:sz w:val="32"/>
          <w:szCs w:val="32"/>
        </w:rPr>
        <w:t>。</w:t>
      </w:r>
      <w:r>
        <w:rPr>
          <w:rFonts w:ascii="仿宋_GB2312" w:eastAsia="仿宋_GB2312" w:cs="仿宋_GB2312" w:hint="eastAsia"/>
          <w:color w:val="auto"/>
          <w:kern w:val="2"/>
          <w:sz w:val="32"/>
          <w:szCs w:val="32"/>
          <w:lang w:val="en-US" w:eastAsia="zh-CN" w:bidi="ar-SA"/>
          <w:highlight w:val="auto"/>
        </w:rPr>
        <w:t>授予中小企业合同金额</w:t>
      </w:r>
      <w:r>
        <w:rPr>
          <w:rFonts w:ascii="仿宋_GB2312" w:eastAsia="仿宋_GB2312" w:cs="仿宋_GB2312" w:hint="eastAsia"/>
          <w:sz w:val="32"/>
          <w:szCs w:val="32"/>
        </w:rPr>
        <w:t>31.2</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95.89</w:t>
      </w:r>
      <w:r>
        <w:rPr>
          <w:rFonts w:ascii="仿宋_GB2312" w:eastAsia="仿宋_GB2312" w:cs="仿宋_GB2312" w:hint="eastAsia"/>
          <w:color w:val="auto"/>
          <w:kern w:val="2"/>
          <w:sz w:val="32"/>
          <w:szCs w:val="32"/>
          <w:lang w:val="en-US" w:eastAsia="zh-CN" w:bidi="ar-SA"/>
          <w:highlight w:val="auto"/>
        </w:rPr>
        <w:t>%，其中：授予小微企业合同金额</w:t>
      </w:r>
      <w:r>
        <w:rPr>
          <w:rFonts w:ascii="仿宋_GB2312" w:eastAsia="仿宋_GB2312" w:cs="仿宋_GB2312" w:hint="eastAsia"/>
          <w:sz w:val="32"/>
          <w:szCs w:val="32"/>
        </w:rPr>
        <w:t>29.2</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89.74</w:t>
      </w:r>
      <w:r>
        <w:rPr>
          <w:rFonts w:ascii="仿宋_GB2312" w:eastAsia="仿宋_GB2312" w:cs="仿宋_GB2312" w:hint="eastAsia"/>
          <w:color w:val="auto"/>
          <w:kern w:val="2"/>
          <w:sz w:val="32"/>
          <w:szCs w:val="32"/>
          <w:lang w:val="en-US" w:eastAsia="zh-CN" w:bidi="ar-SA"/>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43" w:name="_Toc15377224"/>
      <w:r>
        <w:rPr>
          <w:rFonts w:ascii="Times New Roman" w:eastAsia="楷体_GB2312" w:cs="楷体_GB2312" w:hAnsi="Times New Roman" w:hint="eastAsia"/>
          <w:b/>
          <w:color w:val="auto"/>
          <w:sz w:val="32"/>
          <w:szCs w:val="32"/>
          <w:highlight w:val="auto"/>
        </w:rPr>
        <w:t>（三）国有资产占有使用情况</w:t>
      </w:r>
      <w:bookmarkEnd w:id="43"/>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截至2024年12月31日，</w:t>
      </w:r>
      <w:r>
        <w:rPr>
          <w:rFonts w:ascii="仿宋_GB2312" w:eastAsia="仿宋_GB2312" w:cs="仿宋_GB2312" w:hint="eastAsia"/>
          <w:sz w:val="32"/>
          <w:szCs w:val="32"/>
        </w:rPr>
        <w:t>四川省攀枝花市妇幼保健院</w:t>
      </w:r>
      <w:r>
        <w:rPr>
          <w:rFonts w:ascii="仿宋_GB2312" w:eastAsia="仿宋_GB2312" w:cs="仿宋_GB2312" w:hint="eastAsia"/>
          <w:color w:val="auto"/>
          <w:kern w:val="2"/>
          <w:sz w:val="32"/>
          <w:szCs w:val="32"/>
          <w:lang w:val="en-US" w:eastAsia="zh-CN" w:bidi="ar-SA"/>
          <w:highlight w:val="auto"/>
        </w:rPr>
        <w:t>共有车辆</w:t>
      </w:r>
      <w:r>
        <w:rPr>
          <w:rFonts w:ascii="仿宋_GB2312" w:eastAsia="仿宋_GB2312" w:cs="仿宋_GB2312" w:hint="eastAsia"/>
          <w:sz w:val="32"/>
          <w:szCs w:val="32"/>
        </w:rPr>
        <w:t>6</w:t>
      </w:r>
      <w:r>
        <w:rPr>
          <w:rFonts w:ascii="仿宋_GB2312" w:eastAsia="仿宋_GB2312" w:cs="仿宋_GB2312" w:hint="eastAsia"/>
          <w:color w:val="auto"/>
          <w:kern w:val="2"/>
          <w:sz w:val="32"/>
          <w:szCs w:val="32"/>
          <w:lang w:val="en-US" w:eastAsia="zh-CN" w:bidi="ar-SA"/>
          <w:highlight w:val="auto"/>
        </w:rPr>
        <w:t>辆，其中：主要负责人用车</w:t>
      </w:r>
      <w:r>
        <w:rPr>
          <w:rFonts w:ascii="仿宋_GB2312" w:eastAsia="仿宋_GB2312" w:cs="仿宋_GB2312" w:hint="eastAsia"/>
          <w:sz w:val="32"/>
          <w:szCs w:val="32"/>
          <w:highlight w:val="auto"/>
        </w:rPr>
        <w:t>0</w:t>
      </w:r>
      <w:r>
        <w:rPr>
          <w:rFonts w:ascii="仿宋_GB2312" w:eastAsia="仿宋_GB2312" w:cs="仿宋_GB2312" w:hint="eastAsia"/>
          <w:color w:val="auto"/>
          <w:kern w:val="2"/>
          <w:sz w:val="32"/>
          <w:szCs w:val="32"/>
          <w:lang w:val="en-US" w:eastAsia="zh-CN" w:bidi="ar-SA"/>
          <w:highlight w:val="auto"/>
        </w:rPr>
        <w:t>辆、机要通信用车</w:t>
      </w:r>
      <w:r>
        <w:rPr>
          <w:rFonts w:ascii="仿宋_GB2312" w:eastAsia="仿宋_GB2312" w:cs="仿宋_GB2312" w:hint="eastAsia"/>
          <w:sz w:val="32"/>
          <w:szCs w:val="32"/>
          <w:highlight w:val="auto"/>
        </w:rPr>
        <w:t>0</w:t>
      </w:r>
      <w:r>
        <w:rPr>
          <w:rFonts w:ascii="仿宋_GB2312" w:eastAsia="仿宋_GB2312" w:cs="仿宋_GB2312" w:hint="eastAsia"/>
          <w:color w:val="auto"/>
          <w:kern w:val="2"/>
          <w:sz w:val="32"/>
          <w:szCs w:val="32"/>
          <w:lang w:val="en-US" w:eastAsia="zh-CN" w:bidi="ar-SA"/>
          <w:highlight w:val="auto"/>
        </w:rPr>
        <w:t>辆、</w:t>
      </w:r>
      <w:r>
        <w:rPr>
          <w:rFonts w:ascii="仿宋_GB2312" w:eastAsia="仿宋_GB2312" w:hint="eastAsia"/>
          <w:color w:val="000000"/>
          <w:sz w:val="32"/>
          <w:szCs w:val="32"/>
          <w:highlight w:val="auto"/>
        </w:rPr>
        <w:t>特种专业技术用车3辆、</w:t>
      </w:r>
      <w:r>
        <w:rPr>
          <w:rFonts w:ascii="仿宋_GB2312" w:eastAsia="仿宋_GB2312" w:cs="仿宋_GB2312" w:hint="eastAsia"/>
          <w:color w:val="auto"/>
          <w:kern w:val="2"/>
          <w:sz w:val="32"/>
          <w:szCs w:val="32"/>
          <w:lang w:val="en-US" w:eastAsia="zh-CN" w:bidi="ar-SA"/>
          <w:highlight w:val="auto"/>
        </w:rPr>
        <w:t>应急保障用车</w:t>
      </w:r>
      <w:r>
        <w:rPr>
          <w:rFonts w:ascii="仿宋_GB2312" w:eastAsia="仿宋_GB2312" w:cs="仿宋_GB2312" w:hint="eastAsia"/>
          <w:sz w:val="32"/>
          <w:szCs w:val="32"/>
          <w:highlight w:val="auto"/>
        </w:rPr>
        <w:t>0</w:t>
      </w:r>
      <w:r>
        <w:rPr>
          <w:rFonts w:ascii="仿宋_GB2312" w:eastAsia="仿宋_GB2312" w:cs="仿宋_GB2312" w:hint="eastAsia"/>
          <w:color w:val="auto"/>
          <w:kern w:val="2"/>
          <w:sz w:val="32"/>
          <w:szCs w:val="32"/>
          <w:lang w:val="en-US" w:eastAsia="zh-CN" w:bidi="ar-SA"/>
          <w:highlight w:val="auto"/>
        </w:rPr>
        <w:t>辆、其他用车</w:t>
      </w:r>
      <w:r>
        <w:rPr>
          <w:rFonts w:ascii="仿宋_GB2312" w:eastAsia="仿宋_GB2312" w:cs="仿宋_GB2312" w:hint="eastAsia"/>
          <w:sz w:val="32"/>
          <w:szCs w:val="32"/>
          <w:highlight w:val="auto"/>
        </w:rPr>
        <w:t>3</w:t>
      </w:r>
      <w:r>
        <w:rPr>
          <w:rFonts w:ascii="仿宋_GB2312" w:eastAsia="仿宋_GB2312" w:cs="仿宋_GB2312" w:hint="eastAsia"/>
          <w:color w:val="auto"/>
          <w:kern w:val="2"/>
          <w:sz w:val="32"/>
          <w:szCs w:val="32"/>
          <w:lang w:val="en-US" w:eastAsia="zh-CN" w:bidi="ar-SA"/>
          <w:highlight w:val="auto"/>
        </w:rPr>
        <w:t>辆，其他用车主要是</w:t>
      </w:r>
      <w:r>
        <w:rPr>
          <w:rFonts w:ascii="仿宋_GB2312" w:eastAsia="仿宋_GB2312" w:hint="eastAsia"/>
          <w:sz w:val="32"/>
          <w:szCs w:val="32"/>
          <w:highlight w:val="auto"/>
        </w:rPr>
        <w:t>用于</w:t>
      </w:r>
      <w:r>
        <w:rPr>
          <w:rFonts w:ascii="仿宋_GB2312" w:eastAsia="仿宋_GB2312" w:hint="eastAsia"/>
          <w:color w:val="000000"/>
          <w:sz w:val="32"/>
          <w:szCs w:val="32"/>
          <w:highlight w:val="auto"/>
        </w:rPr>
        <w:t>日常业务及公务出行</w:t>
      </w:r>
      <w:r>
        <w:rPr>
          <w:rFonts w:ascii="仿宋_GB2312" w:eastAsia="仿宋_GB2312" w:cs="仿宋_GB2312" w:hint="eastAsia"/>
          <w:color w:val="auto"/>
          <w:kern w:val="2"/>
          <w:sz w:val="32"/>
          <w:szCs w:val="32"/>
          <w:lang w:val="en-US" w:eastAsia="zh-CN" w:bidi="ar-SA"/>
          <w:highlight w:val="auto"/>
        </w:rPr>
        <w:t>。单价100万元（含）以上设备（不含车辆）</w:t>
      </w:r>
      <w:r>
        <w:rPr>
          <w:rFonts w:ascii="仿宋_GB2312" w:eastAsia="仿宋_GB2312" w:cs="仿宋_GB2312" w:hint="eastAsia"/>
          <w:sz w:val="32"/>
          <w:szCs w:val="32"/>
        </w:rPr>
        <w:t>22</w:t>
      </w:r>
      <w:r>
        <w:rPr>
          <w:rFonts w:ascii="仿宋_GB2312" w:eastAsia="仿宋_GB2312" w:cs="仿宋_GB2312" w:hint="eastAsia"/>
          <w:color w:val="auto"/>
          <w:kern w:val="2"/>
          <w:sz w:val="32"/>
          <w:szCs w:val="32"/>
          <w:lang w:val="en-US" w:eastAsia="zh-CN" w:bidi="ar-SA"/>
          <w:highlight w:val="auto"/>
        </w:rPr>
        <w:t>台（套）</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r>
        <w:rPr>
          <w:rFonts w:ascii="Times New Roman" w:eastAsia="楷体_GB2312" w:cs="楷体_GB2312" w:hAnsi="Times New Roman" w:hint="eastAsia"/>
          <w:b/>
          <w:color w:val="auto"/>
          <w:sz w:val="32"/>
          <w:szCs w:val="32"/>
          <w:highlight w:val="auto"/>
        </w:rPr>
        <w:t>（四）预算绩效管理情况</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根据预算绩效管理要求，</w:t>
      </w:r>
      <w:r>
        <w:rPr>
          <w:rFonts w:eastAsia="仿宋_GB2312" w:cs="仿宋_GB2312" w:hint="eastAsia"/>
          <w:color w:val="auto"/>
          <w:kern w:val="2"/>
          <w:sz w:val="32"/>
          <w:szCs w:val="32"/>
          <w:lang w:val="en-US" w:eastAsia="zh-CN" w:bidi="ar-SA"/>
          <w:highlight w:val="auto"/>
        </w:rPr>
        <w:t>本部门</w:t>
      </w:r>
      <w:r>
        <w:rPr>
          <w:rFonts w:ascii="Times New Roman" w:eastAsia="仿宋_GB2312" w:cs="仿宋_GB2312" w:hAnsi="Times New Roman" w:hint="eastAsia"/>
          <w:color w:val="auto"/>
          <w:kern w:val="2"/>
          <w:sz w:val="32"/>
          <w:szCs w:val="32"/>
          <w:lang w:val="en-US" w:eastAsia="zh-CN" w:bidi="ar-SA"/>
          <w:highlight w:val="auto"/>
        </w:rPr>
        <w:t>在2024年度预算编制阶段，组织对</w:t>
      </w:r>
      <w:r>
        <w:rPr>
          <w:rFonts w:eastAsia="仿宋_GB2312" w:cs="仿宋_GB2312" w:hint="eastAsia"/>
          <w:color w:val="auto"/>
          <w:kern w:val="2"/>
          <w:sz w:val="32"/>
          <w:szCs w:val="32"/>
          <w:lang w:val="en-US" w:eastAsia="zh-CN" w:bidi="ar-SA"/>
          <w:highlight w:val="auto"/>
        </w:rPr>
        <w:t>基本公共卫生服务（中央资金）、医疗服务与保障能力提升、重大传染病防控（中央资金）、市级挂职干部补助2、民族地区卫生发展十年行动计划、卫生健康专项、公共卫生特别服务岗、新冠患者救治费用、12项基本公共卫生服务、干部异地体检</w:t>
      </w:r>
      <w:r>
        <w:rPr>
          <w:rFonts w:ascii="Times New Roman" w:eastAsia="仿宋_GB2312" w:cs="仿宋_GB2312" w:hAnsi="Times New Roman" w:hint="eastAsia"/>
          <w:color w:val="auto"/>
          <w:kern w:val="2"/>
          <w:sz w:val="32"/>
          <w:szCs w:val="32"/>
          <w:lang w:val="en-US" w:eastAsia="zh-CN" w:bidi="ar-SA"/>
          <w:highlight w:val="auto"/>
        </w:rPr>
        <w:t>等</w:t>
      </w:r>
      <w:r>
        <w:rPr>
          <w:rFonts w:eastAsia="仿宋_GB2312" w:cs="仿宋_GB2312" w:hint="eastAsia"/>
          <w:color w:val="auto"/>
          <w:kern w:val="2"/>
          <w:sz w:val="32"/>
          <w:szCs w:val="32"/>
          <w:lang w:val="en-US" w:eastAsia="zh-CN" w:bidi="ar-SA"/>
          <w:highlight w:val="auto"/>
        </w:rPr>
        <w:t>10</w:t>
      </w:r>
      <w:r>
        <w:rPr>
          <w:rFonts w:ascii="Times New Roman" w:eastAsia="仿宋_GB2312" w:cs="仿宋_GB2312" w:hAnsi="Times New Roman" w:hint="eastAsia"/>
          <w:color w:val="auto"/>
          <w:kern w:val="2"/>
          <w:sz w:val="32"/>
          <w:szCs w:val="32"/>
          <w:lang w:val="en-US" w:eastAsia="zh-CN" w:bidi="ar-SA"/>
          <w:highlight w:val="auto"/>
        </w:rPr>
        <w:t>个项目开展了预算事前绩效评估，对</w:t>
      </w:r>
      <w:r>
        <w:rPr>
          <w:rFonts w:eastAsia="仿宋_GB2312" w:cs="仿宋_GB2312" w:hint="eastAsia"/>
          <w:color w:val="auto"/>
          <w:kern w:val="2"/>
          <w:sz w:val="32"/>
          <w:szCs w:val="32"/>
          <w:lang w:val="en-US" w:eastAsia="zh-CN" w:bidi="ar-SA"/>
          <w:highlight w:val="auto"/>
        </w:rPr>
        <w:t>10</w:t>
      </w:r>
      <w:r>
        <w:rPr>
          <w:rFonts w:ascii="Times New Roman" w:eastAsia="仿宋_GB2312" w:cs="仿宋_GB2312" w:hAnsi="Times New Roman" w:hint="eastAsia"/>
          <w:color w:val="auto"/>
          <w:kern w:val="2"/>
          <w:sz w:val="32"/>
          <w:szCs w:val="32"/>
          <w:lang w:val="en-US" w:eastAsia="zh-CN" w:bidi="ar-SA"/>
          <w:highlight w:val="auto"/>
        </w:rPr>
        <w:t>个项目编制了绩效目标，预算执行过程中，选取</w:t>
      </w:r>
      <w:r>
        <w:rPr>
          <w:rFonts w:eastAsia="仿宋_GB2312" w:cs="仿宋_GB2312" w:hint="eastAsia"/>
          <w:color w:val="auto"/>
          <w:kern w:val="2"/>
          <w:sz w:val="32"/>
          <w:szCs w:val="32"/>
          <w:lang w:val="en-US" w:eastAsia="zh-CN" w:bidi="ar-SA"/>
          <w:highlight w:val="auto"/>
        </w:rPr>
        <w:t>10</w:t>
      </w:r>
      <w:r>
        <w:rPr>
          <w:rFonts w:ascii="Times New Roman" w:eastAsia="仿宋_GB2312" w:cs="仿宋_GB2312" w:hAnsi="Times New Roman" w:hint="eastAsia"/>
          <w:color w:val="auto"/>
          <w:kern w:val="2"/>
          <w:sz w:val="32"/>
          <w:szCs w:val="32"/>
          <w:lang w:val="en-US" w:eastAsia="zh-CN" w:bidi="ar-SA"/>
          <w:highlight w:val="auto"/>
        </w:rPr>
        <w:t>个项目开展绩效监控。</w:t>
      </w:r>
    </w:p>
    <w:p>
      <w:pPr>
        <w:pStyle w:val="15"/>
        <w:rPr>
          <w:rFonts w:hint="eastAsia"/>
          <w:lang w:val="en-US" w:eastAsia="zh-CN"/>
        </w:rPr>
      </w:pPr>
    </w:p>
    <w:p>
      <w:pPr>
        <w:spacing w:line="600" w:lineRule="exact"/>
        <w:jc w:val="center"/>
        <w:outlineLvl w:val="0"/>
        <w:rPr>
          <w:rFonts w:ascii="Times New Roman" w:eastAsia="黑体" w:hAnsi="Times New Roman" w:hint="eastAsia"/>
          <w:color w:val="auto"/>
          <w:sz w:val="44"/>
          <w:szCs w:val="44"/>
          <w:highlight w:val="auto"/>
        </w:rPr>
      </w:pPr>
      <w:bookmarkStart w:id="44" w:name="_Toc15377225"/>
      <w:bookmarkStart w:id="45" w:name="_Toc15396613"/>
      <w:r>
        <w:rPr>
          <w:rFonts w:ascii="Times New Roman" w:eastAsia="黑体" w:hAnsi="Times New Roman" w:hint="eastAsia"/>
          <w:color w:val="auto"/>
          <w:sz w:val="44"/>
          <w:szCs w:val="44"/>
          <w:highlight w:val="auto"/>
        </w:rPr>
        <w:t>第</w:t>
      </w:r>
      <w:r>
        <w:rPr>
          <w:rFonts w:eastAsia="黑体" w:hint="eastAsia"/>
          <w:color w:val="auto"/>
          <w:sz w:val="44"/>
          <w:szCs w:val="44"/>
          <w:lang w:eastAsia="zh-CN"/>
          <w:highlight w:val="auto"/>
        </w:rPr>
        <w:t>三</w:t>
      </w:r>
      <w:r>
        <w:rPr>
          <w:rFonts w:ascii="Times New Roman" w:eastAsia="黑体" w:hAnsi="Times New Roman" w:hint="eastAsia"/>
          <w:color w:val="auto"/>
          <w:sz w:val="44"/>
          <w:szCs w:val="44"/>
          <w:highlight w:val="auto"/>
        </w:rPr>
        <w:t>部分</w:t>
      </w:r>
      <w:r>
        <w:rPr>
          <w:rFonts w:ascii="Times New Roman" w:eastAsia="黑体" w:hAnsi="Times New Roman" w:hint="eastAsia"/>
          <w:color w:val="auto"/>
          <w:sz w:val="44"/>
          <w:szCs w:val="44"/>
          <w:lang w:val="en-US" w:eastAsia="zh-CN"/>
          <w:highlight w:val="auto"/>
        </w:rPr>
        <w:t xml:space="preserve"> </w:t>
      </w:r>
      <w:r>
        <w:rPr>
          <w:rFonts w:eastAsia="黑体"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名词解释</w:t>
      </w:r>
      <w:bookmarkEnd w:id="44"/>
      <w:bookmarkEnd w:id="45"/>
    </w:p>
    <w:p>
      <w:pPr>
        <w:spacing w:line="600" w:lineRule="exact"/>
        <w:jc w:val="left"/>
        <w:rPr>
          <w:rFonts w:ascii="Times New Roman" w:hAnsi="Times New Roman"/>
          <w:b/>
          <w:color w:val="auto"/>
          <w:sz w:val="44"/>
          <w:szCs w:val="44"/>
          <w:highlight w:val="auto"/>
        </w:rPr>
      </w:pP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1.财政拨款收入：指单位从同级财政部门取得的财政预算资金。</w:t>
      </w:r>
    </w:p>
    <w:p>
      <w:pPr>
        <w:pStyle w:val="25"/>
        <w:spacing w:line="560" w:lineRule="exact"/>
        <w:ind w:firstLineChars="200"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2.事业收入：指事业单位开展专业业务活动及辅助活动取得的收入。</w:t>
      </w:r>
      <w:r>
        <w:rPr>
          <w:rFonts w:ascii="仿宋_GB2312" w:eastAsia="仿宋_GB2312" w:hint="eastAsia"/>
          <w:color w:val="auto"/>
          <w:sz w:val="32"/>
          <w:szCs w:val="32"/>
        </w:rPr>
        <w:t>如医疗收入、科教收入</w:t>
      </w:r>
      <w:r>
        <w:rPr>
          <w:rFonts w:ascii="Times New Roman" w:eastAsia="仿宋_GB2312" w:cs="仿宋_GB2312" w:hAnsi="Times New Roman" w:hint="eastAsia"/>
          <w:color w:val="auto"/>
          <w:kern w:val="2"/>
          <w:sz w:val="32"/>
          <w:szCs w:val="32"/>
          <w:lang w:val="en-US" w:eastAsia="zh-CN" w:bidi="ar-SA"/>
          <w:highlight w:val="auto"/>
        </w:rPr>
        <w:t>等。</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3.经营收入：指事业单位在专业业务活动及其辅助活动之外开展非独立核算经营活动取得的收入。</w:t>
      </w:r>
    </w:p>
    <w:p>
      <w:pPr>
        <w:pStyle w:val="25"/>
        <w:spacing w:line="560" w:lineRule="exact"/>
        <w:ind w:firstLineChars="200" w:firstLine="640"/>
        <w:rPr>
          <w:rFonts w:ascii="仿宋_GB2312" w:eastAsia="仿宋_GB2312"/>
          <w:sz w:val="32"/>
          <w:szCs w:val="32"/>
          <w:highlight w:val="green"/>
        </w:rPr>
      </w:pPr>
      <w:r>
        <w:rPr>
          <w:rFonts w:ascii="Times New Roman" w:eastAsia="仿宋_GB2312" w:cs="仿宋_GB2312" w:hAnsi="Times New Roman" w:hint="eastAsia"/>
          <w:color w:val="auto"/>
          <w:kern w:val="2"/>
          <w:sz w:val="32"/>
          <w:szCs w:val="32"/>
          <w:lang w:val="en-US" w:eastAsia="zh-CN" w:bidi="ar-SA"/>
          <w:highlight w:val="auto"/>
        </w:rPr>
        <w:t>4.其他收入：指单位取得的除上述收入以外的各项收入。</w:t>
      </w:r>
      <w:r>
        <w:rPr>
          <w:rFonts w:ascii="仿宋_GB2312" w:eastAsia="仿宋_GB2312" w:hint="eastAsia"/>
          <w:sz w:val="32"/>
          <w:szCs w:val="32"/>
          <w:highlight w:val="auto"/>
        </w:rPr>
        <w:t>主要是</w:t>
      </w:r>
      <w:r>
        <w:rPr>
          <w:rFonts w:ascii="仿宋_GB2312" w:eastAsia="仿宋_GB2312" w:hint="eastAsia"/>
          <w:sz w:val="32"/>
          <w:szCs w:val="32"/>
          <w:lang w:val="en-US" w:eastAsia="zh-CN"/>
          <w:highlight w:val="auto"/>
        </w:rPr>
        <w:t>租金收入、利息收入、停车场收入、</w:t>
      </w:r>
      <w:r>
        <w:rPr>
          <w:rFonts w:ascii="仿宋_GB2312" w:eastAsia="仿宋_GB2312" w:hint="eastAsia"/>
          <w:sz w:val="32"/>
          <w:szCs w:val="32"/>
          <w:highlight w:val="auto"/>
        </w:rPr>
        <w:t>孕卡本</w:t>
      </w:r>
      <w:r>
        <w:rPr>
          <w:rFonts w:ascii="仿宋_GB2312" w:eastAsia="仿宋_GB2312" w:hint="eastAsia"/>
          <w:sz w:val="32"/>
          <w:szCs w:val="32"/>
          <w:lang w:val="en-US" w:eastAsia="zh-CN"/>
          <w:highlight w:val="auto"/>
        </w:rPr>
        <w:t>及</w:t>
      </w:r>
      <w:r>
        <w:rPr>
          <w:rFonts w:ascii="仿宋_GB2312" w:eastAsia="仿宋_GB2312" w:hint="eastAsia"/>
          <w:sz w:val="32"/>
          <w:szCs w:val="32"/>
          <w:highlight w:val="auto"/>
        </w:rPr>
        <w:t>儿保本</w:t>
      </w:r>
      <w:r>
        <w:rPr>
          <w:rFonts w:ascii="仿宋_GB2312" w:eastAsia="仿宋_GB2312" w:hint="eastAsia"/>
          <w:sz w:val="32"/>
          <w:szCs w:val="32"/>
          <w:lang w:val="en-US" w:eastAsia="zh-CN"/>
          <w:highlight w:val="auto"/>
        </w:rPr>
        <w:t>收入</w:t>
      </w:r>
      <w:r>
        <w:rPr>
          <w:rFonts w:ascii="仿宋_GB2312" w:eastAsia="仿宋_GB2312" w:hint="eastAsia"/>
          <w:sz w:val="32"/>
          <w:szCs w:val="32"/>
          <w:highlight w:val="auto"/>
        </w:rPr>
        <w:t>、</w:t>
      </w:r>
      <w:r>
        <w:rPr>
          <w:rFonts w:ascii="仿宋_GB2312" w:eastAsia="仿宋_GB2312" w:hint="eastAsia"/>
          <w:sz w:val="32"/>
          <w:szCs w:val="32"/>
          <w:lang w:val="en-US" w:eastAsia="zh-CN"/>
          <w:highlight w:val="auto"/>
        </w:rPr>
        <w:t>各项工作经费补助</w:t>
      </w:r>
      <w:r>
        <w:rPr>
          <w:rFonts w:ascii="仿宋_GB2312" w:eastAsia="仿宋_GB2312" w:hint="eastAsia"/>
          <w:sz w:val="32"/>
          <w:szCs w:val="32"/>
          <w:highlight w:val="auto"/>
        </w:rPr>
        <w:t>收入等。</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5.使用非财政拨款结余（含专用结余）：指事业单位使用以前年度积累的非财政拨款结余弥补当年收支差额的金额。 </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6.年初结转和结余：指以前年度尚未完成、结转到本年按有关规定继续使用的资金。 </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7.结余分配：指事业单位按照会计制度规定缴纳的所得税、提取的专用结余以及转入非财政拨款结余的金额等。</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8.年末结转和结余：指单位按有关规定结转到下年或以后年度继续使用的资金。</w:t>
      </w:r>
    </w:p>
    <w:p>
      <w:pPr>
        <w:ind w:firstLineChars="200" w:firstLine="640"/>
        <w:rPr>
          <w:rFonts w:ascii="仿宋_GB2312" w:eastAsia="仿宋_GB2312" w:cs="仿宋"/>
          <w:kern w:val="0"/>
          <w:sz w:val="32"/>
          <w:szCs w:val="32"/>
        </w:rPr>
      </w:pPr>
      <w:r>
        <w:rPr>
          <w:rFonts w:ascii="仿宋_GB2312" w:eastAsia="仿宋_GB2312"/>
          <w:sz w:val="32"/>
          <w:szCs w:val="32"/>
        </w:rPr>
        <w:t>9.</w:t>
      </w:r>
      <w:r>
        <w:rPr>
          <w:rFonts w:ascii="仿宋_GB2312" w:eastAsia="仿宋_GB2312" w:cs="仿宋" w:hint="eastAsia"/>
          <w:kern w:val="0"/>
          <w:sz w:val="32"/>
          <w:szCs w:val="32"/>
        </w:rPr>
        <w:t>一般公共服务（类）组织事务（款）其他组织事务支出（项）：指其他用于中国共产党组织部门的事务支出。</w:t>
      </w:r>
    </w:p>
    <w:p>
      <w:pPr>
        <w:ind w:firstLineChars="200" w:firstLine="640"/>
        <w:rPr>
          <w:rFonts w:ascii="仿宋_GB2312" w:eastAsia="仿宋_GB2312" w:cs="仿宋" w:hint="eastAsia"/>
          <w:kern w:val="0"/>
          <w:sz w:val="32"/>
          <w:szCs w:val="32"/>
        </w:rPr>
      </w:pPr>
      <w:r>
        <w:rPr>
          <w:rFonts w:ascii="Times New Roman" w:eastAsia="仿宋_GB2312" w:cs="仿宋_GB2312" w:hAnsi="Times New Roman" w:hint="eastAsia"/>
          <w:color w:val="auto"/>
          <w:kern w:val="2"/>
          <w:sz w:val="32"/>
          <w:szCs w:val="32"/>
          <w:lang w:val="en-US" w:eastAsia="zh-CN" w:bidi="ar-SA"/>
          <w:highlight w:val="auto"/>
        </w:rPr>
        <w:t>1</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w:t>
      </w:r>
      <w:r>
        <w:rPr>
          <w:rFonts w:ascii="仿宋_GB2312" w:eastAsia="仿宋_GB2312" w:cs="仿宋" w:hint="eastAsia"/>
          <w:kern w:val="0"/>
          <w:sz w:val="32"/>
          <w:szCs w:val="32"/>
        </w:rPr>
        <w:t>社会保障和就业（类）行政</w:t>
      </w:r>
      <w:r>
        <w:rPr>
          <w:rFonts w:ascii="仿宋_GB2312" w:eastAsia="仿宋_GB2312" w:cs="仿宋"/>
          <w:kern w:val="0"/>
          <w:sz w:val="32"/>
          <w:szCs w:val="32"/>
        </w:rPr>
        <w:t>事业单位养老支出</w:t>
      </w:r>
      <w:r>
        <w:rPr>
          <w:rFonts w:ascii="仿宋_GB2312" w:eastAsia="仿宋_GB2312" w:cs="仿宋" w:hint="eastAsia"/>
          <w:kern w:val="0"/>
          <w:sz w:val="32"/>
          <w:szCs w:val="32"/>
        </w:rPr>
        <w:t>（款）事业</w:t>
      </w:r>
      <w:r>
        <w:rPr>
          <w:rFonts w:ascii="仿宋_GB2312" w:eastAsia="仿宋_GB2312" w:cs="仿宋"/>
          <w:kern w:val="0"/>
          <w:sz w:val="32"/>
          <w:szCs w:val="32"/>
        </w:rPr>
        <w:t>单位离退休费</w:t>
      </w:r>
      <w:r>
        <w:rPr>
          <w:rFonts w:ascii="仿宋_GB2312" w:eastAsia="仿宋_GB2312" w:cs="仿宋" w:hint="eastAsia"/>
          <w:kern w:val="0"/>
          <w:sz w:val="32"/>
          <w:szCs w:val="32"/>
        </w:rPr>
        <w:t>（项）</w:t>
      </w:r>
      <w:r>
        <w:rPr>
          <w:rFonts w:ascii="仿宋_GB2312" w:eastAsia="仿宋_GB2312" w:cs="仿宋"/>
          <w:kern w:val="0"/>
          <w:sz w:val="32"/>
          <w:szCs w:val="32"/>
        </w:rPr>
        <w:t>:</w:t>
      </w:r>
      <w:r>
        <w:rPr>
          <w:rFonts w:ascii="仿宋_GB2312" w:eastAsia="仿宋_GB2312" w:cs="仿宋" w:hint="eastAsia"/>
          <w:kern w:val="0"/>
          <w:sz w:val="32"/>
          <w:szCs w:val="32"/>
        </w:rPr>
        <w:t>指事业单位开支的离退休费。</w:t>
      </w:r>
    </w:p>
    <w:p>
      <w:pPr>
        <w:pStyle w:val="15"/>
        <w:spacing w:beforeLines="0" w:before="93"/>
        <w:ind w:firstLineChars="198" w:firstLine="634"/>
        <w:rPr>
          <w:color w:val="000000"/>
          <w:sz w:val="32"/>
          <w:szCs w:val="32"/>
        </w:rPr>
      </w:pPr>
      <w:r>
        <w:rPr>
          <w:rFonts w:eastAsia="仿宋_GB2312" w:cs="仿宋_GB2312" w:hint="eastAsia"/>
          <w:color w:val="auto"/>
          <w:kern w:val="2"/>
          <w:sz w:val="32"/>
          <w:szCs w:val="32"/>
          <w:lang w:val="en-US" w:eastAsia="zh-CN" w:bidi="ar-SA"/>
          <w:highlight w:val="auto"/>
        </w:rPr>
        <w:t>11.</w:t>
      </w:r>
      <w:r>
        <w:rPr>
          <w:rFonts w:cs="仿宋" w:hint="eastAsia"/>
        </w:rPr>
        <w:t>社会保障和就业（类）抚恤（款）死亡抚恤（项）</w:t>
      </w:r>
      <w:r>
        <w:rPr>
          <w:rFonts w:cs="仿宋"/>
        </w:rPr>
        <w:t>:</w:t>
      </w:r>
      <w:r>
        <w:rPr>
          <w:rFonts w:hint="eastAsia"/>
          <w:color w:val="000000"/>
          <w:sz w:val="32"/>
          <w:szCs w:val="32"/>
        </w:rPr>
        <w:t xml:space="preserve"> 指按规定用于烈士和牺牲、病故人员家属的一次性和定期抚恤金、丧葬补助费以及烈士褒扬金。</w:t>
      </w:r>
    </w:p>
    <w:p>
      <w:pPr>
        <w:pStyle w:val="15"/>
        <w:spacing w:beforeLines="0" w:before="93"/>
        <w:ind w:firstLineChars="200" w:firstLine="640"/>
        <w:rPr>
          <w:color w:val="000000"/>
          <w:sz w:val="32"/>
          <w:szCs w:val="32"/>
        </w:rPr>
      </w:pPr>
      <w:r>
        <w:rPr>
          <w:rFonts w:eastAsia="仿宋_GB2312" w:cs="仿宋_GB2312" w:hint="eastAsia"/>
          <w:color w:val="auto"/>
          <w:kern w:val="2"/>
          <w:sz w:val="32"/>
          <w:szCs w:val="32"/>
          <w:lang w:val="en-US" w:eastAsia="zh-CN" w:bidi="ar-SA"/>
          <w:highlight w:val="auto"/>
        </w:rPr>
        <w:t>12.</w:t>
      </w:r>
      <w:r>
        <w:rPr>
          <w:rFonts w:hint="eastAsia"/>
          <w:color w:val="000000"/>
          <w:sz w:val="32"/>
          <w:szCs w:val="32"/>
        </w:rPr>
        <w:t>卫生健康</w:t>
      </w:r>
      <w:r>
        <w:rPr>
          <w:rFonts w:hint="eastAsia"/>
        </w:rPr>
        <w:t>（类）公共卫生（款）妇幼保健机构（项）</w:t>
      </w:r>
      <w:r>
        <w:t>:</w:t>
      </w:r>
      <w:r>
        <w:rPr>
          <w:rFonts w:hint="eastAsia"/>
          <w:color w:val="000000"/>
          <w:sz w:val="32"/>
          <w:szCs w:val="32"/>
        </w:rPr>
        <w:t xml:space="preserve"> 指反映卫生健康部门所属妇幼保健机构的支出。</w:t>
      </w:r>
    </w:p>
    <w:p>
      <w:pPr>
        <w:pStyle w:val="15"/>
        <w:spacing w:beforeLines="0" w:before="93"/>
        <w:ind w:firstLineChars="200" w:firstLine="640"/>
        <w:rPr>
          <w:color w:val="000000"/>
          <w:sz w:val="32"/>
          <w:szCs w:val="32"/>
        </w:rPr>
      </w:pPr>
      <w:r>
        <w:rPr>
          <w:rFonts w:eastAsia="仿宋_GB2312" w:cs="仿宋_GB2312" w:hint="eastAsia"/>
          <w:color w:val="auto"/>
          <w:kern w:val="2"/>
          <w:sz w:val="32"/>
          <w:szCs w:val="32"/>
          <w:lang w:val="en-US" w:eastAsia="zh-CN" w:bidi="ar-SA"/>
          <w:highlight w:val="auto"/>
        </w:rPr>
        <w:t>13.</w:t>
      </w:r>
      <w:r>
        <w:rPr>
          <w:rFonts w:hint="eastAsia"/>
          <w:color w:val="000000"/>
          <w:sz w:val="32"/>
          <w:szCs w:val="32"/>
        </w:rPr>
        <w:t>卫生健康</w:t>
      </w:r>
      <w:r>
        <w:rPr>
          <w:rFonts w:hint="eastAsia"/>
        </w:rPr>
        <w:t>（类）公共卫生（款）基本公共卫生服务（项）</w:t>
      </w:r>
      <w:r>
        <w:t>:</w:t>
      </w:r>
      <w:r>
        <w:rPr>
          <w:rFonts w:hint="eastAsia"/>
          <w:color w:val="000000"/>
          <w:sz w:val="32"/>
          <w:szCs w:val="32"/>
        </w:rPr>
        <w:t>指反映基本公共卫生服务支出。</w:t>
      </w:r>
    </w:p>
    <w:p>
      <w:pPr>
        <w:pStyle w:val="15"/>
        <w:spacing w:beforeLines="0" w:before="93"/>
        <w:ind w:firstLineChars="200" w:firstLine="640"/>
        <w:rPr>
          <w:color w:val="000000"/>
          <w:sz w:val="32"/>
          <w:szCs w:val="32"/>
        </w:rPr>
      </w:pPr>
      <w:r>
        <w:rPr>
          <w:rFonts w:eastAsia="仿宋_GB2312" w:cs="仿宋_GB2312" w:hint="eastAsia"/>
          <w:color w:val="auto"/>
          <w:kern w:val="2"/>
          <w:sz w:val="32"/>
          <w:szCs w:val="32"/>
          <w:lang w:val="en-US" w:eastAsia="zh-CN" w:bidi="ar-SA"/>
          <w:highlight w:val="auto"/>
        </w:rPr>
        <w:t>14.</w:t>
      </w:r>
      <w:r>
        <w:rPr>
          <w:rFonts w:hint="eastAsia"/>
          <w:color w:val="000000"/>
          <w:sz w:val="32"/>
          <w:szCs w:val="32"/>
        </w:rPr>
        <w:t>卫生健康</w:t>
      </w:r>
      <w:r>
        <w:rPr>
          <w:rFonts w:hint="eastAsia"/>
        </w:rPr>
        <w:t>（类）公共卫生（款）重大公共卫生服务（项）</w:t>
      </w:r>
      <w:r>
        <w:t>:</w:t>
      </w:r>
      <w:r>
        <w:rPr>
          <w:rFonts w:hint="eastAsia"/>
          <w:color w:val="000000"/>
          <w:sz w:val="32"/>
          <w:szCs w:val="32"/>
        </w:rPr>
        <w:t>指反映重大疾病、重大传染病预防控制等重大公共卫生服务项目支出。</w:t>
      </w:r>
    </w:p>
    <w:p>
      <w:pPr>
        <w:pStyle w:val="15"/>
        <w:spacing w:beforeLines="0" w:before="93"/>
        <w:ind w:firstLineChars="200" w:firstLine="640"/>
        <w:rPr>
          <w:rFonts w:hint="eastAsia"/>
          <w:color w:val="000000"/>
          <w:sz w:val="32"/>
          <w:szCs w:val="32"/>
          <w:highlight w:val="green"/>
        </w:rPr>
      </w:pPr>
      <w:r>
        <w:rPr>
          <w:rFonts w:eastAsia="仿宋_GB2312" w:cs="仿宋_GB2312" w:hint="eastAsia"/>
          <w:color w:val="auto"/>
          <w:kern w:val="2"/>
          <w:sz w:val="32"/>
          <w:szCs w:val="32"/>
          <w:lang w:val="en-US" w:eastAsia="zh-CN" w:bidi="ar-SA"/>
          <w:highlight w:val="auto"/>
        </w:rPr>
        <w:t>15.</w:t>
      </w:r>
      <w:r>
        <w:rPr>
          <w:rFonts w:hint="eastAsia"/>
          <w:color w:val="000000"/>
          <w:sz w:val="32"/>
          <w:szCs w:val="32"/>
        </w:rPr>
        <w:t>卫生健康</w:t>
      </w:r>
      <w:r>
        <w:rPr>
          <w:rFonts w:hint="eastAsia"/>
        </w:rPr>
        <w:t>（类）公共卫生（款）</w:t>
      </w:r>
      <w:r>
        <w:rPr>
          <w:rFonts w:hint="eastAsia"/>
          <w:lang w:val="en-US" w:eastAsia="zh-CN"/>
        </w:rPr>
        <w:t>其他</w:t>
      </w:r>
      <w:r>
        <w:rPr>
          <w:rFonts w:hint="eastAsia"/>
        </w:rPr>
        <w:t>公共卫生</w:t>
      </w:r>
      <w:r>
        <w:rPr>
          <w:rFonts w:hint="eastAsia"/>
          <w:lang w:val="en-US" w:eastAsia="zh-CN"/>
        </w:rPr>
        <w:t>支出</w:t>
      </w:r>
      <w:r>
        <w:rPr>
          <w:rFonts w:hint="eastAsia"/>
        </w:rPr>
        <w:t>（项）</w:t>
      </w:r>
      <w:r>
        <w:t>:</w:t>
      </w:r>
      <w:r>
        <w:rPr>
          <w:rFonts w:hint="eastAsia"/>
          <w:color w:val="000000"/>
          <w:sz w:val="32"/>
          <w:szCs w:val="32"/>
          <w:highlight w:val="auto"/>
        </w:rPr>
        <w:t>指</w:t>
      </w:r>
      <w:r>
        <w:rPr>
          <w:rFonts w:hint="eastAsia"/>
          <w:color w:val="000000"/>
          <w:sz w:val="32"/>
          <w:szCs w:val="32"/>
          <w:lang w:val="en-US" w:eastAsia="zh-CN"/>
          <w:highlight w:val="auto"/>
        </w:rPr>
        <w:t>反映其他用于公共卫生方面的支出</w:t>
      </w:r>
      <w:r>
        <w:rPr>
          <w:rFonts w:hint="eastAsia"/>
          <w:color w:val="000000"/>
          <w:sz w:val="32"/>
          <w:szCs w:val="32"/>
          <w:highlight w:val="auto"/>
        </w:rPr>
        <w:t>。</w:t>
      </w:r>
    </w:p>
    <w:p>
      <w:pPr>
        <w:pStyle w:val="15"/>
        <w:spacing w:beforeLines="0" w:before="93"/>
        <w:ind w:firstLineChars="200" w:firstLine="640"/>
        <w:rPr>
          <w:color w:val="000000"/>
          <w:sz w:val="32"/>
          <w:szCs w:val="32"/>
        </w:rPr>
      </w:pPr>
      <w:r>
        <w:rPr>
          <w:rFonts w:hint="eastAsia"/>
          <w:color w:val="000000"/>
          <w:sz w:val="32"/>
          <w:szCs w:val="32"/>
          <w:lang w:val="en-US" w:eastAsia="zh-CN"/>
          <w:highlight w:val="auto"/>
        </w:rPr>
        <w:t>16.</w:t>
      </w:r>
      <w:r>
        <w:rPr>
          <w:rFonts w:hint="eastAsia"/>
          <w:color w:val="000000"/>
          <w:sz w:val="32"/>
          <w:szCs w:val="32"/>
        </w:rPr>
        <w:t>卫生健康</w:t>
      </w:r>
      <w:r>
        <w:rPr>
          <w:rFonts w:hint="eastAsia"/>
        </w:rPr>
        <w:t>（类）其他卫生健康支出（款）其他卫生健康支出（项）</w:t>
      </w:r>
      <w:r>
        <w:t>:</w:t>
      </w:r>
      <w:r>
        <w:rPr>
          <w:rFonts w:hint="eastAsia"/>
          <w:color w:val="000000"/>
          <w:sz w:val="32"/>
          <w:szCs w:val="32"/>
        </w:rPr>
        <w:t xml:space="preserve"> 指反映其他用于卫生健康方面的支出。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17</w:t>
      </w:r>
      <w:r>
        <w:rPr>
          <w:rFonts w:ascii="Times New Roman" w:eastAsia="仿宋_GB2312" w:cs="仿宋_GB2312" w:hAnsi="Times New Roman" w:hint="eastAsia"/>
          <w:color w:val="auto"/>
          <w:kern w:val="2"/>
          <w:sz w:val="32"/>
          <w:szCs w:val="32"/>
          <w:lang w:val="en-US" w:eastAsia="zh-CN" w:bidi="ar-SA"/>
          <w:highlight w:val="auto"/>
        </w:rPr>
        <w:t>.基本支出：指为保障机构正常运转、完成日常工作任务而发生的人员支出和公用支出。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1</w:t>
      </w:r>
      <w:r>
        <w:rPr>
          <w:rFonts w:ascii="Times New Roman" w:eastAsia="仿宋_GB2312" w:cs="仿宋_GB2312" w:hAnsi="Times New Roman" w:hint="eastAsia"/>
          <w:color w:val="auto"/>
          <w:kern w:val="2"/>
          <w:sz w:val="32"/>
          <w:szCs w:val="32"/>
          <w:lang w:val="en-US" w:eastAsia="zh-CN" w:bidi="ar-SA"/>
          <w:highlight w:val="auto"/>
        </w:rPr>
        <w:t xml:space="preserve">8.项目支出：指在基本支出之外为完成特定行政任务和事业发展目标所发生的支出。 </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1</w:t>
      </w:r>
      <w:r>
        <w:rPr>
          <w:rFonts w:ascii="Times New Roman" w:eastAsia="仿宋_GB2312" w:cs="仿宋_GB2312" w:hAnsi="Times New Roman" w:hint="eastAsia"/>
          <w:color w:val="auto"/>
          <w:kern w:val="2"/>
          <w:sz w:val="32"/>
          <w:szCs w:val="32"/>
          <w:lang w:val="en-US" w:eastAsia="zh-CN" w:bidi="ar-SA"/>
          <w:highlight w:val="auto"/>
        </w:rPr>
        <w:t>9.经营支出：指事业单位在专业业务活动及其辅助活动之外开展非独立核算经营活动发生的支出。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2</w:t>
      </w:r>
      <w:r>
        <w:rPr>
          <w:rFonts w:ascii="Times New Roman" w:eastAsia="仿宋_GB2312" w:cs="仿宋_GB2312" w:hAnsi="Times New Roman" w:hint="eastAsia"/>
          <w:color w:val="auto"/>
          <w:kern w:val="2"/>
          <w:sz w:val="32"/>
          <w:szCs w:val="32"/>
          <w:lang w:val="en-US" w:eastAsia="zh-CN" w:bidi="ar-SA"/>
          <w:highlight w:val="auto"/>
        </w:rPr>
        <w:t>0.</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三公</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2</w:t>
      </w:r>
      <w:r>
        <w:rPr>
          <w:rFonts w:ascii="Times New Roman" w:eastAsia="仿宋_GB2312" w:cs="仿宋_GB2312" w:hAnsi="Times New Roman" w:hint="eastAsia"/>
          <w:color w:val="auto"/>
          <w:kern w:val="2"/>
          <w:sz w:val="32"/>
          <w:szCs w:val="32"/>
          <w:lang w:val="en-US" w:eastAsia="zh-CN" w:bidi="ar-SA"/>
          <w:highlight w:val="auto"/>
        </w:rPr>
        <w:t>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rPr>
          <w:rFonts w:hint="eastAsia"/>
          <w:lang w:val="en-US" w:eastAsia="zh-CN"/>
        </w:rPr>
      </w:pPr>
    </w:p>
    <w:p>
      <w:pPr>
        <w:spacing w:line="600" w:lineRule="exact"/>
        <w:jc w:val="center"/>
        <w:rPr>
          <w:rStyle w:val="1Char"/>
          <w:rFonts w:ascii="Times New Roman" w:eastAsia="黑体" w:hAnsi="Times New Roman" w:hint="eastAsia"/>
          <w:b w:val="0"/>
          <w:color w:val="auto"/>
          <w:lang w:eastAsia="zh-CN"/>
          <w:highlight w:val="auto"/>
        </w:rPr>
      </w:pPr>
      <w:bookmarkStart w:id="46" w:name="_Toc15396614"/>
      <w:bookmarkStart w:id="47" w:name="_Toc15377226"/>
      <w:r>
        <w:rPr>
          <w:rFonts w:ascii="Times New Roman" w:eastAsia="黑体" w:hAnsi="Times New Roman" w:hint="eastAsia"/>
          <w:color w:val="auto"/>
          <w:sz w:val="44"/>
          <w:szCs w:val="44"/>
          <w:highlight w:val="auto"/>
        </w:rPr>
        <w:t>第四部分</w:t>
      </w:r>
      <w:r>
        <w:rPr>
          <w:rFonts w:ascii="Times New Roman" w:eastAsia="黑体" w:hAnsi="Times New Roman"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 xml:space="preserve"> 附件</w:t>
      </w:r>
      <w:bookmarkEnd w:id="46"/>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Times New Roman" w:eastAsia="黑体" w:cs="黑体" w:hAnsi="Times New Roman" w:hint="eastAsia"/>
          <w:color w:val="FF0000"/>
          <w:sz w:val="32"/>
          <w:szCs w:val="32"/>
          <w:highlight w:val="auto"/>
        </w:rPr>
      </w:pPr>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Times New Roman" w:eastAsia="仿宋_GB2312" w:cs="Times New Roman" w:hAnsi="Times New Roman"/>
          <w:kern w:val="2"/>
          <w:sz w:val="32"/>
          <w:szCs w:val="32"/>
          <w:u w:val="none"/>
          <w:lang w:val="en-US" w:eastAsia="zh-CN"/>
        </w:rPr>
      </w:pPr>
      <w:r>
        <w:rPr>
          <w:rFonts w:ascii="Times New Roman" w:eastAsia="仿宋_GB2312" w:cs="Times New Roman" w:hAnsi="Times New Roman" w:hint="eastAsia"/>
          <w:kern w:val="2"/>
          <w:sz w:val="32"/>
          <w:szCs w:val="32"/>
          <w:u w:val="none"/>
          <w:lang w:val="zh-CN" w:eastAsia="zh-CN"/>
        </w:rPr>
        <w:t>附表：</w:t>
      </w:r>
      <w:r>
        <w:rPr>
          <w:rFonts w:ascii="Times New Roman" w:eastAsia="仿宋_GB2312" w:cs="Times New Roman" w:hAnsi="Times New Roman" w:hint="eastAsia"/>
          <w:kern w:val="2"/>
          <w:sz w:val="32"/>
          <w:szCs w:val="32"/>
          <w:u w:val="none"/>
          <w:lang w:val="en-US" w:eastAsia="zh-CN"/>
        </w:rPr>
        <w:t>部门预算项目支出绩效自评表（2024年度）</w:t>
      </w:r>
      <w:r>
        <w:rPr>
          <w:rFonts w:eastAsia="仿宋_GB2312" w:cs="Times New Roman" w:hint="eastAsia"/>
          <w:kern w:val="2"/>
          <w:sz w:val="32"/>
          <w:szCs w:val="32"/>
          <w:u w:val="none"/>
          <w:lang w:val="en-US" w:eastAsia="zh-CN"/>
        </w:rPr>
        <w:t>见附件3。</w:t>
      </w:r>
    </w:p>
    <w:p>
      <w:pPr>
        <w:pStyle w:val="17"/>
        <w:keepNext w:val="0"/>
        <w:keepLines w:val="0"/>
        <w:pageBreakBefore w:val="0"/>
        <w:widowControl w:val="0"/>
        <w:kinsoku/>
        <w:wordWrap/>
        <w:overflowPunct/>
        <w:topLinePunct w:val="0"/>
        <w:autoSpaceDE/>
        <w:autoSpaceDN/>
        <w:bidi w:val="0"/>
        <w:spacing w:line="560" w:lineRule="exact"/>
        <w:textAlignment w:val="auto"/>
        <w:rPr>
          <w:rFonts w:ascii="Times New Roman" w:cs="Times New Roman" w:hAnsi="Times New Roman" w:hint="eastAsia"/>
          <w:sz w:val="32"/>
          <w:szCs w:val="32"/>
          <w:lang w:val="zh-CN" w:eastAsia="zh-CN"/>
          <w:highlight w:val="yellow"/>
        </w:rPr>
      </w:pPr>
    </w:p>
    <w:p>
      <w:pPr>
        <w:ind w:firstLineChars="600" w:firstLine="2640"/>
        <w:rPr>
          <w:rFonts w:ascii="Times New Roman" w:eastAsia="仿宋" w:hAnsi="Times New Roman" w:hint="eastAsia"/>
          <w:b w:val="0"/>
          <w:color w:val="auto"/>
          <w:highlight w:val="auto"/>
        </w:rPr>
      </w:pPr>
      <w:bookmarkStart w:id="48" w:name="_Toc15396618"/>
      <w:r>
        <w:rPr>
          <w:rFonts w:ascii="Times New Roman" w:eastAsia="黑体" w:hAnsi="Times New Roman" w:hint="eastAsia"/>
          <w:color w:val="auto"/>
          <w:sz w:val="44"/>
          <w:szCs w:val="44"/>
          <w:highlight w:val="auto"/>
        </w:rPr>
        <w:t>第</w:t>
      </w:r>
      <w:r>
        <w:rPr>
          <w:rStyle w:val="1Char"/>
          <w:rFonts w:ascii="Times New Roman" w:eastAsia="黑体" w:hAnsi="Times New Roman" w:hint="eastAsia"/>
          <w:b w:val="0"/>
          <w:color w:val="auto"/>
          <w:highlight w:val="auto"/>
        </w:rPr>
        <w:t>五部分 附表</w:t>
      </w:r>
      <w:bookmarkStart w:id="49" w:name="_Toc15396619"/>
      <w:bookmarkEnd w:id="47"/>
      <w:bookmarkEnd w:id="48"/>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一、收入支出决算总表</w:t>
      </w:r>
      <w:bookmarkEnd w:id="49"/>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0" w:name="_Toc15396620"/>
      <w:r>
        <w:rPr>
          <w:rFonts w:ascii="Times New Roman" w:eastAsia="仿宋_GB2312" w:cs="仿宋_GB2312" w:hAnsi="Times New Roman" w:hint="eastAsia"/>
          <w:color w:val="auto"/>
          <w:sz w:val="32"/>
          <w:szCs w:val="32"/>
          <w:highlight w:val="auto"/>
        </w:rPr>
        <w:t>二、收入决算表</w:t>
      </w:r>
      <w:bookmarkEnd w:id="50"/>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1" w:name="_Toc15396621"/>
      <w:r>
        <w:rPr>
          <w:rFonts w:ascii="Times New Roman" w:eastAsia="仿宋_GB2312" w:cs="仿宋_GB2312" w:hAnsi="Times New Roman" w:hint="eastAsia"/>
          <w:color w:val="auto"/>
          <w:sz w:val="32"/>
          <w:szCs w:val="32"/>
          <w:highlight w:val="auto"/>
        </w:rPr>
        <w:t>三、支出决算表</w:t>
      </w:r>
      <w:bookmarkEnd w:id="51"/>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2" w:name="_Toc15396622"/>
      <w:r>
        <w:rPr>
          <w:rFonts w:ascii="Times New Roman" w:eastAsia="仿宋_GB2312" w:cs="仿宋_GB2312" w:hAnsi="Times New Roman" w:hint="eastAsia"/>
          <w:color w:val="auto"/>
          <w:sz w:val="32"/>
          <w:szCs w:val="32"/>
          <w:highlight w:val="auto"/>
        </w:rPr>
        <w:t>四、财政拨款收入支出决算总表</w:t>
      </w:r>
      <w:bookmarkEnd w:id="52"/>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3" w:name="_Toc15396623"/>
      <w:r>
        <w:rPr>
          <w:rFonts w:ascii="Times New Roman" w:eastAsia="仿宋_GB2312" w:cs="仿宋_GB2312" w:hAnsi="Times New Roman" w:hint="eastAsia"/>
          <w:color w:val="auto"/>
          <w:sz w:val="32"/>
          <w:szCs w:val="32"/>
          <w:highlight w:val="auto"/>
        </w:rPr>
        <w:t>五、财政拨款支出决算明细表</w:t>
      </w:r>
      <w:bookmarkStart w:id="54" w:name="_Toc15396624"/>
      <w:bookmarkEnd w:id="53"/>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六、一般公共预算财政拨款支出决算表</w:t>
      </w:r>
      <w:bookmarkEnd w:id="54"/>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5" w:name="_Toc15396625"/>
      <w:r>
        <w:rPr>
          <w:rFonts w:ascii="Times New Roman" w:eastAsia="仿宋_GB2312" w:cs="仿宋_GB2312" w:hAnsi="Times New Roman" w:hint="eastAsia"/>
          <w:color w:val="auto"/>
          <w:sz w:val="32"/>
          <w:szCs w:val="32"/>
          <w:highlight w:val="auto"/>
        </w:rPr>
        <w:t>七、一般公共预算财政拨款支出决算明细表</w:t>
      </w:r>
      <w:bookmarkEnd w:id="55"/>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6" w:name="_Toc15396626"/>
      <w:r>
        <w:rPr>
          <w:rFonts w:ascii="Times New Roman" w:eastAsia="仿宋_GB2312" w:cs="仿宋_GB2312" w:hAnsi="Times New Roman" w:hint="eastAsia"/>
          <w:color w:val="auto"/>
          <w:sz w:val="32"/>
          <w:szCs w:val="32"/>
          <w:highlight w:val="auto"/>
        </w:rPr>
        <w:t>八、一般公共预算财政拨款基本支出决算表</w:t>
      </w:r>
      <w:bookmarkEnd w:id="56"/>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7" w:name="_Toc15396627"/>
      <w:r>
        <w:rPr>
          <w:rFonts w:ascii="Times New Roman" w:eastAsia="仿宋_GB2312" w:cs="仿宋_GB2312" w:hAnsi="Times New Roman" w:hint="eastAsia"/>
          <w:color w:val="auto"/>
          <w:sz w:val="32"/>
          <w:szCs w:val="32"/>
          <w:highlight w:val="auto"/>
        </w:rPr>
        <w:t>九、一般公共预算财政拨款项目支出决算表</w:t>
      </w:r>
      <w:bookmarkEnd w:id="57"/>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8" w:name="_Toc15396628"/>
      <w:r>
        <w:rPr>
          <w:rFonts w:ascii="Times New Roman" w:eastAsia="仿宋_GB2312" w:cs="仿宋_GB2312" w:hAnsi="Times New Roman" w:hint="eastAsia"/>
          <w:color w:val="auto"/>
          <w:sz w:val="32"/>
          <w:szCs w:val="32"/>
          <w:highlight w:val="auto"/>
        </w:rPr>
        <w:t>十、</w:t>
      </w:r>
      <w:bookmarkEnd w:id="58"/>
      <w:r>
        <w:rPr>
          <w:rFonts w:ascii="Times New Roman" w:eastAsia="仿宋_GB2312" w:cs="仿宋_GB2312" w:hAnsi="Times New Roman" w:hint="eastAsia"/>
          <w:color w:val="auto"/>
          <w:sz w:val="32"/>
          <w:szCs w:val="32"/>
          <w:highlight w:val="auto"/>
        </w:rPr>
        <w:t>政府性基金预算财政拨款收入支出决算表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9" w:name="_Toc15396629"/>
      <w:r>
        <w:rPr>
          <w:rFonts w:ascii="Times New Roman" w:eastAsia="仿宋_GB2312" w:cs="仿宋_GB2312" w:hAnsi="Times New Roman" w:hint="eastAsia"/>
          <w:color w:val="auto"/>
          <w:sz w:val="32"/>
          <w:szCs w:val="32"/>
          <w:highlight w:val="auto"/>
        </w:rPr>
        <w:t>十一、</w:t>
      </w:r>
      <w:bookmarkEnd w:id="59"/>
      <w:r>
        <w:rPr>
          <w:rFonts w:ascii="Times New Roman" w:eastAsia="仿宋_GB2312" w:cs="仿宋_GB2312" w:hAnsi="Times New Roman" w:hint="eastAsia"/>
          <w:color w:val="auto"/>
          <w:sz w:val="32"/>
          <w:szCs w:val="32"/>
          <w:highlight w:val="auto"/>
        </w:rPr>
        <w:t>国有资本经营预算</w:t>
      </w:r>
      <w:r>
        <w:rPr>
          <w:rFonts w:ascii="Times New Roman" w:eastAsia="仿宋_GB2312" w:cs="仿宋_GB2312" w:hAnsi="Times New Roman" w:hint="eastAsia"/>
          <w:color w:val="auto"/>
          <w:sz w:val="32"/>
          <w:szCs w:val="32"/>
          <w:lang w:eastAsia="zh-CN"/>
          <w:highlight w:val="auto"/>
        </w:rPr>
        <w:t>财政拨款收入</w:t>
      </w:r>
      <w:r>
        <w:rPr>
          <w:rFonts w:ascii="Times New Roman" w:eastAsia="仿宋_GB2312" w:cs="仿宋_GB2312" w:hAnsi="Times New Roman" w:hint="eastAsia"/>
          <w:color w:val="auto"/>
          <w:sz w:val="32"/>
          <w:szCs w:val="32"/>
          <w:highlight w:val="auto"/>
        </w:rPr>
        <w:t>支出决算表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0" w:name="_Toc15396630"/>
      <w:r>
        <w:rPr>
          <w:rFonts w:ascii="Times New Roman" w:eastAsia="仿宋_GB2312" w:cs="仿宋_GB2312" w:hAnsi="Times New Roman" w:hint="eastAsia"/>
          <w:color w:val="auto"/>
          <w:sz w:val="32"/>
          <w:szCs w:val="32"/>
          <w:highlight w:val="auto"/>
        </w:rPr>
        <w:t>十二、</w:t>
      </w:r>
      <w:bookmarkEnd w:id="60"/>
      <w:r>
        <w:rPr>
          <w:rFonts w:ascii="Times New Roman" w:eastAsia="仿宋_GB2312" w:cs="仿宋_GB2312" w:hAnsi="Times New Roman" w:hint="eastAsia"/>
          <w:color w:val="auto"/>
          <w:sz w:val="32"/>
          <w:szCs w:val="32"/>
          <w:lang w:eastAsia="zh-CN"/>
          <w:highlight w:val="auto"/>
        </w:rPr>
        <w:t>国有资本经营预算财政拨款支出决算表</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lang w:eastAsia="zh-CN"/>
          <w:highlight w:val="auto"/>
        </w:rPr>
      </w:pPr>
      <w:bookmarkStart w:id="61" w:name="_Toc15396631"/>
      <w:r>
        <w:rPr>
          <w:rFonts w:ascii="Times New Roman" w:eastAsia="仿宋_GB2312" w:cs="仿宋_GB2312" w:hAnsi="Times New Roman" w:hint="eastAsia"/>
          <w:color w:val="auto"/>
          <w:sz w:val="32"/>
          <w:szCs w:val="32"/>
          <w:highlight w:val="auto"/>
        </w:rPr>
        <w:t>十三、</w:t>
      </w:r>
      <w:bookmarkEnd w:id="61"/>
      <w:r>
        <w:rPr>
          <w:rFonts w:ascii="Times New Roman" w:eastAsia="仿宋_GB2312" w:cs="仿宋_GB2312" w:hAnsi="Times New Roman" w:hint="eastAsia"/>
          <w:color w:val="auto"/>
          <w:sz w:val="32"/>
          <w:szCs w:val="32"/>
          <w:lang w:eastAsia="zh-CN"/>
          <w:highlight w:val="auto"/>
        </w:rPr>
        <w:t>财政拨款“三公”经费支出决算表</w:t>
      </w:r>
    </w:p>
    <w:p>
      <w:pPr>
        <w:rPr>
          <w:rFonts w:ascii="Times New Roman" w:hAnsi="Times New Roman" w:hint="eastAsia"/>
          <w:lang w:eastAsia="zh-CN"/>
        </w:rPr>
      </w:pPr>
    </w:p>
    <w:p/>
    <w:sectPr>
      <w:footerReference w:type="default" r:id="rId6"/>
      <w:pgSz w:w="11906" w:h="16838"/>
      <w:pgMar w:top="1440" w:right="1800" w:bottom="1440" w:left="1800"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1"/>
    <w:family w:val="auto"/>
    <w:pitch w:val="variable"/>
    <w:sig w:usb0="E0002EFF" w:usb1="C000785B" w:usb2="00000009" w:usb3="00000000" w:csb0="400001FF" w:csb1="FFFF0000"/>
  </w:font>
  <w:font w:name="方正小标宋简体">
    <w:altName w:val="Arial Unicode MS"/>
    <w:panose1 w:val="03000509000000000000"/>
    <w:charset w:val="86"/>
    <w:family w:val="script"/>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仿宋_GB2312">
    <w:altName w:val="仿宋"/>
    <w:panose1 w:val="02010609030101010101"/>
    <w:charset w:val="86"/>
    <w:family w:val="modern"/>
    <w:pitch w:val="variable"/>
    <w:sig w:usb0="00000000" w:usb1="0000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auto"/>
    <w:pitch w:val="variable"/>
    <w:sig w:usb0="00000000" w:usb1="00000000" w:usb2="00000000" w:usb3="00000000" w:csb0="00040000" w:csb1="00000000"/>
  </w:font>
  <w:font w:name="Calibri Light">
    <w:altName w:val="Arial"/>
    <w:panose1 w:val="020F0302020204030204"/>
    <w:charset w:val="00"/>
    <w:family w:val="auto"/>
    <w:pitch w:val="variable"/>
    <w:sig w:usb0="E0002AFF" w:usb1="C000247B" w:usb2="00000009" w:usb3="00000000" w:csb0="200001FF" w:csb1="00000000"/>
  </w:font>
  <w:font w:name="Calibri">
    <w:panose1 w:val="020F0502020204030204"/>
    <w:charset w:val="00"/>
    <w:family w:val="swiss"/>
    <w:pitch w:val="variable"/>
    <w:sig w:usb0="E0002EFF" w:usb1="C000247B" w:usb2="00000009" w:usb3="00000000" w:csb0="200001FF" w:csb1="00000000"/>
  </w:font>
  <w:font w:name="??">
    <w:altName w:val="Arial"/>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p>
  <w:p>
    <w:pPr>
      <w:pStyle w:val="18"/>
      <w:tabs>
        <w:tab w:val="center" w:pos="4153"/>
        <w:tab w:val="right" w:pos="8306"/>
      </w:tabs>
      <w:rPr>
        <w:rFonts w:eastAsia="宋体" w:hint="eastAsia"/>
        <w:lang w:val="en-US" w:eastAsia="zh-CN"/>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p>
  <w:p>
    <w:pPr>
      <w:pStyle w:val="18"/>
      <w:tabs>
        <w:tab w:val="center" w:pos="4153"/>
        <w:tab w:val="right" w:pos="8306"/>
      </w:tabs>
      <w:rPr>
        <w:rFonts w:eastAsia="宋体" w:hint="eastAsia"/>
        <w:lang w:val="en-US" w:eastAsia="zh-CN"/>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31"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1" name="文本框 10"/>
              <wp:cNvGraphicFramePr>
                <a:graphicFrameLocks noChangeAspect="0"/>
              </wp:cNvGraphicFramePr>
              <a:graphic>
                <a:graphicData uri="http://schemas.microsoft.com/office/word/2010/wordprocessingShape">
                  <wps:wsp>
                    <wps:cNvSpPr/>
                    <wps:spPr>
                      <a:xfrm rot="0">
                        <a:off x="0" y="0"/>
                        <a:ext cx="57950" cy="139560"/>
                      </a:xfrm>
                      <a:prstGeom prst="rect"/>
                      <a:noFill/>
                      <a:ln w="6350" cmpd="sng" cap="flat">
                        <a:noFill/>
                        <a:prstDash val="solid"/>
                        <a:round/>
                      </a:ln>
                    </wps:spPr>
                    <wps:txbx id="2">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0 3" o:spid="_x0000_s3" filled="f" stroked="f" strokeweight="0.5pt" style="position:absolute;margin-left:0.0pt;margin-top:0.0pt;width:4.562999pt;height:10.988999pt;z-index:31;mso-position-horizontal:center;mso-position-horizontal-relative:margin;mso-position-vertical:absolute;mso-wrap-distance-left:8.999863pt;mso-wrap-distance-right:8.999863pt;mso-wrap-style:none;">
              <v:stroke color="#000000"/>
              <v:textbox id="854"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p>
  <w:p>
    <w:pPr>
      <w:pStyle w:val="18"/>
      <w:tabs>
        <w:tab w:val="center" w:pos="4153"/>
        <w:tab w:val="right" w:pos="8306"/>
      </w:tabs>
      <w:rPr>
        <w:rFonts w:eastAsia="宋体" w:hint="eastAsia"/>
        <w:lang w:val="en-US" w:eastAsia="zh-CN"/>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rPr>
        <w:sz w:val="18"/>
      </w:rPr>
      <mc:AlternateContent>
        <mc:Choice Requires="wps">
          <w:drawing>
            <wp:anchor distT="0" distB="0" distL="114298" distR="114298" simplePos="0" relativeHeight="33" behindDoc="0" locked="0" layoutInCell="1" hidden="0" allowOverlap="1">
              <wp:simplePos x="0" y="0"/>
              <wp:positionH relativeFrom="margin">
                <wp:align>center</wp:align>
              </wp:positionH>
              <wp:positionV relativeFrom="paragraph">
                <wp:posOffset>0</wp:posOffset>
              </wp:positionV>
              <wp:extent cx="115900" cy="139560"/>
              <wp:effectExtent l="0" t="0" r="0" b="0"/>
              <wp:wrapNone/>
              <wp:docPr id="4" name="文本框 12"/>
              <wp:cNvGraphicFramePr>
                <a:graphicFrameLocks noChangeAspect="0"/>
              </wp:cNvGraphicFramePr>
              <a:graphic>
                <a:graphicData uri="http://schemas.microsoft.com/office/word/2010/wordprocessingShape">
                  <wps:wsp>
                    <wps:cNvSpPr/>
                    <wps:spPr>
                      <a:xfrm rot="0">
                        <a:off x="0" y="0"/>
                        <a:ext cx="115900" cy="139560"/>
                      </a:xfrm>
                      <a:prstGeom prst="rect"/>
                      <a:noFill/>
                      <a:ln w="6350" cmpd="sng" cap="flat">
                        <a:noFill/>
                        <a:prstDash val="solid"/>
                        <a:round/>
                      </a:ln>
                    </wps:spPr>
                    <wps:txbx id="5">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12 6" o:spid="_x0000_s6" filled="f" stroked="f" strokeweight="0.5pt" style="position:absolute;margin-left:0.0pt;margin-top:0.0pt;width:9.125998pt;height:10.988999pt;z-index:33;mso-position-horizontal:center;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p>
    <w:pPr>
      <w:pStyle w:val="18"/>
      <w:tabs>
        <w:tab w:val="center" w:pos="4153"/>
        <w:tab w:val="right" w:pos="8306"/>
      </w:tabs>
      <w:rPr>
        <w:rFonts w:eastAsia="宋体" w:hint="eastAsia"/>
        <w:lang w:val="en-US" w:eastAsia="zh-CN"/>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YjFhYmU4NTljNDIwNTk1MTI1MTA2ZWVkYzExMjAzMG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libri Light" w:eastAsia="宋体" w:cs="Times New Roman" w:hAnsi="Calibri Light"/>
      <w:b/>
      <w:bCs/>
      <w:sz w:val="32"/>
      <w:szCs w:val="32"/>
    </w:rPr>
  </w:style>
  <w:style w:type="character" w:customStyle="1" w:styleId="2Char">
    <w:name w:val="heading 2 Char"/>
    <w:basedOn w:val="10"/>
    <w:link w:val="2"/>
    <w:rPr>
      <w:rFonts w:ascii="Calibri Light" w:eastAsia="宋体" w:cs="Times New Roman" w:hAnsi="Calibri Light"/>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footnote text"/>
    <w:basedOn w:val="0"/>
    <w:next w:val="17"/>
    <w:pPr>
      <w:snapToGrid w:val="0"/>
      <w:jc w:val="left"/>
    </w:pPr>
    <w:rPr>
      <w:sz w:val="18"/>
      <w:szCs w:val="18"/>
    </w:rPr>
  </w:style>
  <w:style w:type="paragraph" w:styleId="22">
    <w:name w:val="toc 2"/>
    <w:basedOn w:val="0"/>
    <w:next w:val="0"/>
    <w:pPr>
      <w:tabs>
        <w:tab w:val="right" w:leader="dot" w:pos="8296"/>
      </w:tabs>
      <w:ind w:leftChars="200" w:left="200"/>
    </w:pPr>
  </w:style>
  <w:style w:type="paragraph" w:styleId="23">
    <w:name w:val="List Paragraph"/>
    <w:basedOn w:val="0"/>
    <w:pPr>
      <w:ind w:firstLineChars="200" w:firstLine="200"/>
    </w:pPr>
  </w:style>
  <w:style w:type="paragraph" w:customStyle="1" w:styleId="24">
    <w:name w:val="四号正文"/>
    <w:basedOn w:val="0"/>
    <w:pPr>
      <w:spacing w:line="360" w:lineRule="auto"/>
    </w:pPr>
    <w:rPr>
      <w:rFonts w:ascii="??" w:eastAsia="宋体" w:hAnsi="??"/>
      <w:color w:val="000000"/>
      <w:kern w:val="0"/>
      <w:sz w:val="28"/>
      <w:szCs w:val="21"/>
      <w:lang w:val="zh-CN" w:eastAsia="zh-CN"/>
    </w:rPr>
  </w:style>
  <w:style w:type="paragraph" w:customStyle="1" w:styleId="25">
    <w:name w:val="Default"/>
    <w:pPr>
      <w:widowControl w:val="0"/>
      <w:autoSpaceDE w:val="0"/>
      <w:autoSpaceDN w:val="0"/>
      <w:adjustRightInd w:val="0"/>
    </w:pPr>
    <w:rPr>
      <w:rFonts w:ascii="仿宋"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styles" Target="styl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spPr>
            <a:solidFill>
              <a:srgbClr val="4874CB"/>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总收入</c:v>
                </c:pt>
                <c:pt idx="1">
                  <c:v>总支出</c:v>
                </c:pt>
              </c:strCache>
            </c:strRef>
          </c:cat>
          <c:val>
            <c:numRef>
              <c:f>'Sheet1'!$B$2:$B$3</c:f>
              <c:numCache>
                <c:formatCode>General</c:formatCode>
                <c:ptCount val="2"/>
                <c:pt idx="0">
                  <c:v>16094.81</c:v>
                </c:pt>
                <c:pt idx="1">
                  <c:v>16094.81</c:v>
                </c:pt>
              </c:numCache>
            </c:numRef>
          </c:val>
        </c:ser>
        <c:ser>
          <c:idx val="1"/>
          <c:order val="1"/>
          <c:tx>
            <c:strRef>
              <c:f>'Sheet1'!$C$1</c:f>
              <c:strCache>
                <c:ptCount val="1"/>
                <c:pt idx="0">
                  <c:v>2024年</c:v>
                </c:pt>
              </c:strCache>
            </c:strRef>
          </c:tx>
          <c:spPr>
            <a:solidFill>
              <a:srgbClr val="EE822F"/>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总收入</c:v>
                </c:pt>
                <c:pt idx="1">
                  <c:v>总支出</c:v>
                </c:pt>
              </c:strCache>
            </c:strRef>
          </c:cat>
          <c:val>
            <c:numRef>
              <c:f>'Sheet1'!$C$2:$C$3</c:f>
              <c:numCache>
                <c:formatCode>General</c:formatCode>
                <c:ptCount val="2"/>
                <c:pt idx="0">
                  <c:v>16584.86</c:v>
                </c:pt>
                <c:pt idx="1">
                  <c:v>16584.86</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(2)'!$B$1</c:f>
              <c:strCache>
                <c:ptCount val="1"/>
                <c:pt idx="0">
                  <c:v>销售额</c:v>
                </c:pt>
              </c:strCache>
            </c:strRef>
          </c:tx>
          <c:spPr>
            <a:solidFill>
              <a:srgbClr val="4F81BD"/>
            </a:solidFill>
          </c:spPr>
          <c:dPt>
            <c:idx val="0"/>
            <c:bubble3D val="0"/>
            <c:spPr>
              <a:solidFill>
                <a:srgbClr val="4874CB"/>
              </a:solidFill>
              <a:ln w="6350">
                <a:solidFill>
                  <a:srgbClr val="FFFFFF"/>
                </a:solidFill>
                <a:prstDash val="solid"/>
              </a:ln>
            </c:spPr>
          </c:dPt>
          <c:dPt>
            <c:idx val="1"/>
            <c:bubble3D val="0"/>
            <c:spPr>
              <a:solidFill>
                <a:srgbClr val="EE822F"/>
              </a:solidFill>
              <a:ln w="6350">
                <a:solidFill>
                  <a:srgbClr val="FFFFFF"/>
                </a:solidFill>
                <a:prstDash val="solid"/>
              </a:ln>
            </c:spPr>
          </c:dPt>
          <c:dPt>
            <c:idx val="2"/>
            <c:bubble3D val="0"/>
            <c:spPr>
              <a:solidFill>
                <a:srgbClr val="F2BA02"/>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
              <c:idx val="0"/>
              <c:layout>
                <c:manualLayout>
                  <c:x val="0.081354514"/>
                  <c:y val="0.012502374"/>
                </c:manualLayout>
              </c:layout>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0"/>
              <c:showBubbleSize val="0"/>
            </c:dLbl>
            <c:dLbl>
              <c:idx val="1"/>
              <c:layout>
                <c:manualLayout>
                  <c:x val="0.18601486"/>
                  <c:y val="-0.028792514"/>
                </c:manualLayout>
              </c:layout>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0"/>
              <c:showBubbleSize val="0"/>
            </c:dLbl>
            <c:dLbl>
              <c:idx val="2"/>
              <c:layout>
                <c:manualLayout>
                  <c:x val="-0.058929693"/>
                  <c:y val="-0.002144951"/>
                </c:manualLayout>
              </c:layout>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Ref>
              <c:f>'Sheet1 (2)'!$A$2:$A$4</c:f>
              <c:strCache>
                <c:ptCount val="3"/>
                <c:pt idx="0">
                  <c:v>一般公共预算财政拨款收入</c:v>
                </c:pt>
                <c:pt idx="1">
                  <c:v>事业收入</c:v>
                </c:pt>
                <c:pt idx="2">
                  <c:v>其他收入</c:v>
                </c:pt>
              </c:strCache>
            </c:strRef>
          </c:cat>
          <c:val>
            <c:numRef>
              <c:f>'Sheet1 (2)'!$B$2:$B$4</c:f>
              <c:numCache>
                <c:formatCode>General</c:formatCode>
                <c:ptCount val="3"/>
                <c:pt idx="0">
                  <c:v>377.52</c:v>
                </c:pt>
                <c:pt idx="1">
                  <c:v>15849.84</c:v>
                </c:pt>
                <c:pt idx="2">
                  <c:v>357.5</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(3)'!$B$1</c:f>
              <c:strCache>
                <c:ptCount val="1"/>
                <c:pt idx="0">
                  <c:v>销售额</c:v>
                </c:pt>
              </c:strCache>
            </c:strRef>
          </c:tx>
          <c:spPr>
            <a:solidFill>
              <a:srgbClr val="4F81BD"/>
            </a:solidFill>
          </c:spPr>
          <c:dPt>
            <c:idx val="0"/>
            <c:bubble3D val="0"/>
            <c:spPr>
              <a:solidFill>
                <a:srgbClr val="4874CB"/>
              </a:solidFill>
              <a:ln w="6350">
                <a:solidFill>
                  <a:srgbClr val="FFFFFF"/>
                </a:solidFill>
                <a:prstDash val="solid"/>
              </a:ln>
            </c:spPr>
          </c:dPt>
          <c:dPt>
            <c:idx val="1"/>
            <c:bubble3D val="0"/>
            <c:spPr>
              <a:solidFill>
                <a:srgbClr val="EE822F"/>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
              <c:idx val="0"/>
              <c:layout>
                <c:manualLayout>
                  <c:x val="-0.27243412"/>
                  <c:y val="-0.22922274"/>
                </c:manualLayout>
              </c:layout>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16356.81</c:v>
                </c:pt>
                <c:pt idx="1">
                  <c:v>159.52</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(4)'!$B$1</c:f>
              <c:strCache>
                <c:ptCount val="1"/>
                <c:pt idx="0">
                  <c:v>2023年</c:v>
                </c:pt>
              </c:strCache>
            </c:strRef>
          </c:tx>
          <c:spPr>
            <a:solidFill>
              <a:srgbClr val="4874CB"/>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财政拨款收入</c:v>
                </c:pt>
                <c:pt idx="1">
                  <c:v>财政拨款支出</c:v>
                </c:pt>
              </c:strCache>
            </c:strRef>
          </c:cat>
          <c:val>
            <c:numRef>
              <c:f>'Sheet1 (4)'!$B$2:$B$3</c:f>
              <c:numCache>
                <c:formatCode>General</c:formatCode>
                <c:ptCount val="2"/>
                <c:pt idx="0">
                  <c:v>679.03</c:v>
                </c:pt>
                <c:pt idx="1">
                  <c:v>679.03</c:v>
                </c:pt>
              </c:numCache>
            </c:numRef>
          </c:val>
        </c:ser>
        <c:ser>
          <c:idx val="1"/>
          <c:order val="1"/>
          <c:tx>
            <c:strRef>
              <c:f>'Sheet1 (4)'!$C$1</c:f>
              <c:strCache>
                <c:ptCount val="1"/>
                <c:pt idx="0">
                  <c:v>2024年</c:v>
                </c:pt>
              </c:strCache>
            </c:strRef>
          </c:tx>
          <c:spPr>
            <a:solidFill>
              <a:srgbClr val="EE822F"/>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财政拨款收入</c:v>
                </c:pt>
                <c:pt idx="1">
                  <c:v>财政拨款支出</c:v>
                </c:pt>
              </c:strCache>
            </c:strRef>
          </c:cat>
          <c:val>
            <c:numRef>
              <c:f>'Sheet1 (4)'!$C$2:$C$3</c:f>
              <c:numCache>
                <c:formatCode>General</c:formatCode>
                <c:ptCount val="2"/>
                <c:pt idx="0">
                  <c:v>377.52</c:v>
                </c:pt>
                <c:pt idx="1">
                  <c:v>377.52</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(5)'!$B$1</c:f>
              <c:strCache>
                <c:ptCount val="1"/>
                <c:pt idx="0">
                  <c:v>2023年</c:v>
                </c:pt>
              </c:strCache>
            </c:strRef>
          </c:tx>
          <c:spPr>
            <a:solidFill>
              <a:srgbClr val="4874CB"/>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一般公共预算财政拨款支出</c:v>
                </c:pt>
              </c:strCache>
            </c:strRef>
          </c:cat>
          <c:val>
            <c:numRef>
              <c:f>Sheet1 (5)!$B$2</c:f>
              <c:numCache>
                <c:formatCode>General</c:formatCode>
                <c:ptCount val="1"/>
                <c:pt idx="0">
                  <c:v>679.03</c:v>
                </c:pt>
              </c:numCache>
            </c:numRef>
          </c:val>
        </c:ser>
        <c:ser>
          <c:idx val="1"/>
          <c:order val="1"/>
          <c:tx>
            <c:strRef>
              <c:f>'Sheet1 (5)'!$C$1</c:f>
              <c:strCache>
                <c:ptCount val="1"/>
                <c:pt idx="0">
                  <c:v>2024年</c:v>
                </c:pt>
              </c:strCache>
            </c:strRef>
          </c:tx>
          <c:spPr>
            <a:solidFill>
              <a:srgbClr val="EE822F"/>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一般公共预算财政拨款支出</c:v>
                </c:pt>
              </c:strCache>
            </c:strRef>
          </c:cat>
          <c:val>
            <c:numRef>
              <c:f>Sheet1 (5)!$C$2</c:f>
              <c:numCache>
                <c:formatCode>General</c:formatCode>
                <c:ptCount val="1"/>
                <c:pt idx="0">
                  <c:v>377.52</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(6)'!$B$1</c:f>
              <c:strCache>
                <c:ptCount val="1"/>
                <c:pt idx="0">
                  <c:v>销售额</c:v>
                </c:pt>
              </c:strCache>
            </c:strRef>
          </c:tx>
          <c:spPr>
            <a:solidFill>
              <a:srgbClr val="4F81BD"/>
            </a:solidFill>
          </c:spPr>
          <c:dPt>
            <c:idx val="0"/>
            <c:bubble3D val="0"/>
            <c:spPr>
              <a:solidFill>
                <a:srgbClr val="4874CB"/>
              </a:solidFill>
              <a:ln w="6350">
                <a:solidFill>
                  <a:srgbClr val="FFFFFF"/>
                </a:solidFill>
                <a:prstDash val="solid"/>
              </a:ln>
            </c:spPr>
          </c:dPt>
          <c:dPt>
            <c:idx val="1"/>
            <c:bubble3D val="0"/>
            <c:spPr>
              <a:solidFill>
                <a:srgbClr val="EE822F"/>
              </a:solidFill>
              <a:ln w="6350">
                <a:solidFill>
                  <a:srgbClr val="FFFFFF"/>
                </a:solidFill>
                <a:prstDash val="solid"/>
              </a:ln>
            </c:spPr>
          </c:dPt>
          <c:dPt>
            <c:idx val="2"/>
            <c:bubble3D val="0"/>
            <c:spPr>
              <a:solidFill>
                <a:srgbClr val="F2BA02"/>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
              <c:idx val="0"/>
              <c:layout>
                <c:manualLayout>
                  <c:x val="-0.09645614"/>
                  <c:y val="0.017515618"/>
                </c:manualLayout>
              </c:layout>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0"/>
              <c:showBubbleSize val="0"/>
            </c:dLbl>
            <c:dLbl>
              <c:idx val="1"/>
              <c:layout>
                <c:manualLayout>
                  <c:x val="-0.089573726"/>
                  <c:y val="0.124962315"/>
                </c:manualLayout>
              </c:layout>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0"/>
              <c:showBubbleSize val="0"/>
            </c:dLbl>
            <c:dLbl>
              <c:idx val="2"/>
              <c:layout>
                <c:manualLayout>
                  <c:x val="0.097211316"/>
                  <c:y val="-0.20737949"/>
                </c:manualLayout>
              </c:layout>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Ref>
              <c:f>'Sheet1 (6)'!$A$2:$A$4</c:f>
              <c:strCache>
                <c:ptCount val="3"/>
                <c:pt idx="0">
                  <c:v>一般公共服务支出</c:v>
                </c:pt>
                <c:pt idx="1">
                  <c:v>社会保障和就业支出</c:v>
                </c:pt>
                <c:pt idx="2">
                  <c:v>卫生健康支出</c:v>
                </c:pt>
              </c:strCache>
            </c:strRef>
          </c:cat>
          <c:val>
            <c:numRef>
              <c:f>'Sheet1 (6)'!$B$2:$B$4</c:f>
              <c:numCache>
                <c:formatCode>General</c:formatCode>
                <c:ptCount val="3"/>
                <c:pt idx="0">
                  <c:v>1.53</c:v>
                </c:pt>
                <c:pt idx="1">
                  <c:v>124.28</c:v>
                </c:pt>
                <c:pt idx="2">
                  <c:v>251.71</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67</TotalTime>
  <Application>Yozo_Office27021597764231179</Application>
  <Pages>17</Pages>
  <Words>5414</Words>
  <Characters>6615</Characters>
  <Lines>306</Lines>
  <Paragraphs>144</Paragraphs>
  <CharactersWithSpaces>6660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0</cp:revision>
  <dcterms:created xsi:type="dcterms:W3CDTF">2025-09-01T07:18:00Z</dcterms:created>
  <dcterms:modified xsi:type="dcterms:W3CDTF">2025-09-11T10:05:03Z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2052-12.1.0.18608</vt:lpwstr>
  </property>
  <property fmtid="{D5CDD505-2E9C-101B-9397-08002B2CF9AE}" pid="3" name="ICV">
    <vt:lpwstr>5B1A922898D946D0A3F7ABF48B996621_12</vt:lpwstr>
  </property>
</Properties>
</file>