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beforeLines="0" w:before="93"/>
        <w:rPr>
          <w:rFonts w:ascii="Times New Roman" w:eastAsia="方正小标宋简体" w:hAnsi="Times New Roman"/>
          <w:kern w:val="2"/>
          <w:sz w:val="72"/>
          <w:szCs w:val="72"/>
        </w:rPr>
      </w:pPr>
      <w:bookmarkStart w:id="0" w:name="_Toc15396475"/>
      <w:bookmarkStart w:id="1" w:name="_Toc15377193"/>
      <w:bookmarkStart w:id="2" w:name="_Toc15377425"/>
      <w:bookmarkStart w:id="3" w:name="_Toc15378441"/>
      <w:bookmarkStart w:id="4" w:name="_Toc15306267"/>
      <w:bookmarkStart w:id="5" w:name="_Toc15396597"/>
    </w:p>
    <w:p>
      <w:pPr>
        <w:pStyle w:val="18"/>
        <w:spacing w:beforeLines="0" w:before="93"/>
        <w:rPr>
          <w:rFonts w:ascii="Times New Roman" w:eastAsia="方正小标宋简体" w:hAnsi="Times New Roman"/>
          <w:kern w:val="2"/>
          <w:sz w:val="72"/>
          <w:szCs w:val="72"/>
        </w:rPr>
      </w:pPr>
    </w:p>
    <w:p>
      <w:pPr>
        <w:pStyle w:val="18"/>
        <w:spacing w:beforeLines="0" w:before="93"/>
        <w:rPr>
          <w:rFonts w:ascii="Times New Roman" w:eastAsia="方正小标宋简体" w:hAnsi="Times New Roman"/>
          <w:kern w:val="2"/>
          <w:sz w:val="72"/>
          <w:szCs w:val="72"/>
        </w:rPr>
      </w:pP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2024年度</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攀枝花市中心血站决算</w:t>
      </w:r>
    </w:p>
    <w:p>
      <w:pPr>
        <w:pStyle w:val="29"/>
        <w:rPr>
          <w:rFonts w:ascii="Times New Roman" w:hAnsi="Times New Roman"/>
        </w:rPr>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pPr>
    </w:p>
    <w:p>
      <w:pPr>
        <w:widowControl/>
        <w:jc w:val="center"/>
        <w:rPr>
          <w:rFonts w:eastAsia="黑体"/>
          <w:sz w:val="48"/>
          <w:szCs w:val="48"/>
        </w:rPr>
      </w:pPr>
      <w:bookmarkEnd w:id="0"/>
      <w:bookmarkEnd w:id="1"/>
      <w:bookmarkEnd w:id="2"/>
      <w:bookmarkEnd w:id="3"/>
      <w:bookmarkEnd w:id="4"/>
      <w:bookmarkEnd w:id="5"/>
      <w:r>
        <w:rPr>
          <w:rFonts w:eastAsia="黑体" w:hint="eastAsia"/>
          <w:sz w:val="48"/>
          <w:szCs w:val="48"/>
        </w:rPr>
        <w:t>目录</w:t>
      </w:r>
    </w:p>
    <w:p>
      <w:pPr>
        <w:widowControl/>
        <w:jc w:val="center"/>
        <w:rPr>
          <w:rFonts w:eastAsia="黑体" w:cs="Arial"/>
          <w:sz w:val="28"/>
          <w:szCs w:val="28"/>
        </w:rPr>
      </w:pPr>
    </w:p>
    <w:p>
      <w:pPr>
        <w:pStyle w:val="24"/>
        <w:tabs>
          <w:tab w:val="right" w:leader="dot" w:pos="8296"/>
        </w:tabs>
        <w:rPr>
          <w:rFonts w:ascii="Times New Roman" w:eastAsia="仿宋_GB2312" w:cs="仿宋_GB2312" w:hAnsi="Times New Roman"/>
          <w:sz w:val="32"/>
          <w:szCs w:val="32"/>
        </w:rPr>
      </w:pPr>
      <w:r>
        <w:rPr>
          <w:rFonts w:ascii="Times New Roman" w:eastAsia="仿宋_GB2312" w:cs="仿宋_GB2312" w:hAnsi="Times New Roman" w:hint="eastAsia"/>
          <w:sz w:val="32"/>
          <w:szCs w:val="32"/>
        </w:rPr>
        <w:t>公开时间：2025年9月</w:t>
      </w:r>
      <w:r>
        <w:rPr>
          <w:rFonts w:ascii="Times New Roman" w:eastAsia="仿宋_GB2312" w:cs="仿宋_GB2312" w:hAnsi="Times New Roman"/>
          <w:sz w:val="32"/>
          <w:szCs w:val="32"/>
        </w:rPr>
        <w:t>11</w:t>
      </w:r>
      <w:bookmarkStart w:id="6" w:name="_GoBack"/>
      <w:bookmarkEnd w:id="6"/>
      <w:r>
        <w:rPr>
          <w:rFonts w:ascii="Times New Roman" w:eastAsia="仿宋_GB2312" w:cs="仿宋_GB2312" w:hAnsi="Times New Roman" w:hint="eastAsia"/>
          <w:sz w:val="32"/>
          <w:szCs w:val="32"/>
        </w:rPr>
        <w:t>日</w:t>
      </w:r>
    </w:p>
    <w:p/>
    <w:p>
      <w:pPr>
        <w:pStyle w:val="24"/>
        <w:tabs>
          <w:tab w:val="right" w:leader="dot" w:pos="8296"/>
        </w:tabs>
        <w:adjustRightInd w:val="0"/>
        <w:snapToGrid w:val="0"/>
        <w:spacing w:before="0" w:line="560" w:lineRule="exact"/>
        <w:jc w:val="left"/>
        <w:rPr>
          <w:rFonts w:ascii="Times New Roman" w:eastAsia="黑体" w:cs="黑体" w:hAnsi="Times New Roman"/>
          <w:sz w:val="32"/>
          <w:szCs w:val="32"/>
        </w:rPr>
      </w:pPr>
      <w:r>
        <w:rPr>
          <w:rFonts w:ascii="Times New Roman" w:eastAsia="黑体" w:cs="黑体" w:hAnsi="Times New Roman" w:hint="eastAsia"/>
          <w:sz w:val="32"/>
          <w:szCs w:val="32"/>
        </w:rPr>
        <w:t>第一部分 单位概况</w:t>
      </w:r>
      <w:r>
        <w:rPr>
          <w:rFonts w:cs="Arial"/>
          <w:sz w:val="24"/>
          <w:szCs w:val="24"/>
        </w:rPr>
        <w:tab/>
      </w:r>
      <w:r>
        <w:rPr>
          <w:rFonts w:ascii="Times New Roman" w:eastAsia="宋体" w:cs="Arial" w:hAnsi="Times New Roman" w:hint="eastAsia"/>
          <w:kern w:val="2"/>
          <w:sz w:val="24"/>
          <w:szCs w:val="24"/>
          <w:lang w:val="en-US" w:eastAsia="zh-CN" w:bidi="ar-SA"/>
        </w:rPr>
        <w:t>4</w:t>
      </w:r>
    </w:p>
    <w:p>
      <w:pPr>
        <w:pStyle w:val="25"/>
        <w:tabs>
          <w:tab w:val="right" w:leader="dot" w:pos="8296"/>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一、主要职责</w:t>
      </w:r>
      <w:r>
        <w:rPr>
          <w:rFonts w:cs="Arial"/>
          <w:sz w:val="24"/>
        </w:rPr>
        <w:tab/>
      </w:r>
      <w:r>
        <w:rPr>
          <w:rFonts w:cs="Arial" w:hint="eastAsia"/>
          <w:kern w:val="2"/>
          <w:sz w:val="24"/>
          <w:szCs w:val="24"/>
          <w:lang w:val="en-US" w:eastAsia="zh-CN" w:bidi="ar-SA"/>
        </w:rPr>
        <w:t>4</w:t>
      </w:r>
    </w:p>
    <w:p>
      <w:pPr>
        <w:pStyle w:val="25"/>
        <w:tabs>
          <w:tab w:val="right" w:leader="dot" w:pos="8296"/>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Pr>
          <w:rFonts w:cs="Arial"/>
          <w:sz w:val="24"/>
        </w:rPr>
        <w:tab/>
      </w:r>
      <w:r>
        <w:rPr>
          <w:rFonts w:cs="Arial" w:hint="eastAsia"/>
          <w:kern w:val="2"/>
          <w:sz w:val="24"/>
          <w:szCs w:val="24"/>
          <w:lang w:val="en-US" w:eastAsia="zh-CN" w:bidi="ar-SA"/>
        </w:rPr>
        <w:t>4</w:t>
      </w:r>
    </w:p>
    <w:p>
      <w:pPr>
        <w:pStyle w:val="24"/>
        <w:tabs>
          <w:tab w:val="right" w:leader="dot" w:pos="8296"/>
        </w:tabs>
        <w:adjustRightInd w:val="0"/>
        <w:snapToGrid w:val="0"/>
        <w:spacing w:before="0" w:line="560" w:lineRule="exact"/>
        <w:jc w:val="left"/>
        <w:rPr>
          <w:rFonts w:ascii="Times New Roman" w:eastAsia="黑体" w:cs="黑体" w:hAnsi="Times New Roman"/>
          <w:sz w:val="32"/>
          <w:szCs w:val="32"/>
        </w:rPr>
      </w:pPr>
      <w:r>
        <w:rPr>
          <w:rFonts w:ascii="Times New Roman" w:eastAsia="黑体" w:cs="黑体" w:hAnsi="Times New Roman" w:hint="eastAsia"/>
          <w:sz w:val="32"/>
          <w:szCs w:val="32"/>
        </w:rPr>
        <w:t>第二部分 2024年度单位决算情况说明</w:t>
      </w:r>
      <w:r>
        <w:rPr>
          <w:rFonts w:cs="Arial"/>
          <w:sz w:val="24"/>
          <w:szCs w:val="24"/>
        </w:rPr>
        <w:tab/>
      </w:r>
      <w:r>
        <w:rPr>
          <w:rFonts w:ascii="Times New Roman" w:eastAsia="宋体" w:cs="Arial" w:hAnsi="Times New Roman" w:hint="eastAsia"/>
          <w:kern w:val="2"/>
          <w:sz w:val="24"/>
          <w:szCs w:val="24"/>
          <w:lang w:val="en-US" w:eastAsia="zh-CN" w:bidi="ar-SA"/>
        </w:rPr>
        <w:t>5</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一、收入支出决算总体情况说明</w:t>
      </w:r>
      <w:r>
        <w:rPr>
          <w:rFonts w:cs="Arial"/>
          <w:sz w:val="24"/>
        </w:rPr>
        <w:tab/>
      </w:r>
      <w:r>
        <w:rPr>
          <w:rFonts w:cs="Arial" w:hint="eastAsia"/>
          <w:sz w:val="24"/>
          <w:lang w:val="en-US" w:eastAsia="zh-CN"/>
        </w:rPr>
        <w:t>5</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二、收入决算情况说明</w:t>
      </w:r>
      <w:r>
        <w:rPr>
          <w:rFonts w:cs="Arial"/>
          <w:sz w:val="24"/>
        </w:rPr>
        <w:tab/>
      </w:r>
      <w:r>
        <w:rPr>
          <w:rFonts w:cs="Arial" w:hint="eastAsia"/>
          <w:sz w:val="24"/>
          <w:lang w:val="en-US" w:eastAsia="zh-CN"/>
        </w:rPr>
        <w:t>5</w:t>
      </w:r>
    </w:p>
    <w:p>
      <w:pPr>
        <w:pStyle w:val="25"/>
        <w:tabs>
          <w:tab w:val="right" w:leader="dot" w:pos="8296"/>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Pr>
          <w:rFonts w:cs="Arial"/>
          <w:sz w:val="24"/>
        </w:rPr>
        <w:tab/>
      </w:r>
      <w:r>
        <w:rPr>
          <w:rFonts w:cs="Arial" w:hint="eastAsia"/>
          <w:sz w:val="24"/>
          <w:lang w:val="en-US" w:eastAsia="zh-CN"/>
        </w:rPr>
        <w:t>6</w:t>
      </w:r>
    </w:p>
    <w:p>
      <w:pPr>
        <w:pStyle w:val="25"/>
        <w:tabs>
          <w:tab w:val="right" w:leader="dot" w:pos="8296"/>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Pr>
          <w:rFonts w:cs="Arial"/>
          <w:sz w:val="24"/>
        </w:rPr>
        <w:tab/>
      </w:r>
      <w:r>
        <w:rPr>
          <w:rFonts w:cs="Arial" w:hint="eastAsia"/>
          <w:sz w:val="24"/>
          <w:lang w:val="en-US" w:eastAsia="zh-CN"/>
        </w:rPr>
        <w:t>6</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五、一般公共预算财政拨款支出决算情况说明</w:t>
      </w:r>
      <w:r>
        <w:rPr>
          <w:rFonts w:cs="Arial"/>
          <w:sz w:val="24"/>
        </w:rPr>
        <w:tab/>
      </w:r>
      <w:r>
        <w:rPr>
          <w:rFonts w:cs="Arial" w:hint="eastAsia"/>
          <w:sz w:val="24"/>
          <w:lang w:val="en-US" w:eastAsia="zh-CN"/>
        </w:rPr>
        <w:t>7</w:t>
      </w:r>
    </w:p>
    <w:p>
      <w:pPr>
        <w:pStyle w:val="25"/>
        <w:tabs>
          <w:tab w:val="right" w:leader="dot" w:pos="8296"/>
        </w:tabs>
        <w:adjustRightInd w:val="0"/>
        <w:snapToGrid w:val="0"/>
        <w:spacing w:line="560" w:lineRule="exact"/>
        <w:ind w:leftChars="0" w:left="0" w:firstLineChars="200" w:firstLine="640"/>
        <w:jc w:val="left"/>
        <w:rPr>
          <w:rFonts w:eastAsia="宋体" w:cs="仿宋_GB2312"/>
          <w:sz w:val="32"/>
          <w:szCs w:val="32"/>
          <w:lang w:val="en-US" w:eastAsia="zh-CN"/>
        </w:rPr>
      </w:pPr>
      <w:r>
        <w:rPr>
          <w:rFonts w:eastAsia="仿宋_GB2312" w:cs="仿宋_GB2312" w:hint="eastAsia"/>
          <w:sz w:val="32"/>
          <w:szCs w:val="32"/>
        </w:rPr>
        <w:t>六、一般公共预算财政拨款基本支出决算情况说明</w:t>
      </w:r>
      <w:r>
        <w:rPr>
          <w:rFonts w:cs="Arial"/>
          <w:sz w:val="24"/>
        </w:rPr>
        <w:tab/>
      </w:r>
      <w:r>
        <w:rPr>
          <w:rFonts w:cs="Arial" w:hint="eastAsia"/>
          <w:sz w:val="24"/>
          <w:lang w:val="en-US" w:eastAsia="zh-CN"/>
        </w:rPr>
        <w:t>10</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七、财政拨款“三公”经费支出决算情况说明</w:t>
      </w:r>
      <w:r>
        <w:rPr>
          <w:rFonts w:cs="Arial"/>
          <w:sz w:val="24"/>
        </w:rPr>
        <w:tab/>
      </w:r>
      <w:r>
        <w:rPr>
          <w:rFonts w:cs="Arial" w:hint="eastAsia"/>
          <w:sz w:val="24"/>
        </w:rPr>
        <w:t>1</w:t>
      </w:r>
      <w:r>
        <w:rPr>
          <w:rFonts w:cs="Arial" w:hint="eastAsia"/>
          <w:sz w:val="24"/>
          <w:lang w:val="en-US" w:eastAsia="zh-CN"/>
        </w:rPr>
        <w:t>1</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八、政府性基金预算支出决算情况说明</w:t>
      </w:r>
      <w:r>
        <w:rPr>
          <w:rFonts w:cs="Arial"/>
          <w:sz w:val="24"/>
        </w:rPr>
        <w:tab/>
      </w:r>
      <w:r>
        <w:rPr>
          <w:rFonts w:cs="Arial" w:hint="eastAsia"/>
          <w:sz w:val="24"/>
        </w:rPr>
        <w:t>1</w:t>
      </w:r>
      <w:r>
        <w:rPr>
          <w:rFonts w:cs="Arial" w:hint="eastAsia"/>
          <w:sz w:val="24"/>
          <w:lang w:val="en-US" w:eastAsia="zh-CN"/>
        </w:rPr>
        <w:t>3</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九、国有资本经营预算支出决算情况说明</w:t>
      </w:r>
      <w:r>
        <w:rPr>
          <w:rFonts w:cs="Arial"/>
          <w:sz w:val="24"/>
        </w:rPr>
        <w:tab/>
      </w:r>
      <w:r>
        <w:rPr>
          <w:rFonts w:cs="Arial" w:hint="eastAsia"/>
          <w:sz w:val="24"/>
        </w:rPr>
        <w:t>1</w:t>
      </w:r>
      <w:r>
        <w:rPr>
          <w:rFonts w:cs="Arial" w:hint="eastAsia"/>
          <w:sz w:val="24"/>
          <w:lang w:val="en-US" w:eastAsia="zh-CN"/>
        </w:rPr>
        <w:t>3</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十、其他重要事项的情况说明</w:t>
      </w:r>
      <w:r>
        <w:rPr>
          <w:rFonts w:cs="Arial"/>
          <w:sz w:val="24"/>
        </w:rPr>
        <w:tab/>
      </w:r>
      <w:r>
        <w:rPr>
          <w:rFonts w:cs="Arial" w:hint="eastAsia"/>
          <w:sz w:val="24"/>
        </w:rPr>
        <w:t>1</w:t>
      </w:r>
      <w:r>
        <w:rPr>
          <w:rFonts w:cs="Arial" w:hint="eastAsia"/>
          <w:sz w:val="24"/>
          <w:lang w:val="en-US" w:eastAsia="zh-CN"/>
        </w:rPr>
        <w:t>3</w:t>
      </w:r>
    </w:p>
    <w:p>
      <w:pPr>
        <w:pStyle w:val="24"/>
        <w:tabs>
          <w:tab w:val="right" w:leader="dot" w:pos="8296"/>
        </w:tabs>
        <w:adjustRightInd w:val="0"/>
        <w:snapToGrid w:val="0"/>
        <w:spacing w:before="0" w:line="560" w:lineRule="exact"/>
        <w:jc w:val="left"/>
        <w:rPr>
          <w:rFonts w:ascii="Times New Roman" w:eastAsia="宋体" w:cs="Arial" w:hAnsi="Times New Roman" w:hint="eastAsia"/>
          <w:sz w:val="24"/>
          <w:szCs w:val="24"/>
          <w:lang w:val="en-US" w:eastAsia="zh-CN"/>
        </w:rPr>
      </w:pPr>
      <w:r>
        <w:rPr>
          <w:rFonts w:ascii="Times New Roman" w:eastAsia="黑体" w:cs="黑体" w:hAnsi="Times New Roman" w:hint="eastAsia"/>
          <w:sz w:val="32"/>
          <w:szCs w:val="32"/>
        </w:rPr>
        <w:t>第三部分 名词解释</w:t>
      </w:r>
      <w:r>
        <w:rPr>
          <w:rFonts w:cs="Arial"/>
          <w:sz w:val="24"/>
          <w:szCs w:val="24"/>
        </w:rPr>
        <w:tab/>
      </w:r>
      <w:r>
        <w:rPr>
          <w:rFonts w:ascii="Times New Roman" w:eastAsia="宋体" w:cs="Arial" w:hAnsi="Times New Roman" w:hint="eastAsia"/>
          <w:sz w:val="24"/>
          <w:szCs w:val="24"/>
        </w:rPr>
        <w:t>1</w:t>
      </w:r>
      <w:bookmarkStart w:id="7" w:name="_Toc15377196"/>
      <w:bookmarkStart w:id="8" w:name="_Toc15396599"/>
      <w:r>
        <w:rPr>
          <w:rFonts w:ascii="Times New Roman" w:eastAsia="宋体" w:cs="Arial" w:hAnsi="Times New Roman" w:hint="eastAsia"/>
          <w:sz w:val="24"/>
          <w:szCs w:val="24"/>
          <w:lang w:val="en-US" w:eastAsia="zh-CN"/>
        </w:rPr>
        <w:t>5</w:t>
      </w:r>
    </w:p>
    <w:p>
      <w:pPr>
        <w:pStyle w:val="24"/>
        <w:tabs>
          <w:tab w:val="right" w:leader="dot" w:pos="8296"/>
        </w:tabs>
        <w:adjustRightInd w:val="0"/>
        <w:snapToGrid w:val="0"/>
        <w:spacing w:before="0" w:line="560" w:lineRule="exact"/>
        <w:jc w:val="left"/>
        <w:rPr>
          <w:rFonts w:ascii="Times New Roman" w:eastAsia="宋体" w:cs="Arial" w:hAnsi="Times New Roman"/>
          <w:kern w:val="2"/>
          <w:sz w:val="24"/>
          <w:szCs w:val="24"/>
          <w:lang w:val="en-US" w:eastAsia="zh-CN" w:bidi="ar-SA"/>
        </w:rPr>
      </w:pPr>
      <w:r>
        <w:rPr>
          <w:rFonts w:ascii="Times New Roman" w:eastAsia="黑体" w:cs="黑体" w:hAnsi="Times New Roman" w:hint="eastAsia"/>
          <w:sz w:val="32"/>
          <w:szCs w:val="32"/>
        </w:rPr>
        <w:t>第四部分</w:t>
      </w:r>
      <w:r>
        <w:rPr>
          <w:rFonts w:ascii="Times New Roman" w:eastAsia="黑体" w:cs="黑体" w:hAnsi="Times New Roman" w:hint="eastAsia"/>
          <w:sz w:val="32"/>
          <w:szCs w:val="32"/>
          <w:lang w:val="en-US" w:eastAsia="zh-CN"/>
        </w:rPr>
        <w:t xml:space="preserve"> </w:t>
      </w:r>
      <w:r>
        <w:rPr>
          <w:rFonts w:ascii="Times New Roman" w:eastAsia="黑体" w:cs="黑体" w:hAnsi="Times New Roman" w:hint="eastAsia"/>
          <w:sz w:val="32"/>
          <w:szCs w:val="32"/>
        </w:rPr>
        <w:t>附件</w:t>
      </w:r>
      <w:r>
        <w:rPr>
          <w:rFonts w:cs="Arial"/>
          <w:sz w:val="24"/>
          <w:szCs w:val="24"/>
        </w:rPr>
        <w:tab/>
      </w:r>
      <w:r>
        <w:rPr>
          <w:rFonts w:ascii="Times New Roman" w:eastAsia="宋体" w:cs="Arial" w:hAnsi="Times New Roman" w:hint="eastAsia"/>
          <w:kern w:val="2"/>
          <w:sz w:val="24"/>
          <w:szCs w:val="24"/>
          <w:lang w:val="en-US" w:eastAsia="zh-CN" w:bidi="ar-SA"/>
        </w:rPr>
        <w:t>17</w:t>
      </w:r>
    </w:p>
    <w:p>
      <w:pPr>
        <w:pStyle w:val="24"/>
        <w:tabs>
          <w:tab w:val="right" w:leader="dot" w:pos="8296"/>
        </w:tabs>
        <w:adjustRightInd w:val="0"/>
        <w:snapToGrid w:val="0"/>
        <w:spacing w:before="0" w:line="560" w:lineRule="exact"/>
        <w:jc w:val="left"/>
        <w:rPr>
          <w:rFonts w:ascii="Times New Roman" w:eastAsia="宋体" w:cs="Arial" w:hAnsi="Times New Roman" w:hint="eastAsia"/>
          <w:sz w:val="24"/>
          <w:szCs w:val="24"/>
          <w:lang w:eastAsia="zh-CN"/>
        </w:rPr>
      </w:pPr>
      <w:r>
        <w:rPr>
          <w:rFonts w:ascii="Times New Roman" w:eastAsia="黑体" w:cs="黑体" w:hAnsi="Times New Roman" w:hint="eastAsia"/>
          <w:sz w:val="32"/>
          <w:szCs w:val="32"/>
        </w:rPr>
        <w:t>第五部分</w:t>
      </w:r>
      <w:r>
        <w:rPr>
          <w:rFonts w:ascii="Times New Roman" w:eastAsia="黑体" w:cs="黑体" w:hAnsi="Times New Roman" w:hint="eastAsia"/>
          <w:sz w:val="32"/>
          <w:szCs w:val="32"/>
          <w:lang w:val="en-US" w:eastAsia="zh-CN"/>
        </w:rPr>
        <w:t xml:space="preserve"> </w:t>
      </w:r>
      <w:r>
        <w:rPr>
          <w:rFonts w:ascii="Times New Roman" w:eastAsia="黑体" w:cs="黑体" w:hAnsi="Times New Roman" w:hint="eastAsia"/>
          <w:sz w:val="32"/>
          <w:szCs w:val="32"/>
        </w:rPr>
        <w:t>附表</w:t>
      </w:r>
      <w:r>
        <w:rPr>
          <w:rFonts w:cs="Arial"/>
          <w:sz w:val="24"/>
          <w:szCs w:val="24"/>
        </w:rPr>
        <w:tab/>
      </w:r>
      <w:r>
        <w:rPr>
          <w:rFonts w:ascii="Times New Roman" w:eastAsia="宋体" w:cs="Arial" w:hAnsi="Times New Roman" w:hint="eastAsia"/>
          <w:sz w:val="24"/>
          <w:szCs w:val="24"/>
        </w:rPr>
        <w:t>1</w:t>
      </w:r>
      <w:r>
        <w:rPr>
          <w:rFonts w:ascii="Times New Roman" w:eastAsia="宋体" w:cs="Arial" w:hAnsi="Times New Roman"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一、收入支出决算总表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二、收入决算表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三、支出决算表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四、财政拨款收入支出决算总表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五、财政拨款支出决算明细表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六、一般公共预算财政拨款支出决算表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七、一般公共预算财政拨款支出决算明细表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八、一般公共预算财政拨款基本支出决算明细表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九、一般公共预算财政拨款项目支出决算表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十、政府性基金预算财政拨款收入支出决算表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十一、国有资本经营预算财政拨款收入支出决算表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十二、国有资本经营预算财政拨款支出决算表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宋体" w:cs="仿宋_GB2312" w:hint="eastAsia"/>
          <w:sz w:val="32"/>
          <w:szCs w:val="32"/>
          <w:lang w:eastAsia="zh-CN"/>
        </w:rPr>
      </w:pPr>
      <w:r>
        <w:rPr>
          <w:rFonts w:eastAsia="仿宋_GB2312" w:cs="仿宋_GB2312" w:hint="eastAsia"/>
          <w:sz w:val="32"/>
          <w:szCs w:val="32"/>
        </w:rPr>
        <w:t>十三、财政拨款“三公”经费支出决算表</w:t>
      </w:r>
      <w:r>
        <w:rPr>
          <w:rFonts w:cs="Arial"/>
          <w:sz w:val="24"/>
          <w:szCs w:val="24"/>
        </w:rPr>
        <w:tab/>
      </w:r>
      <w:r>
        <w:rPr>
          <w:rFonts w:ascii="Times New Roman" w:eastAsia="宋体" w:cs="Arial" w:hAnsi="Times New Roman" w:hint="eastAsia"/>
          <w:sz w:val="24"/>
          <w:szCs w:val="24"/>
        </w:rPr>
        <w:t>1</w:t>
      </w:r>
      <w:r>
        <w:rPr>
          <w:rFonts w:cs="Arial" w:hint="eastAsia"/>
          <w:sz w:val="24"/>
          <w:szCs w:val="24"/>
          <w:lang w:val="en-US" w:eastAsia="zh-CN"/>
        </w:rPr>
        <w:t>8</w:t>
      </w:r>
    </w:p>
    <w:p>
      <w:pPr>
        <w:pStyle w:val="25"/>
        <w:tabs>
          <w:tab w:val="right" w:leader="dot" w:pos="8296"/>
        </w:tabs>
        <w:adjustRightInd w:val="0"/>
        <w:snapToGrid w:val="0"/>
        <w:spacing w:line="560" w:lineRule="exact"/>
        <w:ind w:leftChars="0" w:left="0" w:firstLineChars="200" w:firstLine="640"/>
        <w:jc w:val="left"/>
        <w:rPr>
          <w:rFonts w:eastAsia="仿宋_GB2312" w:cs="仿宋_GB2312"/>
          <w:sz w:val="32"/>
          <w:szCs w:val="32"/>
          <w:lang w:val="en-US" w:eastAsia="zh-CN"/>
        </w:rPr>
      </w:pPr>
    </w:p>
    <w:p>
      <w:pPr>
        <w:rPr>
          <w:rFonts w:eastAsia="仿宋_GB2312" w:cs="仿宋_GB2312"/>
          <w:sz w:val="32"/>
          <w:szCs w:val="32"/>
          <w:lang w:val="en-US" w:eastAsia="zh-CN"/>
        </w:rPr>
      </w:pPr>
    </w:p>
    <w:p>
      <w:pPr>
        <w:pStyle w:val="15"/>
        <w:rPr>
          <w:lang w:val="en-US" w:eastAsia="zh-CN"/>
        </w:rPr>
      </w:pPr>
    </w:p>
    <w:p/>
    <w:p/>
    <w:p>
      <w:pPr>
        <w:pStyle w:val="1"/>
        <w:jc w:val="center"/>
        <w:rPr>
          <w:rFonts w:eastAsia="方正小标宋简体" w:cs="方正小标宋简体"/>
          <w:b w:val="0"/>
        </w:rPr>
        <w:sectPr>
          <w:footerReference w:type="default" r:id="rId4"/>
          <w:footerReference w:type="first" r:id="rId5"/>
          <w:pgSz w:w="11906" w:h="16838"/>
          <w:pgMar w:top="1440" w:right="1797" w:bottom="1440" w:left="1797" w:header="851" w:footer="737" w:gutter="0"/>
          <w:pgNumType w:fmt="numberInDash" w:start="2"/>
          <w:titlePg/>
          <w:docGrid w:type="lines" w:linePitch="312" w:charSpace="0"/>
        </w:sectPr>
      </w:pPr>
    </w:p>
    <w:p>
      <w:pPr>
        <w:pStyle w:val="1"/>
        <w:jc w:val="center"/>
        <w:rPr>
          <w:rStyle w:val="1Char"/>
          <w:rFonts w:eastAsia="方正小标宋简体" w:cs="方正小标宋简体"/>
          <w:b/>
          <w:bCs w:val="0"/>
        </w:rPr>
      </w:pPr>
      <w:r>
        <w:rPr>
          <w:rFonts w:eastAsia="方正小标宋简体" w:cs="方正小标宋简体" w:hint="eastAsia"/>
          <w:b w:val="0"/>
        </w:rPr>
        <w:t>第一部分</w:t>
      </w:r>
      <w:r>
        <w:rPr>
          <w:rStyle w:val="1Char"/>
          <w:rFonts w:eastAsia="方正小标宋简体" w:cs="方正小标宋简体" w:hint="eastAsia"/>
          <w:b w:val="0"/>
          <w:bCs w:val="0"/>
        </w:rPr>
        <w:t>单位概况</w:t>
      </w:r>
      <w:bookmarkEnd w:id="7"/>
      <w:bookmarkEnd w:id="8"/>
    </w:p>
    <w:p>
      <w:pPr>
        <w:widowControl/>
        <w:jc w:val="left"/>
        <w:rPr>
          <w:rFonts w:eastAsia="黑体"/>
          <w:sz w:val="32"/>
          <w:szCs w:val="32"/>
        </w:rPr>
      </w:pPr>
    </w:p>
    <w:p>
      <w:pPr>
        <w:pStyle w:val="2"/>
        <w:numPr>
          <w:ilvl w:val="0"/>
          <w:numId w:val="1"/>
        </w:numPr>
        <w:rPr>
          <w:rFonts w:ascii="Times New Roman" w:eastAsia="黑体" w:hAnsi="Times New Roman"/>
          <w:b w:val="0"/>
        </w:rPr>
      </w:pPr>
      <w:r>
        <w:rPr>
          <w:rFonts w:ascii="Times New Roman" w:eastAsia="黑体" w:hAnsi="Times New Roman" w:hint="eastAsia"/>
          <w:b w:val="0"/>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420"/>
        <w:textAlignment w:val="auto"/>
        <w:rPr>
          <w:rFonts w:ascii="仿宋_GB2312" w:eastAsia="仿宋_GB2312" w:cs="仿宋_GB2312" w:hint="eastAsia"/>
          <w:sz w:val="32"/>
          <w:szCs w:val="32"/>
        </w:rPr>
      </w:pPr>
      <w:r>
        <w:rPr>
          <w:rFonts w:hint="eastAsia"/>
        </w:rPr>
        <w:t xml:space="preserve"> </w:t>
      </w:r>
      <w:r>
        <w:rPr>
          <w:rFonts w:ascii="仿宋_GB2312" w:eastAsia="仿宋_GB2312" w:cs="仿宋_GB2312" w:hint="eastAsia"/>
          <w:sz w:val="32"/>
          <w:szCs w:val="32"/>
          <w:lang w:val="en-US" w:eastAsia="zh-CN"/>
        </w:rPr>
        <w:t xml:space="preserve"> 攀枝花市中心血站为全市唯一一家采供血机构，负责在全市范围内开展无偿献血者的招募、血液的采集与制备、血液检测、临床用血供应以及医疗用血的业务指导等工作。</w:t>
      </w:r>
    </w:p>
    <w:p/>
    <w:p>
      <w:pPr>
        <w:pStyle w:val="2"/>
        <w:rPr>
          <w:rStyle w:val="2Char"/>
          <w:rFonts w:ascii="Times New Roman" w:hAnsi="Times New Roman"/>
          <w:b w:val="0"/>
          <w:bCs w:val="0"/>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b w:val="0"/>
          <w:bCs w:val="0"/>
        </w:rPr>
        <w:t>构设置</w:t>
      </w:r>
      <w:bookmarkEnd w:id="9"/>
      <w:bookmarkEnd w:id="10"/>
    </w:p>
    <w:p>
      <w:pPr>
        <w:pStyle w:val="34"/>
        <w:spacing w:line="600" w:lineRule="exact"/>
        <w:jc w:val="left"/>
        <w:outlineLvl w:val="1"/>
        <w:rPr>
          <w:rFonts w:ascii="仿宋_GB2312" w:eastAsia="仿宋_GB2312" w:cs="仿宋_GB2312" w:hint="eastAsia"/>
          <w:sz w:val="32"/>
          <w:szCs w:val="32"/>
        </w:rPr>
      </w:pPr>
      <w:r>
        <w:rPr>
          <w:rFonts w:ascii="仿宋_GB2312" w:eastAsia="仿宋_GB2312" w:cs="仿宋_GB2312" w:hint="eastAsia"/>
          <w:sz w:val="32"/>
          <w:szCs w:val="32"/>
        </w:rPr>
        <w:t>血站核定领导职数3名，202</w:t>
      </w: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年12月，实配领导班子成员2名，副站长2名（正科级）；核定内设科室6个，分别为：办公室、体采科、检验科、成分供血科、质量管理科、综合业务科；配备内设科室领导职数</w:t>
      </w:r>
      <w:r>
        <w:rPr>
          <w:rFonts w:ascii="仿宋_GB2312" w:eastAsia="仿宋_GB2312" w:cs="仿宋_GB2312" w:hint="eastAsia"/>
          <w:sz w:val="32"/>
          <w:szCs w:val="32"/>
          <w:lang w:val="en-US" w:eastAsia="zh-CN"/>
        </w:rPr>
        <w:t>6</w:t>
      </w:r>
      <w:r>
        <w:rPr>
          <w:rFonts w:ascii="仿宋_GB2312" w:eastAsia="仿宋_GB2312" w:cs="仿宋_GB2312" w:hint="eastAsia"/>
          <w:sz w:val="32"/>
          <w:szCs w:val="32"/>
        </w:rPr>
        <w:t>名（</w:t>
      </w: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名正科级，3名副科级）。</w:t>
      </w:r>
    </w:p>
    <w:p>
      <w:pPr>
        <w:pStyle w:val="18"/>
        <w:adjustRightInd w:val="0"/>
        <w:snapToGrid w:val="0"/>
        <w:spacing w:beforeLines="0" w:before="72" w:line="600" w:lineRule="exact"/>
        <w:outlineLvl w:val="2"/>
        <w:rPr>
          <w:sz w:val="32"/>
          <w:szCs w:val="32"/>
        </w:rPr>
      </w:pPr>
    </w:p>
    <w:p>
      <w:pPr>
        <w:pStyle w:val="18"/>
        <w:adjustRightInd w:val="0"/>
        <w:snapToGrid w:val="0"/>
        <w:spacing w:beforeLines="0" w:before="72" w:line="600" w:lineRule="exact"/>
        <w:outlineLvl w:val="2"/>
        <w:rPr>
          <w:rFonts w:ascii="Times New Roman" w:cs="仿宋_GB2312" w:hAnsi="Times New Roman"/>
          <w:sz w:val="32"/>
          <w:szCs w:val="32"/>
        </w:rPr>
        <w:sectPr>
          <w:pgSz w:w="11906" w:h="16838"/>
          <w:pgMar w:top="1440" w:right="1797" w:bottom="1440" w:left="1797" w:header="851" w:footer="737" w:gutter="0"/>
          <w:pgNumType w:fmt="numberInDash"/>
          <w:titlePg/>
          <w:docGrid w:linePitch="312" w:charSpace="0"/>
        </w:sectPr>
      </w:pPr>
    </w:p>
    <w:p>
      <w:pPr>
        <w:pStyle w:val="1"/>
        <w:jc w:val="center"/>
        <w:rPr>
          <w:rFonts w:eastAsia="方正小标宋简体" w:cs="方正小标宋简体"/>
          <w:b w:val="0"/>
        </w:rPr>
      </w:pPr>
      <w:bookmarkStart w:id="11" w:name="_Toc15377204"/>
      <w:bookmarkStart w:id="12" w:name="_Toc15396602"/>
      <w:r>
        <w:rPr>
          <w:rFonts w:eastAsia="方正小标宋简体" w:cs="方正小标宋简体" w:hint="eastAsia"/>
          <w:b w:val="0"/>
        </w:rPr>
        <w:t>第二部分2024年度单位决算情况说明</w:t>
      </w:r>
      <w:bookmarkEnd w:id="11"/>
      <w:bookmarkEnd w:id="12"/>
    </w:p>
    <w:p>
      <w:pPr>
        <w:pStyle w:val="34"/>
        <w:spacing w:line="600" w:lineRule="exact"/>
        <w:outlineLvl w:val="1"/>
        <w:rPr>
          <w:rStyle w:val="2Char"/>
          <w:rFonts w:ascii="Times New Roman" w:eastAsia="黑体" w:hAnsi="Times New Roman"/>
          <w:b w:val="0"/>
        </w:rPr>
      </w:pPr>
      <w:bookmarkStart w:id="13" w:name="_Toc15396603"/>
      <w:bookmarkStart w:id="14" w:name="_Toc15377205"/>
      <w:r>
        <w:rPr>
          <w:rFonts w:eastAsia="黑体" w:hint="eastAsia"/>
          <w:sz w:val="32"/>
          <w:szCs w:val="32"/>
        </w:rPr>
        <w:t>一、收</w:t>
      </w:r>
      <w:r>
        <w:rPr>
          <w:rStyle w:val="2Char"/>
          <w:rFonts w:ascii="Times New Roman" w:eastAsia="黑体" w:hAnsi="Times New Roman" w:hint="eastAsia"/>
          <w:b w:val="0"/>
        </w:rPr>
        <w:t>入支出决算总体情况说明</w:t>
      </w:r>
      <w:bookmarkEnd w:id="13"/>
      <w:bookmarkEnd w:id="14"/>
    </w:p>
    <w:p>
      <w:pPr>
        <w:pStyle w:val="34"/>
        <w:spacing w:line="600" w:lineRule="exact"/>
        <w:jc w:val="left"/>
        <w:outlineLvl w:val="1"/>
        <w:rPr>
          <w:rFonts w:ascii="仿宋_GB2312" w:eastAsia="仿宋_GB2312" w:cs="仿宋_GB2312" w:hint="eastAsia"/>
          <w:sz w:val="32"/>
          <w:szCs w:val="32"/>
        </w:rPr>
      </w:pPr>
      <w:r>
        <w:rPr>
          <w:rFonts w:ascii="仿宋_GB2312" w:eastAsia="仿宋_GB2312" w:cs="仿宋_GB2312" w:hint="eastAsia"/>
          <w:sz w:val="32"/>
          <w:szCs w:val="32"/>
        </w:rPr>
        <w:t>2024年度收入、支出总计均为1930.08万元。与2023年度相比，收入、支出总计各减少175.35万元，下降8.33%。主要变动原因是项目及人员经费均有减少。</w:t>
      </w:r>
    </w:p>
    <w:p>
      <w:pPr>
        <w:rPr>
          <w:rFonts w:eastAsia="仿宋_GB2312" w:cs="仿宋_GB2312"/>
          <w:sz w:val="32"/>
          <w:szCs w:val="32"/>
        </w:rPr>
      </w:pPr>
      <w:r>
        <w:rPr>
          <w:rFonts w:eastAsia="仿宋_GB2312" w:cs="仿宋_GB2312" w:hint="eastAsia"/>
          <w:sz w:val="32"/>
          <w:szCs w:val="32"/>
        </w:rPr>
        <w:drawing>
          <wp:inline distT="0" distB="0" distL="114300" distR="114300">
            <wp:extent cx="5112385" cy="2861945"/>
            <wp:effectExtent l="0" t="0" r="0" b="0"/>
            <wp:docPr id="1" name="图表 7"/>
            <wp:cNvGraphicFramePr>
              <a:graphicFrameLocks noChangeAspect="0"/>
            </wp:cNvGraphicFramePr>
            <a:graphic>
              <a:graphicData uri="http://schemas.openxmlformats.org/drawingml/2006/chart">
                <c:chart xmlns:c="http://schemas.openxmlformats.org/drawingml/2006/chart" r:id="rId6"/>
              </a:graphicData>
            </a:graphic>
          </wp:inline>
        </w:drawing>
      </w:r>
      <w:r>
        <w:rPr>
          <w:rFonts w:eastAsia="仿宋_GB2312" w:cs="仿宋_GB2312" w:hint="eastAsia"/>
          <w:sz w:val="32"/>
          <w:szCs w:val="32"/>
        </w:rPr>
        <w:t xml:space="preserve">   （图1：收入、支出决算总计变动情况图）（柱状图）</w:t>
      </w:r>
    </w:p>
    <w:p>
      <w:pPr>
        <w:ind w:firstLineChars="200" w:firstLine="640"/>
        <w:rPr>
          <w:rFonts w:eastAsia="黑体"/>
          <w:sz w:val="32"/>
          <w:szCs w:val="32"/>
        </w:rPr>
      </w:pPr>
      <w:bookmarkStart w:id="15" w:name="_Toc15377206"/>
      <w:bookmarkStart w:id="16" w:name="_Toc15396604"/>
    </w:p>
    <w:p>
      <w:pPr>
        <w:ind w:firstLineChars="200" w:firstLine="640"/>
        <w:rPr>
          <w:rFonts w:eastAsia="仿宋_GB2312" w:cs="仿宋_GB2312"/>
          <w:sz w:val="32"/>
          <w:szCs w:val="32"/>
        </w:rPr>
      </w:pPr>
      <w:r>
        <w:rPr>
          <w:rFonts w:eastAsia="黑体" w:hint="eastAsia"/>
          <w:sz w:val="32"/>
          <w:szCs w:val="32"/>
        </w:rPr>
        <w:t>二、收入决算情况说明</w:t>
      </w:r>
      <w:bookmarkEnd w:id="15"/>
      <w:bookmarkEnd w:id="16"/>
    </w:p>
    <w:p>
      <w:pPr>
        <w:pStyle w:val="34"/>
        <w:spacing w:line="600" w:lineRule="exact"/>
        <w:jc w:val="left"/>
        <w:outlineLvl w:val="1"/>
        <w:rPr>
          <w:rFonts w:ascii="仿宋_GB2312" w:eastAsia="仿宋_GB2312" w:cs="仿宋_GB2312"/>
          <w:sz w:val="32"/>
          <w:szCs w:val="32"/>
        </w:rPr>
      </w:pPr>
      <w:r>
        <w:rPr>
          <w:rFonts w:ascii="仿宋_GB2312" w:eastAsia="仿宋_GB2312" w:cs="仿宋_GB2312" w:hint="eastAsia"/>
          <w:sz w:val="32"/>
          <w:szCs w:val="32"/>
        </w:rPr>
        <w:t>2024年度本年收入合计1930.08万元，其中：一般公共预算财政拨款收入1930.08万元，占100%。</w:t>
      </w:r>
    </w:p>
    <w:p>
      <w:pPr>
        <w:rPr>
          <w:rFonts w:eastAsia="仿宋_GB2312" w:cs="仿宋_GB2312"/>
          <w:sz w:val="32"/>
          <w:szCs w:val="32"/>
        </w:rPr>
      </w:pPr>
      <w:r>
        <w:rPr>
          <w:rFonts w:eastAsia="仿宋_GB2312" w:cs="仿宋_GB2312" w:hint="eastAsia"/>
          <w:sz w:val="32"/>
          <w:szCs w:val="32"/>
        </w:rPr>
        <w:drawing>
          <wp:inline distT="0" distB="0" distL="0" distR="0">
            <wp:extent cx="5260340" cy="2623819"/>
            <wp:effectExtent l="0" t="0" r="0" b="0"/>
            <wp:docPr id="2" name="图表 5"/>
            <wp:cNvGraphicFramePr>
              <a:graphicFrameLocks noChangeAspect="0"/>
            </wp:cNvGraphicFramePr>
            <a:graphic>
              <a:graphicData uri="http://schemas.openxmlformats.org/drawingml/2006/chart">
                <c:chart xmlns:c="http://schemas.openxmlformats.org/drawingml/2006/chart" r:id="rId7"/>
              </a:graphicData>
            </a:graphic>
          </wp:inline>
        </w:drawing>
      </w:r>
    </w:p>
    <w:p>
      <w:pPr>
        <w:ind w:firstLineChars="250" w:firstLine="800"/>
        <w:rPr>
          <w:rStyle w:val="2Char"/>
          <w:rFonts w:ascii="Times New Roman" w:eastAsia="仿宋_GB2312" w:cs="仿宋_GB2312" w:hAnsi="Times New Roman"/>
          <w:b w:val="0"/>
          <w:bCs w:val="0"/>
        </w:rPr>
      </w:pPr>
      <w:r>
        <w:rPr>
          <w:rFonts w:eastAsia="仿宋_GB2312" w:cs="仿宋_GB2312" w:hint="eastAsia"/>
          <w:sz w:val="32"/>
          <w:szCs w:val="32"/>
        </w:rPr>
        <w:t>（图2：收入决算结构图）（饼状图）</w:t>
      </w:r>
    </w:p>
    <w:p>
      <w:pPr>
        <w:pStyle w:val="15"/>
      </w:pPr>
    </w:p>
    <w:p>
      <w:pPr>
        <w:pStyle w:val="34"/>
        <w:spacing w:line="600" w:lineRule="exact"/>
        <w:outlineLvl w:val="1"/>
        <w:rPr>
          <w:rStyle w:val="2Char"/>
          <w:rFonts w:ascii="Times New Roman" w:eastAsia="黑体" w:hAnsi="Times New Roman"/>
          <w:b w:val="0"/>
        </w:rPr>
      </w:pPr>
      <w:r>
        <w:rPr>
          <w:rFonts w:eastAsia="黑体" w:hint="eastAsia"/>
          <w:sz w:val="32"/>
          <w:szCs w:val="32"/>
        </w:rPr>
        <w:t>三、</w:t>
      </w:r>
      <w:bookmarkStart w:id="17" w:name="_Toc15377207"/>
      <w:bookmarkStart w:id="18" w:name="_Toc15396605"/>
      <w:r>
        <w:rPr>
          <w:rFonts w:eastAsia="黑体" w:hint="eastAsia"/>
          <w:sz w:val="32"/>
          <w:szCs w:val="32"/>
        </w:rPr>
        <w:t>支</w:t>
      </w:r>
      <w:r>
        <w:rPr>
          <w:rStyle w:val="2Char"/>
          <w:rFonts w:ascii="Times New Roman" w:eastAsia="黑体" w:hAnsi="Times New Roman" w:hint="eastAsia"/>
          <w:b w:val="0"/>
        </w:rPr>
        <w:t>出决算情况说明</w:t>
      </w:r>
      <w:bookmarkEnd w:id="17"/>
      <w:bookmarkEnd w:id="18"/>
    </w:p>
    <w:p>
      <w:pPr>
        <w:pStyle w:val="34"/>
        <w:spacing w:line="600" w:lineRule="exact"/>
        <w:jc w:val="left"/>
        <w:outlineLvl w:val="1"/>
        <w:rPr>
          <w:rFonts w:ascii="仿宋_GB2312" w:eastAsia="仿宋_GB2312" w:cs="仿宋_GB2312"/>
          <w:sz w:val="32"/>
          <w:szCs w:val="32"/>
        </w:rPr>
      </w:pPr>
      <w:r>
        <w:rPr>
          <w:rFonts w:ascii="仿宋_GB2312" w:eastAsia="仿宋_GB2312" w:cs="仿宋_GB2312" w:hint="eastAsia"/>
          <w:sz w:val="32"/>
          <w:szCs w:val="32"/>
        </w:rPr>
        <w:t>2024年度本年支出合计1930.08万元，其中：基本支出1076.98万元，占55.79%；项目支出853.1万元，占44.2%。</w:t>
      </w:r>
    </w:p>
    <w:p>
      <w:pPr>
        <w:rPr>
          <w:rFonts w:eastAsia="仿宋_GB2312" w:cs="仿宋_GB2312"/>
          <w:sz w:val="32"/>
          <w:szCs w:val="32"/>
        </w:rPr>
      </w:pPr>
      <w:r>
        <w:rPr>
          <w:rFonts w:eastAsia="仿宋_GB2312" w:cs="仿宋_GB2312" w:hint="eastAsia"/>
          <w:sz w:val="32"/>
          <w:szCs w:val="32"/>
        </w:rPr>
        <w:drawing>
          <wp:inline distT="0" distB="0" distL="0" distR="0">
            <wp:extent cx="5316220" cy="2782570"/>
            <wp:effectExtent l="0" t="0" r="0" b="0"/>
            <wp:docPr id="3" name="图表 8"/>
            <wp:cNvGraphicFramePr>
              <a:graphicFrameLocks noChangeAspect="0"/>
            </wp:cNvGraphicFramePr>
            <a:graphic>
              <a:graphicData uri="http://schemas.openxmlformats.org/drawingml/2006/chart">
                <c:chart xmlns:c="http://schemas.openxmlformats.org/drawingml/2006/chart" r:id="rId8"/>
              </a:graphicData>
            </a:graphic>
          </wp:inline>
        </w:drawing>
      </w:r>
    </w:p>
    <w:p>
      <w:pPr>
        <w:pStyle w:val="15"/>
        <w:jc w:val="center"/>
        <w:rPr>
          <w:rFonts w:eastAsia="仿宋_GB2312" w:cs="仿宋_GB2312"/>
          <w:sz w:val="32"/>
          <w:szCs w:val="32"/>
        </w:rPr>
      </w:pPr>
      <w:r>
        <w:rPr>
          <w:rFonts w:eastAsia="仿宋_GB2312" w:cs="仿宋_GB2312" w:hint="eastAsia"/>
          <w:sz w:val="32"/>
          <w:szCs w:val="32"/>
        </w:rPr>
        <w:t>（图3：支出决算结构图）（饼状图）</w:t>
      </w:r>
    </w:p>
    <w:p>
      <w:pPr>
        <w:pStyle w:val="17"/>
      </w:pPr>
    </w:p>
    <w:p>
      <w:pPr>
        <w:spacing w:line="600" w:lineRule="exact"/>
        <w:ind w:firstLineChars="200" w:firstLine="640"/>
        <w:outlineLvl w:val="1"/>
        <w:rPr>
          <w:rStyle w:val="2Char"/>
          <w:rFonts w:ascii="Times New Roman" w:eastAsia="黑体" w:hAnsi="Times New Roman"/>
          <w:b w:val="0"/>
        </w:rPr>
      </w:pPr>
      <w:bookmarkStart w:id="19" w:name="_Toc15377208"/>
      <w:bookmarkStart w:id="20"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19"/>
      <w:bookmarkEnd w:id="20"/>
    </w:p>
    <w:p>
      <w:pPr>
        <w:pStyle w:val="34"/>
        <w:spacing w:line="600" w:lineRule="exact"/>
        <w:jc w:val="left"/>
        <w:outlineLvl w:val="1"/>
        <w:rPr>
          <w:rFonts w:ascii="仿宋_GB2312" w:eastAsia="仿宋_GB2312" w:cs="仿宋_GB2312" w:hint="eastAsia"/>
          <w:sz w:val="32"/>
          <w:szCs w:val="32"/>
        </w:rPr>
      </w:pPr>
      <w:r>
        <w:rPr>
          <w:rFonts w:ascii="仿宋_GB2312" w:eastAsia="仿宋_GB2312" w:cs="仿宋_GB2312" w:hint="eastAsia"/>
          <w:sz w:val="32"/>
          <w:szCs w:val="32"/>
        </w:rPr>
        <w:t>2024年度财政拨款收入、支出总计均为1930.08万元。与2023年度相比，财政拨款收入总计、支出总计各减少175.35万元，下降8.33%。主要变动原因是项目及人员经费均有减少。</w:t>
      </w:r>
    </w:p>
    <w:p>
      <w:pPr>
        <w:pStyle w:val="17"/>
        <w:ind w:leftChars="0" w:left="0" w:firstLineChars="0" w:firstLine="0"/>
      </w:pPr>
      <w:r>
        <w:rPr>
          <w:rFonts w:ascii="Times New Roman" w:hAnsi="Times New Roman" w:hint="eastAsia"/>
          <w:sz w:val="18"/>
          <w:szCs w:val="18"/>
        </w:rPr>
        <w:drawing>
          <wp:inline distT="0" distB="0" distL="114300" distR="114300">
            <wp:extent cx="5112385" cy="2861945"/>
            <wp:effectExtent l="0" t="0" r="0" b="0"/>
            <wp:docPr id="4" name="图表 7"/>
            <wp:cNvGraphicFramePr>
              <a:graphicFrameLocks noChangeAspect="0"/>
            </wp:cNvGraphicFramePr>
            <a:graphic>
              <a:graphicData uri="http://schemas.openxmlformats.org/drawingml/2006/chart">
                <c:chart xmlns:c="http://schemas.openxmlformats.org/drawingml/2006/chart" r:id="rId9"/>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center"/>
        <w:textAlignment w:val="auto"/>
        <w:rPr>
          <w:rFonts w:eastAsia="仿宋_GB2312" w:cs="仿宋_GB2312"/>
          <w:sz w:val="32"/>
          <w:szCs w:val="32"/>
        </w:rPr>
      </w:pPr>
      <w:r>
        <w:rPr>
          <w:rFonts w:eastAsia="仿宋_GB2312" w:cs="仿宋_GB2312" w:hint="eastAsia"/>
          <w:sz w:val="32"/>
          <w:szCs w:val="32"/>
        </w:rPr>
        <w:t>（图4：财政拨款收、支决算总计变动情况）（柱状图）</w:t>
      </w:r>
    </w:p>
    <w:p>
      <w:pPr>
        <w:spacing w:line="600" w:lineRule="exact"/>
        <w:ind w:firstLine="640"/>
        <w:rPr>
          <w:rFonts w:eastAsia="仿宋_GB2312" w:cs="仿宋_GB2312"/>
          <w:sz w:val="32"/>
          <w:szCs w:val="32"/>
        </w:rPr>
      </w:pPr>
    </w:p>
    <w:p>
      <w:pPr>
        <w:spacing w:line="600" w:lineRule="exact"/>
        <w:ind w:firstLineChars="200" w:firstLine="640"/>
        <w:outlineLvl w:val="1"/>
        <w:rPr>
          <w:rStyle w:val="2Char"/>
          <w:rFonts w:ascii="Times New Roman" w:eastAsia="黑体" w:hAnsi="Times New Roman"/>
          <w:b w:val="0"/>
        </w:rPr>
      </w:pPr>
      <w:bookmarkStart w:id="21" w:name="_Toc15396607"/>
      <w:bookmarkStart w:id="22" w:name="_Toc15377209"/>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1"/>
      <w:bookmarkEnd w:id="22"/>
    </w:p>
    <w:p>
      <w:pPr>
        <w:spacing w:line="600" w:lineRule="exact"/>
        <w:ind w:firstLineChars="200" w:firstLine="640"/>
        <w:outlineLvl w:val="2"/>
        <w:rPr>
          <w:rFonts w:eastAsia="楷体_GB2312" w:cs="楷体_GB2312"/>
          <w:b/>
          <w:sz w:val="32"/>
          <w:szCs w:val="32"/>
        </w:rPr>
      </w:pPr>
      <w:bookmarkStart w:id="23" w:name="_Toc15377210"/>
      <w:r>
        <w:rPr>
          <w:rFonts w:eastAsia="楷体_GB2312" w:cs="楷体_GB2312" w:hint="eastAsia"/>
          <w:b/>
          <w:sz w:val="32"/>
          <w:szCs w:val="32"/>
        </w:rPr>
        <w:t>（一）一般公共预算财政拨款支出决算总体情况</w:t>
      </w:r>
      <w:bookmarkEnd w:id="23"/>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2024年度一般公共预算财政拨款支出1930.08万元，占本年支出合计的100%。与2023年度相比，一般公共预算财政拨款支出增加624.53万元，增长47.84%。主要变动原因是今年的支出均为一般公共预算财政拨款支出，去年有政府性基金预算财政拨款支出，故今年的一般公共预算财政拨款支出上涨较多。</w:t>
      </w:r>
    </w:p>
    <w:p>
      <w:pPr>
        <w:pStyle w:val="15"/>
      </w:pPr>
    </w:p>
    <w:p>
      <w:pPr>
        <w:pStyle w:val="17"/>
      </w:pPr>
    </w:p>
    <w:p>
      <w:pPr>
        <w:pStyle w:val="17"/>
        <w:ind w:leftChars="0" w:left="0" w:firstLineChars="0" w:firstLine="0"/>
      </w:pPr>
      <w:r>
        <w:rPr>
          <w:rFonts w:hint="eastAsia"/>
        </w:rPr>
        <w:drawing>
          <wp:inline distT="0" distB="0" distL="114300" distR="114300">
            <wp:extent cx="5274310" cy="2912745"/>
            <wp:effectExtent l="0" t="0" r="0" b="0"/>
            <wp:docPr id="5" name="图表 11"/>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rPr>
          <w:rFonts w:eastAsia="仿宋_GB2312" w:cs="仿宋_GB2312"/>
          <w:sz w:val="32"/>
          <w:szCs w:val="32"/>
        </w:rPr>
      </w:pPr>
      <w:r>
        <w:rPr>
          <w:rFonts w:eastAsia="仿宋_GB2312" w:cs="仿宋_GB2312" w:hint="eastAsia"/>
          <w:sz w:val="32"/>
          <w:szCs w:val="32"/>
        </w:rPr>
        <w:t>（图5：一般公共预算财政拨款支出决算变动情况）（柱状图）</w:t>
      </w:r>
    </w:p>
    <w:p>
      <w:pPr>
        <w:spacing w:line="600" w:lineRule="exact"/>
        <w:ind w:firstLine="640"/>
        <w:rPr>
          <w:rFonts w:eastAsia="仿宋_GB2312" w:cs="仿宋_GB2312"/>
          <w:sz w:val="32"/>
          <w:szCs w:val="32"/>
        </w:rPr>
      </w:pPr>
    </w:p>
    <w:p>
      <w:pPr>
        <w:spacing w:line="600" w:lineRule="exact"/>
        <w:ind w:firstLineChars="200" w:firstLine="640"/>
        <w:outlineLvl w:val="2"/>
        <w:rPr>
          <w:rFonts w:eastAsia="楷体_GB2312" w:cs="楷体_GB2312"/>
          <w:b/>
          <w:sz w:val="32"/>
          <w:szCs w:val="32"/>
        </w:rPr>
      </w:pPr>
      <w:bookmarkStart w:id="24" w:name="_Toc15377211"/>
      <w:r>
        <w:rPr>
          <w:rFonts w:eastAsia="楷体_GB2312" w:cs="楷体_GB2312" w:hint="eastAsia"/>
          <w:b/>
          <w:sz w:val="32"/>
          <w:szCs w:val="32"/>
        </w:rPr>
        <w:t>（二）一般公共预算财政拨款支出决算结构情况</w:t>
      </w:r>
      <w:bookmarkEnd w:id="24"/>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2024年度一般公共预算财政拨款支出1930.08万元，主要用于以下方面：社会保障和就业支出274.21万元，占14.21%；卫生健康支出1585.86万元，占82.17%；住房保障支出70.01万元，占3.63%。</w:t>
      </w:r>
    </w:p>
    <w:p>
      <w:pPr>
        <w:pStyle w:val="15"/>
      </w:pPr>
      <w:r>
        <w:rPr>
          <w:rFonts w:hint="eastAsia"/>
        </w:rPr>
        <w:drawing>
          <wp:inline distT="0" distB="0" distL="0" distR="0">
            <wp:extent cx="5376545" cy="2520315"/>
            <wp:effectExtent l="0" t="0" r="0" b="0"/>
            <wp:docPr id="6" name="图表 14"/>
            <wp:cNvGraphicFramePr>
              <a:graphicFrameLocks noChangeAspect="0"/>
            </wp:cNvGraphicFramePr>
            <a:graphic>
              <a:graphicData uri="http://schemas.openxmlformats.org/drawingml/2006/chart">
                <c:chart xmlns:c="http://schemas.openxmlformats.org/drawingml/2006/chart" r:id="rId11"/>
              </a:graphicData>
            </a:graphic>
          </wp:inline>
        </w:drawing>
      </w:r>
    </w:p>
    <w:p>
      <w:pPr>
        <w:pStyle w:val="17"/>
        <w:ind w:leftChars="0" w:left="0" w:firstLineChars="0" w:firstLine="0"/>
      </w:pPr>
    </w:p>
    <w:p>
      <w:pPr>
        <w:spacing w:line="600" w:lineRule="exact"/>
        <w:jc w:val="center"/>
        <w:rPr>
          <w:rFonts w:eastAsia="仿宋_GB2312" w:cs="仿宋_GB2312"/>
          <w:sz w:val="32"/>
          <w:szCs w:val="32"/>
        </w:rPr>
      </w:pPr>
      <w:r>
        <w:rPr>
          <w:rFonts w:eastAsia="仿宋_GB2312" w:cs="仿宋_GB2312" w:hint="eastAsia"/>
          <w:sz w:val="32"/>
          <w:szCs w:val="32"/>
        </w:rPr>
        <w:t>（图6：一般公共预算财政拨款支出决算结构）（饼状图）</w:t>
      </w:r>
    </w:p>
    <w:p>
      <w:pPr>
        <w:spacing w:line="600" w:lineRule="exact"/>
        <w:ind w:firstLineChars="200" w:firstLine="640"/>
        <w:outlineLvl w:val="2"/>
        <w:rPr>
          <w:rFonts w:eastAsia="楷体_GB2312" w:cs="楷体_GB2312"/>
          <w:b/>
          <w:sz w:val="32"/>
          <w:szCs w:val="32"/>
        </w:rPr>
      </w:pPr>
      <w:bookmarkStart w:id="25" w:name="_Toc15377212"/>
      <w:r>
        <w:rPr>
          <w:rFonts w:eastAsia="楷体_GB2312" w:cs="楷体_GB2312" w:hint="eastAsia"/>
          <w:b/>
          <w:sz w:val="32"/>
          <w:szCs w:val="32"/>
        </w:rPr>
        <w:t>（三）一般公共预算财政拨款支出决算具体情况</w:t>
      </w:r>
      <w:bookmarkEnd w:id="25"/>
    </w:p>
    <w:p>
      <w:pPr>
        <w:spacing w:line="600" w:lineRule="exact"/>
        <w:ind w:firstLine="640"/>
        <w:rPr>
          <w:rFonts w:ascii="仿宋_GB2312" w:eastAsia="仿宋_GB2312" w:cs="仿宋_GB2312"/>
          <w:sz w:val="32"/>
          <w:szCs w:val="32"/>
        </w:rPr>
      </w:pPr>
      <w:bookmarkStart w:id="26" w:name="_Toc15377444"/>
      <w:bookmarkStart w:id="27" w:name="_Toc15377213"/>
      <w:bookmarkStart w:id="28" w:name="_Toc15378460"/>
      <w:r>
        <w:rPr>
          <w:rFonts w:ascii="仿宋_GB2312" w:eastAsia="仿宋_GB2312" w:cs="仿宋_GB2312" w:hint="eastAsia"/>
          <w:sz w:val="32"/>
          <w:szCs w:val="32"/>
        </w:rPr>
        <w:t>2024年度一般公共预算财政拨款支出决算数为1930.08，完成预算100%。其中：</w:t>
      </w:r>
      <w:bookmarkEnd w:id="26"/>
      <w:bookmarkEnd w:id="27"/>
      <w:bookmarkEnd w:id="28"/>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1.社会保障和就业支出（类）行政事业单位养老支出（款）机关事业单位基本养老保险缴费支出（项）：支出决算为93.01万元，完成预算100%，决算数等于预算数。</w:t>
      </w:r>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hint="eastAsia"/>
        </w:rPr>
        <w:t xml:space="preserve"> </w:t>
      </w:r>
      <w:r>
        <w:rPr>
          <w:rFonts w:ascii="仿宋_GB2312" w:eastAsia="仿宋_GB2312" w:cs="仿宋_GB2312" w:hint="eastAsia"/>
          <w:sz w:val="32"/>
          <w:szCs w:val="32"/>
        </w:rPr>
        <w:t>社会保障和就业支出（类）行政事业单位养老支出（款）事业单位离退休（项）：支出决算为136万元，完成预算100%，决算数等于预算数。</w:t>
      </w:r>
    </w:p>
    <w:p>
      <w:pPr>
        <w:spacing w:line="600" w:lineRule="exact"/>
        <w:ind w:firstLine="640"/>
        <w:rPr>
          <w:rStyle w:val="27"/>
          <w:rFonts w:ascii="仿宋_GB2312" w:eastAsia="仿宋_GB2312"/>
          <w:b w:val="0"/>
          <w:bCs/>
          <w:sz w:val="32"/>
          <w:szCs w:val="32"/>
        </w:rPr>
      </w:pPr>
      <w:r>
        <w:rPr>
          <w:rFonts w:ascii="仿宋_GB2312" w:eastAsia="仿宋_GB2312" w:cs="仿宋_GB2312" w:hint="eastAsia"/>
          <w:sz w:val="32"/>
          <w:szCs w:val="32"/>
        </w:rPr>
        <w:t>3.</w:t>
      </w:r>
      <w:r>
        <w:rPr>
          <w:rStyle w:val="27"/>
          <w:rFonts w:ascii="仿宋_GB2312" w:eastAsia="仿宋_GB2312" w:hint="eastAsia"/>
          <w:bCs/>
          <w:sz w:val="32"/>
          <w:szCs w:val="32"/>
        </w:rPr>
        <w:t xml:space="preserve"> </w:t>
      </w:r>
      <w:r>
        <w:rPr>
          <w:rStyle w:val="27"/>
          <w:rFonts w:ascii="仿宋_GB2312" w:eastAsia="仿宋_GB2312" w:hint="eastAsia"/>
          <w:b w:val="0"/>
          <w:bCs/>
          <w:sz w:val="32"/>
          <w:szCs w:val="32"/>
        </w:rPr>
        <w:t>社会保障和就业支出（类）行政事业单位养老支出（款）机关事业单位职业年金缴费支出（项）</w:t>
      </w:r>
      <w:r>
        <w:rPr>
          <w:rFonts w:ascii="仿宋_GB2312" w:eastAsia="仿宋_GB2312" w:cs="仿宋_GB2312" w:hint="eastAsia"/>
          <w:sz w:val="32"/>
          <w:szCs w:val="32"/>
        </w:rPr>
        <w:t>：</w:t>
      </w:r>
      <w:r>
        <w:rPr>
          <w:rStyle w:val="27"/>
          <w:rFonts w:ascii="仿宋_GB2312" w:eastAsia="仿宋_GB2312" w:hint="eastAsia"/>
          <w:b w:val="0"/>
          <w:bCs/>
          <w:sz w:val="32"/>
          <w:szCs w:val="32"/>
        </w:rPr>
        <w:t>支出决算为7.14万元，完成预算100%，决算数等于预算数。</w:t>
      </w:r>
    </w:p>
    <w:p>
      <w:pPr>
        <w:spacing w:line="600" w:lineRule="exact"/>
        <w:ind w:firstLine="640"/>
        <w:rPr>
          <w:rStyle w:val="27"/>
          <w:bCs/>
        </w:rPr>
      </w:pPr>
      <w:r>
        <w:rPr>
          <w:rFonts w:ascii="仿宋_GB2312" w:eastAsia="仿宋_GB2312" w:cs="仿宋_GB2312" w:hint="eastAsia"/>
          <w:sz w:val="32"/>
          <w:szCs w:val="32"/>
        </w:rPr>
        <w:t>4.</w:t>
      </w:r>
      <w:r>
        <w:rPr>
          <w:rStyle w:val="27"/>
          <w:rFonts w:ascii="仿宋_GB2312" w:eastAsia="仿宋_GB2312" w:hint="eastAsia"/>
          <w:bCs/>
          <w:sz w:val="32"/>
          <w:szCs w:val="32"/>
        </w:rPr>
        <w:t xml:space="preserve"> </w:t>
      </w:r>
      <w:r>
        <w:rPr>
          <w:rStyle w:val="27"/>
          <w:rFonts w:ascii="仿宋_GB2312" w:eastAsia="仿宋_GB2312" w:hint="eastAsia"/>
          <w:b w:val="0"/>
          <w:bCs/>
          <w:sz w:val="32"/>
          <w:szCs w:val="32"/>
        </w:rPr>
        <w:t>社会保障和就业支出（类）抚恤（款）死亡抚恤（项）</w:t>
      </w:r>
      <w:r>
        <w:rPr>
          <w:rFonts w:ascii="仿宋_GB2312" w:eastAsia="仿宋_GB2312" w:cs="仿宋_GB2312" w:hint="eastAsia"/>
          <w:sz w:val="32"/>
          <w:szCs w:val="32"/>
        </w:rPr>
        <w:t>：</w:t>
      </w:r>
      <w:r>
        <w:rPr>
          <w:rStyle w:val="27"/>
          <w:rFonts w:ascii="仿宋_GB2312" w:eastAsia="仿宋_GB2312" w:hint="eastAsia"/>
          <w:b w:val="0"/>
          <w:bCs/>
          <w:sz w:val="32"/>
          <w:szCs w:val="32"/>
        </w:rPr>
        <w:t>支出决算为38.06万元，完成预算100%，决算数等于预算数。</w:t>
      </w:r>
    </w:p>
    <w:p>
      <w:pPr>
        <w:spacing w:line="600" w:lineRule="exact"/>
        <w:ind w:firstLine="640"/>
        <w:rPr>
          <w:rStyle w:val="27"/>
          <w:rFonts w:ascii="仿宋_GB2312" w:eastAsia="仿宋_GB2312"/>
          <w:b w:val="0"/>
          <w:bCs/>
          <w:sz w:val="32"/>
          <w:szCs w:val="32"/>
        </w:rPr>
      </w:pPr>
      <w:r>
        <w:rPr>
          <w:rStyle w:val="27"/>
          <w:rFonts w:ascii="仿宋_GB2312" w:eastAsia="仿宋_GB2312" w:hint="eastAsia"/>
          <w:b w:val="0"/>
          <w:bCs/>
          <w:sz w:val="32"/>
          <w:szCs w:val="32"/>
        </w:rPr>
        <w:t>5. 卫生健康支出（类）公共卫生（款）采供血机构（项）:支出决算为1477.11万元，完成预算100%，决算数等于预算数。</w:t>
      </w:r>
    </w:p>
    <w:p>
      <w:pPr>
        <w:spacing w:line="600" w:lineRule="exact"/>
        <w:ind w:firstLine="640"/>
        <w:rPr>
          <w:rStyle w:val="27"/>
          <w:rFonts w:ascii="仿宋_GB2312" w:eastAsia="仿宋_GB2312"/>
          <w:b w:val="0"/>
          <w:bCs/>
          <w:sz w:val="32"/>
          <w:szCs w:val="32"/>
        </w:rPr>
      </w:pPr>
      <w:r>
        <w:rPr>
          <w:rStyle w:val="27"/>
          <w:rFonts w:ascii="仿宋_GB2312" w:eastAsia="仿宋_GB2312" w:hint="eastAsia"/>
          <w:b w:val="0"/>
          <w:bCs/>
          <w:sz w:val="32"/>
          <w:szCs w:val="32"/>
        </w:rPr>
        <w:t>6. 卫生健康支出（类）公共卫生（款）重大公共卫生服务（项）:支出决算为53.1万元，完成预算100%，决算数等于预算数。</w:t>
      </w:r>
    </w:p>
    <w:p>
      <w:pPr>
        <w:spacing w:line="600" w:lineRule="exact"/>
        <w:ind w:firstLine="640"/>
        <w:rPr>
          <w:rStyle w:val="27"/>
          <w:b w:val="0"/>
          <w:bCs/>
          <w:sz w:val="32"/>
          <w:szCs w:val="32"/>
        </w:rPr>
      </w:pPr>
      <w:r>
        <w:rPr>
          <w:rFonts w:ascii="仿宋_GB2312" w:eastAsia="仿宋_GB2312" w:cs="仿宋_GB2312" w:hint="eastAsia"/>
          <w:sz w:val="32"/>
          <w:szCs w:val="32"/>
        </w:rPr>
        <w:t>7.卫生健康支</w:t>
      </w:r>
      <w:r>
        <w:rPr>
          <w:rStyle w:val="27"/>
          <w:rFonts w:hint="eastAsia"/>
          <w:b w:val="0"/>
        </w:rPr>
        <w:t>出</w:t>
      </w:r>
      <w:r>
        <w:rPr>
          <w:rStyle w:val="27"/>
          <w:rFonts w:hint="eastAsia"/>
          <w:b w:val="0"/>
          <w:bCs/>
          <w:sz w:val="32"/>
          <w:szCs w:val="32"/>
        </w:rPr>
        <w:t>（类）行政事业单位医疗（款）事业单</w:t>
      </w:r>
    </w:p>
    <w:p>
      <w:pPr>
        <w:pStyle w:val="18"/>
        <w:spacing w:beforeLines="0" w:before="72" w:line="600" w:lineRule="exact"/>
        <w:rPr>
          <w:rStyle w:val="27"/>
          <w:b w:val="0"/>
          <w:bCs/>
          <w:kern w:val="2"/>
          <w:sz w:val="32"/>
          <w:szCs w:val="32"/>
        </w:rPr>
      </w:pPr>
      <w:r>
        <w:rPr>
          <w:rStyle w:val="27"/>
          <w:rFonts w:hint="eastAsia"/>
          <w:b w:val="0"/>
          <w:bCs/>
          <w:sz w:val="32"/>
          <w:szCs w:val="32"/>
        </w:rPr>
        <w:t>位医疗（项）</w:t>
      </w:r>
      <w:r>
        <w:rPr>
          <w:rStyle w:val="27"/>
          <w:rFonts w:hint="eastAsia"/>
          <w:bCs/>
          <w:sz w:val="32"/>
          <w:szCs w:val="32"/>
        </w:rPr>
        <w:t>:</w:t>
      </w:r>
      <w:r>
        <w:rPr>
          <w:rStyle w:val="27"/>
          <w:rFonts w:hint="eastAsia"/>
          <w:b w:val="0"/>
          <w:bCs/>
          <w:kern w:val="2"/>
          <w:sz w:val="32"/>
          <w:szCs w:val="32"/>
        </w:rPr>
        <w:t>支出决算为45.03万元，完成预算100%，决算数等于预算数。</w:t>
      </w:r>
    </w:p>
    <w:p>
      <w:pPr>
        <w:pStyle w:val="18"/>
        <w:spacing w:beforeLines="0" w:before="72" w:line="600" w:lineRule="exact"/>
        <w:ind w:firstLineChars="200" w:firstLine="640"/>
        <w:rPr>
          <w:rStyle w:val="27"/>
          <w:b w:val="0"/>
          <w:bCs/>
          <w:kern w:val="2"/>
          <w:sz w:val="32"/>
          <w:szCs w:val="32"/>
        </w:rPr>
      </w:pPr>
      <w:r>
        <w:rPr>
          <w:rStyle w:val="27"/>
          <w:rFonts w:hint="eastAsia"/>
          <w:b w:val="0"/>
          <w:bCs/>
          <w:kern w:val="2"/>
          <w:sz w:val="32"/>
          <w:szCs w:val="32"/>
        </w:rPr>
        <w:t>8.</w:t>
      </w:r>
      <w:r>
        <w:rPr>
          <w:rFonts w:hint="eastAsia"/>
        </w:rPr>
        <w:t xml:space="preserve"> </w:t>
      </w:r>
      <w:r>
        <w:rPr>
          <w:rStyle w:val="27"/>
          <w:rFonts w:hint="eastAsia"/>
          <w:b w:val="0"/>
          <w:bCs/>
          <w:kern w:val="2"/>
          <w:sz w:val="32"/>
          <w:szCs w:val="32"/>
        </w:rPr>
        <w:t>卫生健康支出（类）行政事业单位医疗（款）公务员医疗补助（项）:支出决算为4.93万元，完成预算100%，决算数等于预算数。</w:t>
      </w:r>
    </w:p>
    <w:p>
      <w:pPr>
        <w:pStyle w:val="18"/>
        <w:spacing w:beforeLines="0" w:before="72" w:line="600" w:lineRule="exact"/>
        <w:ind w:firstLineChars="200" w:firstLine="640"/>
        <w:rPr>
          <w:rStyle w:val="27"/>
          <w:b w:val="0"/>
          <w:bCs/>
          <w:kern w:val="2"/>
          <w:sz w:val="32"/>
          <w:szCs w:val="32"/>
        </w:rPr>
      </w:pPr>
      <w:r>
        <w:rPr>
          <w:rStyle w:val="27"/>
          <w:rFonts w:hint="eastAsia"/>
          <w:b w:val="0"/>
          <w:bCs/>
          <w:kern w:val="2"/>
          <w:sz w:val="32"/>
          <w:szCs w:val="32"/>
        </w:rPr>
        <w:t>9.</w:t>
      </w:r>
      <w:r>
        <w:rPr>
          <w:rFonts w:hint="eastAsia"/>
        </w:rPr>
        <w:t xml:space="preserve"> </w:t>
      </w:r>
      <w:r>
        <w:rPr>
          <w:rStyle w:val="27"/>
          <w:rFonts w:hint="eastAsia"/>
          <w:b w:val="0"/>
          <w:bCs/>
          <w:kern w:val="2"/>
          <w:sz w:val="32"/>
          <w:szCs w:val="32"/>
        </w:rPr>
        <w:t>卫生健康支出（类）行政事业单位医疗（款）其他行政事业单位医疗支出（项）:支出决算为5.69万元，完成预算100%，决算数等于预算数。</w:t>
      </w:r>
    </w:p>
    <w:p>
      <w:pPr>
        <w:pStyle w:val="18"/>
        <w:spacing w:beforeLines="0" w:before="72" w:line="600" w:lineRule="exact"/>
        <w:ind w:firstLineChars="200" w:firstLine="640"/>
        <w:rPr>
          <w:rStyle w:val="27"/>
          <w:b w:val="0"/>
          <w:bCs/>
          <w:kern w:val="2"/>
          <w:sz w:val="32"/>
          <w:szCs w:val="32"/>
        </w:rPr>
      </w:pPr>
      <w:r>
        <w:rPr>
          <w:rStyle w:val="27"/>
          <w:rFonts w:hint="eastAsia"/>
          <w:b w:val="0"/>
          <w:bCs/>
          <w:kern w:val="2"/>
          <w:sz w:val="32"/>
          <w:szCs w:val="32"/>
        </w:rPr>
        <w:t>10.</w:t>
      </w:r>
      <w:r>
        <w:rPr>
          <w:rFonts w:hint="eastAsia"/>
        </w:rPr>
        <w:t xml:space="preserve"> </w:t>
      </w:r>
      <w:r>
        <w:rPr>
          <w:rStyle w:val="27"/>
          <w:rFonts w:hint="eastAsia"/>
          <w:b w:val="0"/>
          <w:bCs/>
          <w:kern w:val="2"/>
          <w:sz w:val="32"/>
          <w:szCs w:val="32"/>
        </w:rPr>
        <w:t>住房保障支出（类）住房改革支出（款）住房公积金（项）：支出决算为70.01万元，完成预算100%，决算数等于预算数。</w:t>
      </w:r>
    </w:p>
    <w:p>
      <w:pPr>
        <w:pStyle w:val="18"/>
        <w:spacing w:beforeLines="0" w:before="72" w:line="600" w:lineRule="exact"/>
        <w:ind w:firstLineChars="200" w:firstLine="640"/>
        <w:rPr>
          <w:rStyle w:val="27"/>
          <w:b w:val="0"/>
          <w:bCs/>
          <w:kern w:val="2"/>
          <w:sz w:val="32"/>
          <w:szCs w:val="32"/>
        </w:rPr>
      </w:pPr>
    </w:p>
    <w:p>
      <w:pPr>
        <w:tabs>
          <w:tab w:val="right" w:pos="8306"/>
        </w:tabs>
        <w:spacing w:line="600" w:lineRule="exact"/>
        <w:ind w:firstLine="640"/>
        <w:outlineLvl w:val="1"/>
        <w:rPr>
          <w:rStyle w:val="2Char"/>
          <w:rFonts w:ascii="仿宋_GB2312" w:eastAsia="仿宋_GB2312"/>
        </w:rPr>
      </w:pPr>
      <w:bookmarkStart w:id="29" w:name="_Toc15377214"/>
      <w:bookmarkStart w:id="30" w:name="_Toc15396608"/>
      <w:r>
        <w:rPr>
          <w:rFonts w:ascii="仿宋_GB2312" w:eastAsia="仿宋_GB2312" w:hint="eastAsia"/>
          <w:sz w:val="32"/>
          <w:szCs w:val="32"/>
        </w:rPr>
        <w:t>六</w:t>
      </w:r>
      <w:r>
        <w:rPr>
          <w:rFonts w:ascii="仿宋_GB2312" w:eastAsia="仿宋_GB2312" w:hint="eastAsia"/>
          <w:b/>
          <w:sz w:val="32"/>
          <w:szCs w:val="32"/>
        </w:rPr>
        <w:t>、一</w:t>
      </w:r>
      <w:r>
        <w:rPr>
          <w:rStyle w:val="2Char"/>
          <w:rFonts w:ascii="仿宋_GB2312" w:eastAsia="仿宋_GB2312" w:hint="eastAsia"/>
          <w:b w:val="0"/>
        </w:rPr>
        <w:t>般公共预算财政拨款基本支出决算情况说明</w:t>
      </w:r>
      <w:bookmarkEnd w:id="29"/>
      <w:bookmarkEnd w:id="30"/>
      <w:r>
        <w:rPr>
          <w:rStyle w:val="2Char"/>
          <w:rFonts w:ascii="仿宋_GB2312" w:eastAsia="仿宋_GB2312" w:hint="eastAsia"/>
          <w:b w:val="0"/>
        </w:rPr>
        <w:tab/>
      </w:r>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2024年度一般公共预算财政拨款基本支出1076.98万元，其中：</w:t>
      </w:r>
    </w:p>
    <w:p>
      <w:pPr>
        <w:pStyle w:val="18"/>
        <w:spacing w:beforeLines="0" w:before="72" w:line="600" w:lineRule="exact"/>
        <w:ind w:firstLineChars="200" w:firstLine="640"/>
        <w:rPr>
          <w:bCs/>
          <w:sz w:val="32"/>
          <w:szCs w:val="32"/>
        </w:rPr>
      </w:pPr>
      <w:r>
        <w:rPr>
          <w:rFonts w:hint="eastAsia"/>
          <w:bCs/>
          <w:sz w:val="32"/>
          <w:szCs w:val="32"/>
        </w:rPr>
        <w:t>人员经费1000.96万元，主要包括：基本工资198.55万元、津贴补贴23.27万元、奖金1.65万元、绩效工资371.50万元、机关事业单位基本养老保险缴费93.01万元、职业年金缴费7.14万元、职工基本医疗保险缴费45.03万元、公务员医疗补助缴费10.62、其他社会保障缴费4.42万元、其他工资福利支出6.17万元、离休费24.19万元、抚恤金38.06万元、生活补助99.08万元、医疗费补助8.24万元、奖励金0.02万元、住房公积金70.01万元。</w:t>
        <w:br/>
        <w:t>　　公用经费76.02万元，主要包括：办公费3.93万元、水费</w:t>
      </w:r>
      <w:r>
        <w:rPr>
          <w:bCs/>
          <w:sz w:val="32"/>
          <w:szCs w:val="32"/>
        </w:rPr>
        <w:t>1.60万元</w:t>
      </w:r>
      <w:r>
        <w:rPr>
          <w:rFonts w:hint="eastAsia"/>
          <w:bCs/>
          <w:sz w:val="32"/>
          <w:szCs w:val="32"/>
        </w:rPr>
        <w:t>、电费</w:t>
      </w:r>
      <w:r>
        <w:rPr>
          <w:bCs/>
          <w:sz w:val="32"/>
          <w:szCs w:val="32"/>
        </w:rPr>
        <w:t>6.00万元</w:t>
      </w:r>
      <w:r>
        <w:rPr>
          <w:rFonts w:hint="eastAsia"/>
          <w:bCs/>
          <w:sz w:val="32"/>
          <w:szCs w:val="32"/>
        </w:rPr>
        <w:t>、邮电费</w:t>
      </w:r>
      <w:r>
        <w:rPr>
          <w:bCs/>
          <w:sz w:val="32"/>
          <w:szCs w:val="32"/>
        </w:rPr>
        <w:t>6.00万元</w:t>
      </w:r>
      <w:r>
        <w:rPr>
          <w:rFonts w:hint="eastAsia"/>
          <w:bCs/>
          <w:sz w:val="32"/>
          <w:szCs w:val="32"/>
        </w:rPr>
        <w:t>、差旅费</w:t>
      </w:r>
      <w:r>
        <w:rPr>
          <w:bCs/>
          <w:sz w:val="32"/>
          <w:szCs w:val="32"/>
        </w:rPr>
        <w:t>17.00万元</w:t>
      </w:r>
      <w:r>
        <w:rPr>
          <w:rFonts w:hint="eastAsia"/>
          <w:bCs/>
          <w:sz w:val="32"/>
          <w:szCs w:val="32"/>
          <w:lang w:eastAsia="zh-CN"/>
        </w:rPr>
        <w:t>、</w:t>
      </w:r>
      <w:r>
        <w:rPr>
          <w:rFonts w:hint="eastAsia"/>
          <w:bCs/>
          <w:sz w:val="32"/>
          <w:szCs w:val="32"/>
        </w:rPr>
        <w:t>培训费</w:t>
      </w:r>
      <w:r>
        <w:rPr>
          <w:bCs/>
          <w:sz w:val="32"/>
          <w:szCs w:val="32"/>
        </w:rPr>
        <w:t>0.50万元</w:t>
      </w:r>
      <w:r>
        <w:rPr>
          <w:rFonts w:hint="eastAsia"/>
          <w:bCs/>
          <w:sz w:val="32"/>
          <w:szCs w:val="32"/>
        </w:rPr>
        <w:t>、公务接待费</w:t>
      </w:r>
      <w:r>
        <w:rPr>
          <w:bCs/>
          <w:sz w:val="32"/>
          <w:szCs w:val="32"/>
        </w:rPr>
        <w:t>0.25万元</w:t>
      </w:r>
      <w:r>
        <w:rPr>
          <w:rFonts w:hint="eastAsia"/>
          <w:bCs/>
          <w:sz w:val="32"/>
          <w:szCs w:val="32"/>
        </w:rPr>
        <w:t>、工会经费</w:t>
      </w:r>
      <w:r>
        <w:rPr>
          <w:bCs/>
          <w:sz w:val="32"/>
          <w:szCs w:val="32"/>
        </w:rPr>
        <w:t>11.43万元</w:t>
      </w:r>
      <w:r>
        <w:rPr>
          <w:rFonts w:hint="eastAsia"/>
          <w:bCs/>
          <w:sz w:val="32"/>
          <w:szCs w:val="32"/>
        </w:rPr>
        <w:t>、福利费</w:t>
      </w:r>
      <w:r>
        <w:rPr>
          <w:bCs/>
          <w:sz w:val="32"/>
          <w:szCs w:val="32"/>
        </w:rPr>
        <w:t>7.30万元</w:t>
      </w:r>
      <w:r>
        <w:rPr>
          <w:rFonts w:hint="eastAsia"/>
          <w:bCs/>
          <w:sz w:val="32"/>
          <w:szCs w:val="32"/>
        </w:rPr>
        <w:t>、公务用车运行维护费</w:t>
      </w:r>
      <w:r>
        <w:rPr>
          <w:bCs/>
          <w:sz w:val="32"/>
          <w:szCs w:val="32"/>
        </w:rPr>
        <w:t>14.54万元</w:t>
      </w:r>
      <w:r>
        <w:rPr>
          <w:rFonts w:hint="eastAsia"/>
          <w:bCs/>
          <w:sz w:val="32"/>
          <w:szCs w:val="32"/>
        </w:rPr>
        <w:t>、其他商品和服务支出</w:t>
      </w:r>
      <w:r>
        <w:rPr>
          <w:bCs/>
          <w:sz w:val="32"/>
          <w:szCs w:val="32"/>
        </w:rPr>
        <w:t>4.47万元</w:t>
      </w:r>
      <w:r>
        <w:rPr>
          <w:rFonts w:hint="eastAsia"/>
          <w:bCs/>
          <w:sz w:val="32"/>
          <w:szCs w:val="32"/>
        </w:rPr>
        <w:t>等。</w:t>
      </w:r>
    </w:p>
    <w:p>
      <w:pPr>
        <w:spacing w:line="600" w:lineRule="exact"/>
        <w:ind w:firstLine="640"/>
        <w:rPr>
          <w:rFonts w:eastAsia="仿宋_GB2312" w:cs="仿宋_GB2312"/>
          <w:sz w:val="32"/>
          <w:szCs w:val="32"/>
        </w:rPr>
      </w:pPr>
    </w:p>
    <w:p>
      <w:pPr>
        <w:spacing w:line="600" w:lineRule="exact"/>
        <w:ind w:firstLine="640"/>
        <w:outlineLvl w:val="1"/>
        <w:rPr>
          <w:rStyle w:val="2Char"/>
          <w:rFonts w:ascii="Times New Roman" w:eastAsia="黑体" w:hAnsi="Times New Roman"/>
          <w:b w:val="0"/>
        </w:rPr>
      </w:pPr>
      <w:bookmarkStart w:id="31" w:name="_Toc15377215"/>
      <w:bookmarkStart w:id="32" w:name="_Toc15396609"/>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1"/>
      <w:bookmarkEnd w:id="32"/>
    </w:p>
    <w:p>
      <w:pPr>
        <w:spacing w:line="600" w:lineRule="exact"/>
        <w:ind w:firstLineChars="200" w:firstLine="640"/>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2024年度“三公”经费财政拨款支出决算为14.79万元，完成预算100%，较上年度减少0.13万元，下降0.87%。决算数与预算数持平。</w:t>
      </w:r>
    </w:p>
    <w:p>
      <w:pPr>
        <w:spacing w:line="600" w:lineRule="exact"/>
        <w:ind w:firstLineChars="200" w:firstLine="640"/>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2024年度“三公”经费财政拨款支出决算中，因公出国（境）费支出决算0万元，占0%；公务用车购置及运行维护费支出决算14.54万元，占98.31%；公务接待费支出决算0.25万元，占1.69%。具体情况如下：</w:t>
      </w:r>
    </w:p>
    <w:p>
      <w:pPr>
        <w:pStyle w:val="15"/>
      </w:pPr>
      <w:r>
        <w:rPr>
          <w:rFonts w:hint="eastAsia"/>
        </w:rPr>
        <w:drawing>
          <wp:inline distT="0" distB="0" distL="0" distR="0">
            <wp:extent cx="5360670" cy="2456815"/>
            <wp:effectExtent l="0" t="0" r="0" b="0"/>
            <wp:docPr id="7" name="图表 16"/>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600" w:lineRule="exact"/>
        <w:ind w:firstLine="640"/>
        <w:rPr>
          <w:rFonts w:eastAsia="仿宋_GB2312" w:cs="仿宋_GB2312"/>
          <w:sz w:val="32"/>
          <w:szCs w:val="32"/>
        </w:rPr>
      </w:pPr>
      <w:r>
        <w:rPr>
          <w:rFonts w:eastAsia="仿宋_GB2312" w:cs="仿宋_GB2312" w:hint="eastAsia"/>
          <w:sz w:val="32"/>
          <w:szCs w:val="32"/>
        </w:rPr>
        <w:t>（图7：“三公”经费财政拨款支出结构）（饼状图）</w:t>
      </w:r>
    </w:p>
    <w:p>
      <w:pPr>
        <w:spacing w:line="600" w:lineRule="exact"/>
        <w:ind w:firstLine="640"/>
        <w:rPr>
          <w:rFonts w:eastAsia="仿宋_GB2312" w:cs="仿宋_GB2312"/>
          <w:sz w:val="32"/>
          <w:szCs w:val="32"/>
        </w:rPr>
      </w:pPr>
      <w:r>
        <w:rPr>
          <w:rFonts w:eastAsia="仿宋_GB2312" w:cs="仿宋_GB2312" w:hint="eastAsia"/>
          <w:b/>
          <w:bCs/>
          <w:sz w:val="32"/>
          <w:szCs w:val="32"/>
        </w:rPr>
        <w:t>1.因公出国（境）经费支出0万元，完成预算0%。</w:t>
      </w:r>
      <w:r>
        <w:rPr>
          <w:rFonts w:eastAsia="仿宋_GB2312" w:cs="仿宋_GB2312" w:hint="eastAsia"/>
          <w:sz w:val="32"/>
          <w:szCs w:val="32"/>
        </w:rPr>
        <w:t>全年安排因公出国（境）团</w:t>
      </w:r>
      <w:r>
        <w:rPr>
          <w:rFonts w:ascii="仿宋_GB2312" w:eastAsia="仿宋_GB2312" w:cs="仿宋_GB2312" w:hint="eastAsia"/>
          <w:sz w:val="32"/>
          <w:szCs w:val="32"/>
        </w:rPr>
        <w:t>组0</w:t>
      </w:r>
      <w:r>
        <w:rPr>
          <w:rFonts w:eastAsia="仿宋_GB2312" w:cs="仿宋_GB2312" w:hint="eastAsia"/>
          <w:sz w:val="32"/>
          <w:szCs w:val="32"/>
        </w:rPr>
        <w:t>次，出国（境）</w:t>
      </w:r>
      <w:r>
        <w:rPr>
          <w:rFonts w:ascii="仿宋_GB2312" w:eastAsia="仿宋_GB2312" w:cs="仿宋_GB2312" w:hint="eastAsia"/>
          <w:sz w:val="32"/>
          <w:szCs w:val="32"/>
        </w:rPr>
        <w:t>0人</w:t>
      </w:r>
      <w:r>
        <w:rPr>
          <w:rFonts w:eastAsia="仿宋_GB2312" w:cs="仿宋_GB2312" w:hint="eastAsia"/>
          <w:sz w:val="32"/>
          <w:szCs w:val="32"/>
        </w:rPr>
        <w:t>。</w:t>
      </w:r>
    </w:p>
    <w:p>
      <w:pPr>
        <w:spacing w:line="600" w:lineRule="exact"/>
        <w:ind w:firstLine="640"/>
        <w:rPr>
          <w:rFonts w:ascii="仿宋_GB2312" w:eastAsia="仿宋_GB2312" w:cs="仿宋_GB2312"/>
          <w:sz w:val="32"/>
          <w:szCs w:val="32"/>
        </w:rPr>
      </w:pPr>
      <w:r>
        <w:rPr>
          <w:rFonts w:eastAsia="仿宋_GB2312" w:cs="仿宋_GB2312" w:hint="eastAsia"/>
          <w:b/>
          <w:bCs/>
          <w:sz w:val="32"/>
          <w:szCs w:val="32"/>
        </w:rPr>
        <w:t>2.公务用车购置及运行维护费支出</w:t>
      </w:r>
      <w:r>
        <w:rPr>
          <w:rFonts w:ascii="仿宋_GB2312" w:eastAsia="仿宋_GB2312" w:cs="仿宋_GB2312" w:hint="eastAsia"/>
          <w:b/>
          <w:bCs/>
          <w:sz w:val="32"/>
          <w:szCs w:val="32"/>
        </w:rPr>
        <w:t>14.54万</w:t>
      </w:r>
      <w:r>
        <w:rPr>
          <w:rFonts w:eastAsia="仿宋_GB2312" w:cs="仿宋_GB2312" w:hint="eastAsia"/>
          <w:b/>
          <w:bCs/>
          <w:sz w:val="32"/>
          <w:szCs w:val="32"/>
        </w:rPr>
        <w:t>元，完成预算100%。</w:t>
      </w:r>
      <w:r>
        <w:rPr>
          <w:rFonts w:ascii="仿宋_GB2312" w:eastAsia="仿宋_GB2312" w:cs="仿宋_GB2312" w:hint="eastAsia"/>
          <w:sz w:val="32"/>
          <w:szCs w:val="32"/>
        </w:rPr>
        <w:t>公务用车购置及运行维护费支出决算比2023年度减少0.17万元，下降1.16%。</w:t>
      </w:r>
    </w:p>
    <w:p>
      <w:pPr>
        <w:spacing w:line="600" w:lineRule="exact"/>
        <w:ind w:firstLine="640"/>
        <w:rPr>
          <w:rFonts w:ascii="仿宋_GB2312" w:eastAsia="仿宋_GB2312"/>
          <w:sz w:val="32"/>
          <w:szCs w:val="32"/>
        </w:rPr>
      </w:pPr>
      <w:r>
        <w:rPr>
          <w:rFonts w:eastAsia="仿宋_GB2312" w:cs="仿宋_GB2312" w:hint="eastAsia"/>
          <w:sz w:val="32"/>
          <w:szCs w:val="32"/>
        </w:rPr>
        <w:t>其中：公务用车购置支</w:t>
      </w:r>
      <w:r>
        <w:rPr>
          <w:rFonts w:ascii="仿宋_GB2312" w:eastAsia="仿宋_GB2312" w:cs="仿宋_GB2312" w:hint="eastAsia"/>
          <w:sz w:val="32"/>
          <w:szCs w:val="32"/>
        </w:rPr>
        <w:t>出0</w:t>
      </w:r>
      <w:r>
        <w:rPr>
          <w:rFonts w:eastAsia="仿宋_GB2312" w:cs="仿宋_GB2312" w:hint="eastAsia"/>
          <w:sz w:val="32"/>
          <w:szCs w:val="32"/>
        </w:rPr>
        <w:t>万元。截至2024年12月31日，单位共有公务用车7辆，其中：</w:t>
      </w:r>
      <w:r>
        <w:rPr>
          <w:rFonts w:ascii="仿宋_GB2312" w:eastAsia="仿宋_GB2312" w:hint="eastAsia"/>
          <w:sz w:val="32"/>
          <w:szCs w:val="32"/>
        </w:rPr>
        <w:t>小型轿车1辆、小型普通客车2辆、小型专用客车1辆、大型非载货专项作业车2辆、轻型封闭式货车1辆 。</w:t>
      </w:r>
    </w:p>
    <w:p>
      <w:pPr>
        <w:spacing w:line="600" w:lineRule="exact"/>
        <w:ind w:firstLine="640"/>
        <w:rPr>
          <w:rFonts w:ascii="仿宋_GB2312" w:eastAsia="仿宋_GB2312"/>
          <w:sz w:val="32"/>
          <w:szCs w:val="32"/>
        </w:rPr>
      </w:pPr>
      <w:r>
        <w:rPr>
          <w:rFonts w:eastAsia="仿宋_GB2312" w:cs="仿宋_GB2312" w:hint="eastAsia"/>
          <w:sz w:val="32"/>
          <w:szCs w:val="32"/>
        </w:rPr>
        <w:t>公务用车运行维护费支</w:t>
      </w:r>
      <w:r>
        <w:rPr>
          <w:rFonts w:ascii="仿宋_GB2312" w:eastAsia="仿宋_GB2312" w:cs="仿宋_GB2312" w:hint="eastAsia"/>
          <w:sz w:val="32"/>
          <w:szCs w:val="32"/>
        </w:rPr>
        <w:t>出14.54</w:t>
      </w:r>
      <w:r>
        <w:rPr>
          <w:rFonts w:eastAsia="仿宋_GB2312" w:cs="仿宋_GB2312" w:hint="eastAsia"/>
          <w:sz w:val="32"/>
          <w:szCs w:val="32"/>
        </w:rPr>
        <w:t>万元。</w:t>
      </w:r>
      <w:r>
        <w:rPr>
          <w:rFonts w:ascii="仿宋_GB2312" w:eastAsia="仿宋_GB2312" w:hint="eastAsia"/>
          <w:sz w:val="32"/>
          <w:szCs w:val="32"/>
        </w:rPr>
        <w:t>主要用于采供血工作等所需的公务用车燃料费、维修费、过路过桥费、保险费等支出。</w:t>
      </w:r>
    </w:p>
    <w:p>
      <w:pPr>
        <w:spacing w:line="600" w:lineRule="exact"/>
        <w:ind w:firstLine="640"/>
        <w:rPr>
          <w:rFonts w:ascii="仿宋_GB2312" w:eastAsia="仿宋_GB2312" w:cs="仿宋_GB2312" w:hint="eastAsia"/>
          <w:sz w:val="32"/>
          <w:szCs w:val="32"/>
        </w:rPr>
      </w:pPr>
      <w:r>
        <w:rPr>
          <w:rFonts w:eastAsia="仿宋_GB2312" w:cs="仿宋_GB2312" w:hint="eastAsia"/>
          <w:b/>
          <w:bCs/>
          <w:sz w:val="32"/>
          <w:szCs w:val="32"/>
        </w:rPr>
        <w:t>3.公务接待费支出</w:t>
      </w:r>
      <w:r>
        <w:rPr>
          <w:rFonts w:ascii="仿宋_GB2312" w:eastAsia="仿宋_GB2312" w:cs="仿宋_GB2312" w:hint="eastAsia"/>
          <w:b/>
          <w:bCs/>
          <w:sz w:val="32"/>
          <w:szCs w:val="32"/>
        </w:rPr>
        <w:t>0.25万</w:t>
      </w:r>
      <w:r>
        <w:rPr>
          <w:rFonts w:eastAsia="仿宋_GB2312" w:cs="仿宋_GB2312" w:hint="eastAsia"/>
          <w:b/>
          <w:bCs/>
          <w:sz w:val="32"/>
          <w:szCs w:val="32"/>
        </w:rPr>
        <w:t>元，完成预算100%。</w:t>
      </w:r>
      <w:r>
        <w:rPr>
          <w:rFonts w:ascii="仿宋_GB2312" w:eastAsia="仿宋_GB2312" w:cs="仿宋_GB2312" w:hint="eastAsia"/>
          <w:sz w:val="32"/>
          <w:szCs w:val="32"/>
        </w:rPr>
        <w:t>公务接待费支出决算比2023年度增加0.03万元，增长13.64%。主要原因是接待人次有所增加。其中：</w:t>
      </w:r>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国内公务接待支出0.25万元，主要用于接待四川省相关血站来我站开展行政许可现场审查、德阳市血站调剂血浆及省卫健委带队进行省级抽查现场核查医疗卫生机构传染病防治分类监督综合评价等工作餐费。国内公务接待3批次，14人次（不包括陪同人员）。</w:t>
      </w:r>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外事接待支出0万元，外事接待0批次，0人次（不包括陪同人员），共计支出0万元。</w:t>
      </w:r>
    </w:p>
    <w:p>
      <w:pPr>
        <w:spacing w:line="600" w:lineRule="exact"/>
        <w:ind w:firstLine="640"/>
        <w:rPr>
          <w:rFonts w:eastAsia="仿宋_GB2312" w:cs="仿宋_GB2312"/>
          <w:sz w:val="32"/>
          <w:szCs w:val="32"/>
        </w:rPr>
      </w:pPr>
      <w:bookmarkStart w:id="35" w:name="_Toc15396610"/>
      <w:bookmarkStart w:id="36" w:name="_Toc15377218"/>
    </w:p>
    <w:p>
      <w:pPr>
        <w:spacing w:line="600" w:lineRule="exact"/>
        <w:ind w:firstLine="640"/>
        <w:outlineLvl w:val="1"/>
        <w:rPr>
          <w:rStyle w:val="2Char"/>
          <w:rFonts w:ascii="Times New Roman" w:eastAsia="黑体" w:hAnsi="Times New Roman"/>
        </w:rPr>
      </w:pPr>
      <w:r>
        <w:rPr>
          <w:rFonts w:eastAsia="黑体" w:hint="eastAsia"/>
          <w:sz w:val="32"/>
          <w:szCs w:val="32"/>
        </w:rPr>
        <w:t>八、</w:t>
      </w:r>
      <w:r>
        <w:rPr>
          <w:rStyle w:val="2Char"/>
          <w:rFonts w:ascii="Times New Roman" w:eastAsia="黑体" w:hAnsi="Times New Roman" w:hint="eastAsia"/>
          <w:b w:val="0"/>
        </w:rPr>
        <w:t>政府性基金预算支出决算情况说明</w:t>
      </w:r>
      <w:bookmarkEnd w:id="35"/>
      <w:bookmarkEnd w:id="36"/>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2024年度政府性基金预算财政拨款支出0万元，占本年支出合计的0%。</w:t>
      </w:r>
    </w:p>
    <w:p>
      <w:pPr>
        <w:spacing w:line="600" w:lineRule="exact"/>
        <w:ind w:firstLine="640"/>
        <w:rPr>
          <w:rFonts w:eastAsia="仿宋_GB2312" w:cs="仿宋_GB2312"/>
          <w:sz w:val="32"/>
          <w:szCs w:val="32"/>
        </w:rPr>
      </w:pPr>
    </w:p>
    <w:p>
      <w:pPr>
        <w:spacing w:line="600" w:lineRule="exact"/>
        <w:ind w:firstLine="640"/>
        <w:outlineLvl w:val="1"/>
        <w:rPr>
          <w:rFonts w:eastAsia="黑体"/>
          <w:sz w:val="32"/>
          <w:szCs w:val="32"/>
        </w:rPr>
      </w:pPr>
      <w:bookmarkStart w:id="37" w:name="_Toc15377219"/>
      <w:bookmarkStart w:id="38" w:name="_Toc15396611"/>
      <w:r>
        <w:rPr>
          <w:rFonts w:eastAsia="黑体" w:hint="eastAsia"/>
          <w:sz w:val="32"/>
          <w:szCs w:val="32"/>
        </w:rPr>
        <w:t>九、国有资本经营预算支出决算情况说明</w:t>
      </w:r>
      <w:bookmarkEnd w:id="37"/>
      <w:bookmarkEnd w:id="38"/>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2024年度国有资本经营预算财政拨款支出0万元，占本年支出合计的0%。</w:t>
      </w:r>
    </w:p>
    <w:p>
      <w:pPr>
        <w:spacing w:line="600" w:lineRule="exact"/>
        <w:ind w:firstLine="640"/>
        <w:rPr>
          <w:rFonts w:eastAsia="仿宋_GB2312" w:cs="仿宋_GB2312"/>
          <w:sz w:val="32"/>
          <w:szCs w:val="32"/>
        </w:rPr>
      </w:pPr>
    </w:p>
    <w:p>
      <w:pPr>
        <w:spacing w:line="600" w:lineRule="exact"/>
        <w:ind w:left="630"/>
        <w:outlineLvl w:val="1"/>
        <w:rPr>
          <w:rStyle w:val="2Char"/>
          <w:rFonts w:ascii="Times New Roman" w:eastAsia="黑体" w:hAnsi="Times New Roman"/>
          <w:b w:val="0"/>
        </w:rPr>
      </w:pPr>
      <w:bookmarkStart w:id="39" w:name="_Toc15396612"/>
      <w:bookmarkStart w:id="40" w:name="_Toc15377221"/>
      <w:r>
        <w:rPr>
          <w:rStyle w:val="2Char"/>
          <w:rFonts w:ascii="Times New Roman" w:eastAsia="黑体" w:hAnsi="Times New Roman" w:hint="eastAsia"/>
          <w:b w:val="0"/>
        </w:rPr>
        <w:t>十、其他重要事项的情况说明</w:t>
      </w:r>
      <w:bookmarkEnd w:id="39"/>
      <w:bookmarkEnd w:id="40"/>
    </w:p>
    <w:p>
      <w:pPr>
        <w:spacing w:line="600" w:lineRule="exact"/>
        <w:ind w:firstLineChars="200" w:firstLine="640"/>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2024年度，四川省攀枝花市中心血站机关运行经费支出0万元。</w:t>
      </w:r>
    </w:p>
    <w:p>
      <w:pPr>
        <w:spacing w:line="600" w:lineRule="exact"/>
        <w:ind w:firstLine="640"/>
        <w:rPr>
          <w:rFonts w:eastAsia="仿宋_GB2312" w:cs="仿宋_GB2312"/>
          <w:sz w:val="32"/>
          <w:szCs w:val="32"/>
        </w:rPr>
      </w:pPr>
    </w:p>
    <w:p>
      <w:pPr>
        <w:spacing w:line="600" w:lineRule="exact"/>
        <w:ind w:firstLineChars="200" w:firstLine="640"/>
        <w:outlineLvl w:val="2"/>
        <w:rPr>
          <w:rFonts w:eastAsia="楷体_GB2312" w:cs="楷体_GB2312"/>
          <w:b/>
          <w:sz w:val="32"/>
          <w:szCs w:val="32"/>
        </w:rPr>
      </w:pPr>
      <w:bookmarkStart w:id="42" w:name="_Toc15377223"/>
      <w:r>
        <w:rPr>
          <w:rFonts w:eastAsia="楷体_GB2312" w:cs="楷体_GB2312" w:hint="eastAsia"/>
          <w:b/>
          <w:sz w:val="32"/>
          <w:szCs w:val="32"/>
        </w:rPr>
        <w:t>（二）政府采购支出情况</w:t>
      </w:r>
      <w:bookmarkEnd w:id="42"/>
    </w:p>
    <w:p>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2024年度，四川省攀枝花市中心血站政府采购支出总额204.01万元，其中：政府采购货物支出192.27万元、政府采购工程支出0万元、政府采购服务支出11.74万元。</w:t>
      </w:r>
      <w:r>
        <w:rPr>
          <w:rFonts w:ascii="仿宋_GB2312" w:eastAsia="仿宋_GB2312" w:cs="仿宋_GB2312" w:hint="eastAsia"/>
          <w:sz w:val="32"/>
          <w:szCs w:val="32"/>
          <w:lang w:val="en-US" w:eastAsia="zh-CN"/>
        </w:rPr>
        <w:t>政府采购货物</w:t>
      </w:r>
      <w:r>
        <w:rPr>
          <w:rFonts w:ascii="仿宋_GB2312" w:eastAsia="仿宋_GB2312" w:cs="仿宋_GB2312" w:hint="eastAsia"/>
          <w:sz w:val="32"/>
          <w:szCs w:val="32"/>
        </w:rPr>
        <w:t>主要用于采供血试剂耗材</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政府采购服务主要用于公务用车的保险、加油、维修和保养</w:t>
      </w:r>
      <w:r>
        <w:rPr>
          <w:rFonts w:ascii="仿宋_GB2312" w:eastAsia="仿宋_GB2312" w:cs="仿宋_GB2312" w:hint="eastAsia"/>
          <w:sz w:val="32"/>
          <w:szCs w:val="32"/>
        </w:rPr>
        <w:t>。授予中小企业合同金额86万元，占政府采购支出总额的42.15%，其中：授予小微企业合同金额80万元，占政府采购支出总额的39.21%。</w:t>
      </w:r>
    </w:p>
    <w:p>
      <w:pPr>
        <w:spacing w:line="600" w:lineRule="exact"/>
        <w:ind w:firstLine="640"/>
        <w:rPr>
          <w:rFonts w:eastAsia="仿宋_GB2312" w:cs="仿宋_GB2312"/>
          <w:sz w:val="32"/>
          <w:szCs w:val="32"/>
        </w:rPr>
      </w:pPr>
    </w:p>
    <w:p>
      <w:pPr>
        <w:spacing w:line="600" w:lineRule="exact"/>
        <w:ind w:firstLineChars="200" w:firstLine="640"/>
        <w:outlineLvl w:val="2"/>
        <w:rPr>
          <w:rFonts w:eastAsia="楷体_GB2312" w:cs="楷体_GB2312"/>
          <w:b/>
          <w:sz w:val="32"/>
          <w:szCs w:val="32"/>
        </w:rPr>
      </w:pPr>
      <w:bookmarkStart w:id="43" w:name="_Toc15377224"/>
      <w:r>
        <w:rPr>
          <w:rFonts w:eastAsia="楷体_GB2312" w:cs="楷体_GB2312" w:hint="eastAsia"/>
          <w:b/>
          <w:sz w:val="32"/>
          <w:szCs w:val="32"/>
        </w:rPr>
        <w:t>（三）国有资产占有使用情况</w:t>
      </w:r>
      <w:bookmarkEnd w:id="43"/>
    </w:p>
    <w:p>
      <w:pPr>
        <w:spacing w:line="600" w:lineRule="exact"/>
        <w:ind w:firstLine="640"/>
        <w:rPr>
          <w:rFonts w:ascii="仿宋_GB2312" w:eastAsia="仿宋_GB2312"/>
          <w:sz w:val="32"/>
          <w:szCs w:val="32"/>
        </w:rPr>
      </w:pPr>
      <w:r>
        <w:rPr>
          <w:rFonts w:ascii="仿宋_GB2312" w:eastAsia="仿宋_GB2312" w:cs="仿宋_GB2312" w:hint="eastAsia"/>
          <w:sz w:val="32"/>
          <w:szCs w:val="32"/>
        </w:rPr>
        <w:t>截至2024年12月31日，四川省攀枝花市中心血站共有车辆7辆，其中：主要负责人用车0辆、机要通信用车0辆、应急保障用车0辆、其他用车1辆，</w:t>
      </w:r>
      <w:r>
        <w:rPr>
          <w:rFonts w:ascii="仿宋_GB2312" w:eastAsia="仿宋_GB2312" w:hint="eastAsia"/>
          <w:sz w:val="32"/>
          <w:szCs w:val="32"/>
        </w:rPr>
        <w:t>其他用车主要是用于公务出行。单价</w:t>
      </w:r>
      <w:r>
        <w:rPr>
          <w:rFonts w:ascii="仿宋_GB2312" w:eastAsia="仿宋_GB2312"/>
          <w:sz w:val="32"/>
          <w:szCs w:val="32"/>
        </w:rPr>
        <w:t>100</w:t>
      </w:r>
      <w:r>
        <w:rPr>
          <w:rFonts w:ascii="仿宋_GB2312" w:eastAsia="仿宋_GB2312" w:hint="eastAsia"/>
          <w:sz w:val="32"/>
          <w:szCs w:val="32"/>
        </w:rPr>
        <w:t>万元以上专用设备7台（套）。</w:t>
      </w:r>
    </w:p>
    <w:p>
      <w:pPr>
        <w:spacing w:line="600" w:lineRule="exact"/>
        <w:ind w:firstLine="640"/>
        <w:rPr>
          <w:rFonts w:ascii="仿宋_GB2312" w:eastAsia="仿宋_GB2312"/>
          <w:sz w:val="32"/>
          <w:szCs w:val="32"/>
        </w:rPr>
      </w:pPr>
    </w:p>
    <w:p>
      <w:pPr>
        <w:spacing w:line="600" w:lineRule="exact"/>
        <w:ind w:firstLine="640"/>
        <w:rPr>
          <w:rFonts w:eastAsia="楷体_GB2312" w:cs="楷体_GB2312"/>
          <w:b/>
          <w:sz w:val="32"/>
          <w:szCs w:val="32"/>
        </w:rPr>
      </w:pPr>
      <w:r>
        <w:rPr>
          <w:rFonts w:eastAsia="楷体_GB2312" w:cs="楷体_GB2312" w:hint="eastAsia"/>
          <w:b/>
          <w:sz w:val="32"/>
          <w:szCs w:val="32"/>
        </w:rPr>
        <w:t>（四）预算绩效管理情况</w:t>
      </w:r>
    </w:p>
    <w:p>
      <w:pPr>
        <w:spacing w:line="600" w:lineRule="exact"/>
        <w:ind w:firstLine="640"/>
        <w:rPr>
          <w:rFonts w:ascii="仿宋_GB2312" w:eastAsia="仿宋_GB2312" w:cs="仿宋_GB2312" w:hint="eastAsia"/>
          <w:sz w:val="32"/>
          <w:szCs w:val="32"/>
        </w:rPr>
      </w:pPr>
      <w:r>
        <w:rPr>
          <w:rFonts w:ascii="仿宋_GB2312" w:eastAsia="仿宋_GB2312" w:cs="仿宋_GB2312" w:hint="eastAsia"/>
          <w:sz w:val="32"/>
          <w:szCs w:val="32"/>
        </w:rPr>
        <w:t>根据预算绩效管理要求，本单位在2024年度预算编制阶段，组织对血站专项资金和重大传染病防控（中央资金）等2个项目开展了预算事前绩效评估，对2个项目编制了绩效目标，预算执行过程中，选取2个项目开展绩效监控。</w:t>
      </w:r>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sectPr>
          <w:pgSz w:w="11906" w:h="16838"/>
          <w:pgMar w:top="1440" w:right="1797" w:bottom="1440" w:left="1797" w:header="851" w:footer="992" w:gutter="0"/>
          <w:pgNumType w:fmt="numberInDash"/>
          <w:titlePg/>
          <w:docGrid w:linePitch="312" w:charSpace="0"/>
        </w:sectPr>
      </w:pPr>
      <w:bookmarkStart w:id="44" w:name="_Toc15396613"/>
      <w:bookmarkStart w:id="45" w:name="_Toc15377225"/>
    </w:p>
    <w:p>
      <w:pPr>
        <w:spacing w:line="600" w:lineRule="exact"/>
        <w:jc w:val="center"/>
        <w:outlineLvl w:val="0"/>
        <w:rPr>
          <w:rFonts w:eastAsia="黑体"/>
          <w:sz w:val="44"/>
          <w:szCs w:val="44"/>
        </w:rPr>
      </w:pPr>
      <w:r>
        <w:rPr>
          <w:rFonts w:eastAsia="黑体" w:hint="eastAsia"/>
          <w:sz w:val="44"/>
          <w:szCs w:val="44"/>
        </w:rPr>
        <w:t>第三部分名词解释</w:t>
      </w:r>
      <w:bookmarkEnd w:id="44"/>
      <w:bookmarkEnd w:id="45"/>
    </w:p>
    <w:p>
      <w:pPr>
        <w:spacing w:line="600" w:lineRule="exact"/>
        <w:ind w:firstLine="640"/>
        <w:rPr>
          <w:rFonts w:eastAsia="仿宋_GB2312" w:cs="仿宋_GB2312" w:hint="eastAsia"/>
          <w:sz w:val="32"/>
          <w:szCs w:val="32"/>
        </w:rPr>
      </w:pPr>
    </w:p>
    <w:p>
      <w:pPr>
        <w:spacing w:line="600" w:lineRule="exact"/>
        <w:ind w:firstLine="640"/>
        <w:rPr>
          <w:rFonts w:eastAsia="仿宋_GB2312" w:cs="仿宋_GB2312" w:hint="eastAsia"/>
          <w:sz w:val="32"/>
          <w:szCs w:val="32"/>
        </w:rPr>
      </w:pPr>
      <w:bookmarkStart w:id="46" w:name="_Toc15396614"/>
      <w:bookmarkStart w:id="47" w:name="_Toc15377226"/>
      <w:r>
        <w:rPr>
          <w:rFonts w:eastAsia="仿宋_GB2312" w:cs="仿宋_GB2312" w:hint="eastAsia"/>
          <w:sz w:val="32"/>
          <w:szCs w:val="32"/>
        </w:rPr>
        <w:t>1.财政拨款收入：指单位从同级财政部门取得的财政预算资金。</w:t>
      </w:r>
    </w:p>
    <w:p>
      <w:pPr>
        <w:spacing w:line="600" w:lineRule="exact"/>
        <w:ind w:firstLine="640"/>
        <w:rPr>
          <w:rFonts w:eastAsia="仿宋_GB2312" w:cs="仿宋_GB2312" w:hint="eastAsia"/>
          <w:sz w:val="32"/>
          <w:szCs w:val="32"/>
        </w:rPr>
      </w:pPr>
      <w:r>
        <w:rPr>
          <w:rFonts w:eastAsia="仿宋_GB2312" w:cs="仿宋_GB2312" w:hint="eastAsia"/>
          <w:sz w:val="32"/>
          <w:szCs w:val="32"/>
        </w:rPr>
        <w:t>2.年初结转和结余：指以前年度尚未完成、结转到本年按有关规定继续使用的资金。</w:t>
      </w:r>
    </w:p>
    <w:p>
      <w:pPr>
        <w:spacing w:line="600" w:lineRule="exact"/>
        <w:ind w:firstLine="640"/>
        <w:rPr>
          <w:rFonts w:eastAsia="仿宋_GB2312" w:cs="仿宋_GB2312" w:hint="eastAsia"/>
          <w:sz w:val="32"/>
          <w:szCs w:val="32"/>
        </w:rPr>
      </w:pPr>
      <w:r>
        <w:rPr>
          <w:rFonts w:eastAsia="仿宋_GB2312" w:cs="仿宋_GB2312" w:hint="eastAsia"/>
          <w:sz w:val="32"/>
          <w:szCs w:val="32"/>
        </w:rPr>
        <w:t>3.社会保障和就业（类）人力资源和社会保障管理事务（款）其他人力资源和社会保障管理事务（项）:反映除上述项目以外其他用于人力资源和社会保障管理事务方面的支出。</w:t>
      </w:r>
    </w:p>
    <w:p>
      <w:pPr>
        <w:spacing w:line="600" w:lineRule="exact"/>
        <w:ind w:firstLine="640"/>
        <w:rPr>
          <w:rFonts w:eastAsia="仿宋_GB2312" w:cs="仿宋_GB2312" w:hint="eastAsia"/>
          <w:sz w:val="32"/>
          <w:szCs w:val="32"/>
        </w:rPr>
      </w:pPr>
      <w:r>
        <w:rPr>
          <w:rFonts w:eastAsia="仿宋_GB2312" w:cs="仿宋_GB2312" w:hint="eastAsia"/>
          <w:sz w:val="32"/>
          <w:szCs w:val="32"/>
        </w:rPr>
        <w:t>4.社会保障和就业（类）行政事业单位养老支出（款）事业单位离退休（项）:反映事业单位开支的离退休经费。</w:t>
      </w:r>
    </w:p>
    <w:p>
      <w:pPr>
        <w:spacing w:line="600" w:lineRule="exact"/>
        <w:ind w:firstLine="640"/>
        <w:rPr>
          <w:rFonts w:eastAsia="仿宋_GB2312" w:cs="仿宋_GB2312" w:hint="eastAsia"/>
          <w:sz w:val="32"/>
          <w:szCs w:val="32"/>
        </w:rPr>
      </w:pPr>
      <w:r>
        <w:rPr>
          <w:rFonts w:eastAsia="仿宋_GB2312" w:cs="仿宋_GB2312" w:hint="eastAsia"/>
          <w:sz w:val="32"/>
          <w:szCs w:val="32"/>
        </w:rPr>
        <w:t>5.社会保障和就业（类）行政事业单位养老支出（款）机关事业单位基本养老保险缴费支出（项）:反映机关事业单位实施养老保险制度由单位缴纳的基本养老保险费支出。</w:t>
      </w:r>
    </w:p>
    <w:p>
      <w:pPr>
        <w:spacing w:line="600" w:lineRule="exact"/>
        <w:ind w:firstLine="640"/>
        <w:rPr>
          <w:rFonts w:eastAsia="仿宋_GB2312" w:cs="仿宋_GB2312" w:hint="eastAsia"/>
          <w:sz w:val="32"/>
          <w:szCs w:val="32"/>
        </w:rPr>
      </w:pPr>
      <w:r>
        <w:rPr>
          <w:rFonts w:eastAsia="仿宋_GB2312" w:cs="仿宋_GB2312" w:hint="eastAsia"/>
          <w:sz w:val="32"/>
          <w:szCs w:val="32"/>
        </w:rPr>
        <w:t>6.卫生健康支出（类）公共卫生（款）采供血机构（项）:反映卫生健康部门所属采供血机构的支出。</w:t>
      </w:r>
    </w:p>
    <w:p>
      <w:pPr>
        <w:spacing w:line="600" w:lineRule="exact"/>
        <w:ind w:firstLine="640"/>
        <w:rPr>
          <w:rFonts w:eastAsia="仿宋_GB2312" w:cs="仿宋_GB2312" w:hint="eastAsia"/>
          <w:sz w:val="32"/>
          <w:szCs w:val="32"/>
        </w:rPr>
      </w:pPr>
      <w:r>
        <w:rPr>
          <w:rFonts w:eastAsia="仿宋_GB2312" w:cs="仿宋_GB2312" w:hint="eastAsia"/>
          <w:sz w:val="32"/>
          <w:szCs w:val="32"/>
        </w:rPr>
        <w:t>7.卫生健康支出（类）公共卫生（款）重大公共卫生服务（项）:反映重大公共卫生服务支出。</w:t>
      </w:r>
    </w:p>
    <w:p>
      <w:pPr>
        <w:spacing w:line="600" w:lineRule="exact"/>
        <w:ind w:firstLine="640"/>
        <w:rPr>
          <w:rFonts w:eastAsia="仿宋_GB2312" w:cs="仿宋_GB2312" w:hint="eastAsia"/>
          <w:sz w:val="32"/>
          <w:szCs w:val="32"/>
        </w:rPr>
      </w:pPr>
      <w:r>
        <w:rPr>
          <w:rFonts w:eastAsia="仿宋_GB2312" w:cs="仿宋_GB2312" w:hint="eastAsia"/>
          <w:sz w:val="32"/>
          <w:szCs w:val="32"/>
        </w:rPr>
        <w:t>8.住房保障支出（类）住房改革支出（款）住房公积金（项）：反映行政事业单位按人力资源和社会保障部、财政部规定的基本工资和津贴补贴以及规定比例为职工缴纳的住房公积金。</w:t>
      </w:r>
    </w:p>
    <w:p>
      <w:pPr>
        <w:spacing w:line="600" w:lineRule="exact"/>
        <w:ind w:firstLine="640"/>
        <w:rPr>
          <w:rFonts w:eastAsia="仿宋_GB2312" w:cs="仿宋_GB2312" w:hint="eastAsia"/>
          <w:sz w:val="32"/>
          <w:szCs w:val="32"/>
        </w:rPr>
      </w:pPr>
      <w:r>
        <w:rPr>
          <w:rFonts w:eastAsia="仿宋_GB2312" w:cs="仿宋_GB2312" w:hint="eastAsia"/>
          <w:sz w:val="32"/>
          <w:szCs w:val="32"/>
        </w:rPr>
        <w:t>9.基本支出：指为保障机构正常运转、完成日常工作任务而发生的人员支出和公用支出。</w:t>
      </w:r>
    </w:p>
    <w:p>
      <w:pPr>
        <w:spacing w:line="600" w:lineRule="exact"/>
        <w:ind w:firstLine="640"/>
        <w:rPr>
          <w:rFonts w:eastAsia="仿宋_GB2312" w:cs="仿宋_GB2312" w:hint="eastAsia"/>
          <w:sz w:val="32"/>
          <w:szCs w:val="32"/>
        </w:rPr>
      </w:pPr>
      <w:r>
        <w:rPr>
          <w:rFonts w:eastAsia="仿宋_GB2312" w:cs="仿宋_GB2312" w:hint="eastAsia"/>
          <w:sz w:val="32"/>
          <w:szCs w:val="32"/>
        </w:rPr>
        <w:t>10.项目支出：指在基本支出之外为完成特定行政任务和事业发展目标所发生的支出。</w:t>
      </w:r>
    </w:p>
    <w:p>
      <w:pPr>
        <w:spacing w:line="600" w:lineRule="exact"/>
        <w:ind w:firstLine="640"/>
        <w:rPr>
          <w:rFonts w:eastAsia="仿宋_GB2312" w:cs="仿宋_GB2312" w:hint="eastAsia"/>
          <w:sz w:val="32"/>
          <w:szCs w:val="32"/>
        </w:rPr>
      </w:pPr>
      <w:r>
        <w:rPr>
          <w:rFonts w:eastAsia="仿宋_GB2312" w:cs="仿宋_GB2312" w:hint="eastAsia"/>
          <w:sz w:val="32"/>
          <w:szCs w:val="32"/>
        </w:rPr>
        <w:t>11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cs="仿宋_GB2312" w:hint="eastAsia"/>
          <w:sz w:val="32"/>
          <w:szCs w:val="32"/>
        </w:rPr>
        <w:sectPr>
          <w:pgSz w:w="11906" w:h="16838"/>
          <w:pgMar w:top="1440" w:right="1797" w:bottom="1440" w:left="1797" w:header="851" w:footer="992" w:gutter="0"/>
          <w:pgNumType w:fmt="numberInDash"/>
          <w:titlePg/>
          <w:docGrid w:linePitch="312" w:charSpace="0"/>
        </w:sectPr>
      </w:pPr>
      <w:r>
        <w:rPr>
          <w:rFonts w:eastAsia="仿宋_GB2312" w:cs="仿宋_GB2312" w:hint="eastAsia"/>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1Char"/>
          <w:rFonts w:eastAsia="黑体"/>
          <w:b w:val="0"/>
        </w:rPr>
      </w:pPr>
      <w:r>
        <w:rPr>
          <w:rFonts w:eastAsia="黑体" w:hint="eastAsia"/>
          <w:sz w:val="44"/>
          <w:szCs w:val="44"/>
        </w:rPr>
        <w:t>第四部分 附件</w:t>
      </w:r>
      <w:bookmarkEnd w:id="46"/>
    </w:p>
    <w:p>
      <w:pPr>
        <w:widowControl/>
        <w:adjustRightInd w:val="0"/>
        <w:snapToGrid w:val="0"/>
        <w:spacing w:line="540" w:lineRule="exact"/>
        <w:jc w:val="left"/>
        <w:rPr>
          <w:rFonts w:eastAsia="楷体"/>
          <w:color w:val="000000"/>
          <w:kern w:val="0"/>
          <w:sz w:val="32"/>
          <w:szCs w:val="32"/>
          <w:shd w:val="clear" w:color="auto" w:fill="FFFFFF"/>
          <w:lang w:val="zh-CN"/>
        </w:rPr>
      </w:pPr>
    </w:p>
    <w:p>
      <w:pPr>
        <w:pStyle w:val="17"/>
        <w:spacing w:line="560" w:lineRule="exact"/>
        <w:ind w:leftChars="0" w:left="0"/>
        <w:rPr>
          <w:rFonts w:ascii="Times New Roman" w:eastAsia="仿宋_GB2312" w:hAnsi="Times New Roman"/>
          <w:sz w:val="32"/>
          <w:lang w:val="zh-CN"/>
        </w:rPr>
      </w:pPr>
      <w:r>
        <w:rPr>
          <w:rFonts w:ascii="Times New Roman" w:eastAsia="仿宋_GB2312" w:hAnsi="Times New Roman" w:hint="eastAsia"/>
          <w:sz w:val="32"/>
          <w:lang w:val="zh-CN"/>
        </w:rPr>
        <w:t>附表：</w:t>
      </w:r>
      <w:r>
        <w:rPr>
          <w:rFonts w:ascii="Times New Roman" w:eastAsia="仿宋_GB2312" w:hAnsi="Times New Roman" w:hint="eastAsia"/>
          <w:sz w:val="32"/>
        </w:rPr>
        <w:t>部门预算项目支出绩效自评表（2024年度）</w:t>
      </w:r>
    </w:p>
    <w:p>
      <w:pPr>
        <w:pStyle w:val="18"/>
        <w:spacing w:beforeLines="0" w:before="72"/>
        <w:rPr>
          <w:rFonts w:ascii="Times New Roman" w:cs="宋体" w:hAnsi="Times New Roman"/>
          <w:color w:val="FF0000"/>
          <w:sz w:val="32"/>
          <w:szCs w:val="32"/>
          <w:shd w:val="clear" w:color="auto" w:fill="FFFFFF"/>
          <w:lang w:val="zh-CN"/>
          <w:highlight w:val="yellow"/>
        </w:rPr>
      </w:pPr>
    </w:p>
    <w:p>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pPr>
        <w:widowControl/>
        <w:jc w:val="center"/>
        <w:rPr>
          <w:rFonts w:eastAsia="仿宋"/>
        </w:rPr>
      </w:pPr>
      <w:bookmarkStart w:id="48" w:name="_Toc15396618"/>
      <w:r>
        <w:rPr>
          <w:rFonts w:eastAsia="黑体" w:hint="eastAsia"/>
          <w:sz w:val="44"/>
          <w:szCs w:val="44"/>
        </w:rPr>
        <w:t>第</w:t>
      </w:r>
      <w:r>
        <w:rPr>
          <w:rStyle w:val="1Char"/>
          <w:rFonts w:eastAsia="黑体" w:hint="eastAsia"/>
          <w:b w:val="0"/>
        </w:rPr>
        <w:t>五部分 附表</w:t>
      </w:r>
      <w:bookmarkStart w:id="49" w:name="_Toc15396619"/>
      <w:bookmarkEnd w:id="47"/>
      <w:bookmarkEnd w:id="48"/>
    </w:p>
    <w:p>
      <w:pPr>
        <w:pStyle w:val="25"/>
        <w:tabs>
          <w:tab w:val="right" w:leader="dot" w:pos="8296"/>
        </w:tabs>
        <w:adjustRightInd w:val="0"/>
        <w:snapToGrid w:val="0"/>
        <w:spacing w:line="560" w:lineRule="exact"/>
        <w:jc w:val="left"/>
        <w:rPr>
          <w:rFonts w:eastAsia="仿宋_GB2312" w:cs="仿宋_GB2312"/>
          <w:sz w:val="32"/>
          <w:szCs w:val="32"/>
        </w:rPr>
      </w:pPr>
    </w:p>
    <w:p>
      <w:pPr>
        <w:pStyle w:val="25"/>
        <w:tabs>
          <w:tab w:val="right" w:leader="dot" w:pos="8296"/>
        </w:tabs>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pPr>
        <w:pStyle w:val="25"/>
        <w:tabs>
          <w:tab w:val="right" w:leader="dot" w:pos="8296"/>
        </w:tabs>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pPr>
        <w:pStyle w:val="25"/>
        <w:tabs>
          <w:tab w:val="right" w:leader="dot" w:pos="8296"/>
        </w:tabs>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pPr>
        <w:pStyle w:val="25"/>
        <w:tabs>
          <w:tab w:val="right" w:leader="dot" w:pos="8296"/>
        </w:tabs>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pPr>
        <w:pStyle w:val="25"/>
        <w:tabs>
          <w:tab w:val="right" w:leader="dot" w:pos="8296"/>
        </w:tabs>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pPr>
        <w:pStyle w:val="25"/>
        <w:tabs>
          <w:tab w:val="right" w:leader="dot" w:pos="8296"/>
        </w:tabs>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pPr>
        <w:pStyle w:val="25"/>
        <w:tabs>
          <w:tab w:val="right" w:leader="dot" w:pos="8296"/>
        </w:tabs>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pPr>
        <w:pStyle w:val="25"/>
        <w:tabs>
          <w:tab w:val="right" w:leader="dot" w:pos="8296"/>
        </w:tabs>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pPr>
        <w:pStyle w:val="25"/>
        <w:tabs>
          <w:tab w:val="right" w:leader="dot" w:pos="8296"/>
        </w:tabs>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pPr>
        <w:pStyle w:val="25"/>
        <w:tabs>
          <w:tab w:val="right" w:leader="dot" w:pos="8296"/>
        </w:tabs>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政府性基金预算财政拨款收入支出决算表（此表无数据）</w:t>
      </w:r>
    </w:p>
    <w:p>
      <w:pPr>
        <w:pStyle w:val="25"/>
        <w:tabs>
          <w:tab w:val="right" w:leader="dot" w:pos="8296"/>
        </w:tabs>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国有资本经营预算财政拨款收入支出决算表（此表无数据）</w:t>
      </w:r>
    </w:p>
    <w:p>
      <w:pPr>
        <w:pStyle w:val="25"/>
        <w:tabs>
          <w:tab w:val="right" w:leader="dot" w:pos="8296"/>
        </w:tabs>
        <w:adjustRightInd w:val="0"/>
        <w:snapToGrid w:val="0"/>
        <w:spacing w:line="560" w:lineRule="exact"/>
        <w:jc w:val="left"/>
        <w:rPr>
          <w:rFonts w:eastAsia="仿宋_GB2312" w:cs="仿宋_GB2312"/>
          <w:sz w:val="32"/>
          <w:szCs w:val="32"/>
        </w:rPr>
      </w:pPr>
      <w:bookmarkStart w:id="60" w:name="_Toc15396630"/>
      <w:r>
        <w:rPr>
          <w:rFonts w:eastAsia="仿宋_GB2312" w:cs="仿宋_GB2312" w:hint="eastAsia"/>
          <w:sz w:val="32"/>
          <w:szCs w:val="32"/>
        </w:rPr>
        <w:t>十二、</w:t>
      </w:r>
      <w:bookmarkEnd w:id="60"/>
      <w:r>
        <w:rPr>
          <w:rFonts w:eastAsia="仿宋_GB2312" w:cs="仿宋_GB2312" w:hint="eastAsia"/>
          <w:sz w:val="32"/>
          <w:szCs w:val="32"/>
        </w:rPr>
        <w:t>国有资本经营预算财政拨款支出决算表（此表无数据）</w:t>
      </w:r>
    </w:p>
    <w:p>
      <w:pPr>
        <w:pStyle w:val="25"/>
        <w:tabs>
          <w:tab w:val="right" w:leader="dot" w:pos="8296"/>
        </w:tabs>
        <w:adjustRightInd w:val="0"/>
        <w:snapToGrid w:val="0"/>
        <w:spacing w:line="560" w:lineRule="exact"/>
        <w:jc w:val="left"/>
        <w:rPr>
          <w:rFonts w:eastAsia="仿宋_GB2312" w:cs="仿宋_GB2312"/>
          <w:sz w:val="32"/>
          <w:szCs w:val="32"/>
        </w:rPr>
      </w:pPr>
      <w:bookmarkStart w:id="61" w:name="_Toc15396631"/>
      <w:r>
        <w:rPr>
          <w:rFonts w:eastAsia="仿宋_GB2312" w:cs="仿宋_GB2312" w:hint="eastAsia"/>
          <w:sz w:val="32"/>
          <w:szCs w:val="32"/>
        </w:rPr>
        <w:t>十三、</w:t>
      </w:r>
      <w:bookmarkEnd w:id="61"/>
      <w:r>
        <w:rPr>
          <w:rFonts w:eastAsia="仿宋_GB2312" w:cs="仿宋_GB2312" w:hint="eastAsia"/>
          <w:sz w:val="32"/>
          <w:szCs w:val="32"/>
        </w:rPr>
        <w:t>财政拨款“三公”经费支出决算表</w:t>
      </w:r>
    </w:p>
    <w:p/>
    <w:sectPr>
      <w:pgSz w:w="11906" w:h="16838"/>
      <w:pgMar w:top="1440" w:right="1797" w:bottom="1440" w:left="1797" w:header="851" w:footer="992" w:gutter="0"/>
      <w:pgNumType w:fmt="numberInDash"/>
      <w:titlePg/>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panose1 w:val="02010601030101010101"/>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楷体_GB2312">
    <w:panose1 w:val="02010609030101010101"/>
    <w:charset w:val="86"/>
    <w:family w:val="auto"/>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
    <w:altName w:val="Arial"/>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p>
  <w:p>
    <w:pPr>
      <w:pStyle w:val="22"/>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62472719"/>
      <w:docPartList>
        <w:docPartGallery w:val="autotext"/>
      </w:docPartList>
    </w:sdtPr>
    <w:sdtContent>
      <w:p>
        <w:pPr>
          <w:pStyle w:val="22"/>
          <w:tabs>
            <w:tab w:val="center" w:pos="4153"/>
            <w:tab w:val="right" w:pos="8306"/>
          </w:tabs>
          <w:jc w:val="cente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5 -</w:t>
        </w:r>
        <w:r>
          <w:rPr>
            <w:sz w:val="21"/>
          </w:rPr>
          <w:fldChar w:fldCharType="end"/>
        </w:r>
      </w:p>
    </w:sdtContent>
  </w:sdt>
  <w:p>
    <w:pPr>
      <w:pStyle w:val="22"/>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77757652"/>
      <w:docPartList>
        <w:docPartGallery w:val="autotext"/>
      </w:docPartList>
    </w:sdtPr>
    <w:sdtContent>
      <w:p>
        <w:pPr>
          <w:pStyle w:val="22"/>
          <w:tabs>
            <w:tab w:val="center" w:pos="4153"/>
            <w:tab w:val="right" w:pos="8306"/>
          </w:tabs>
          <w:jc w:val="center"/>
        </w:pPr>
        <w:r>
          <w:rPr>
            <w:sz w:val="21"/>
            <w:szCs w:val="21"/>
          </w:rPr>
          <w:fldChar w:fldCharType="begin"/>
        </w:r>
        <w:r>
          <w:rPr>
            <w:sz w:val="21"/>
            <w:szCs w:val="21"/>
          </w:rPr>
          <w:instrText xml:space="preserve"> PAGE  \* ArabicDash  \* MERGEFORMAT </w:instrText>
        </w:r>
        <w:r>
          <w:rPr>
            <w:sz w:val="21"/>
            <w:szCs w:val="21"/>
          </w:rPr>
          <w:fldChar w:fldCharType="separate"/>
        </w:r>
        <w:r>
          <w:rPr>
            <w:sz w:val="21"/>
            <w:szCs w:val="21"/>
          </w:rPr>
          <w:t>- 2 -</w:t>
        </w:r>
        <w:r>
          <w:rPr>
            <w:sz w:val="21"/>
            <w:szCs w:val="21"/>
          </w:rPr>
          <w:fldChar w:fldCharType="end"/>
        </w:r>
      </w:p>
    </w:sdtContent>
  </w:sdt>
  <w:p>
    <w:pPr>
      <w:pStyle w:val="22"/>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63E1956"/>
    <w:multiLevelType w:val="multilevel"/>
    <w:tmpl w:val="363E1956"/>
    <w:lvl w:ilvl="0">
      <w:start w:val="1"/>
      <w:numFmt w:val="japaneseCounting"/>
      <w:lvlRestart w:val="0"/>
      <w:lvlText w:val="%1、"/>
      <w:lvlJc w:val="left"/>
      <w:pPr>
        <w:tabs>
          <w:tab w:val="num" w:pos="0"/>
        </w:tabs>
        <w:ind w:left="660" w:hanging="6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Plain Text"/>
    <w:basedOn w:val="0"/>
    <w:rPr>
      <w:rFonts w:ascii="宋体" w:eastAsia="仿宋_GB2312" w:hAnsi="宋体"/>
      <w:sz w:val="32"/>
    </w:r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rFonts w:ascii="Calibri" w:hAnsi="Calibri"/>
      <w:kern w:val="0"/>
      <w:sz w:val="18"/>
      <w:szCs w:val="18"/>
    </w:rPr>
  </w:style>
  <w:style w:type="paragraph" w:styleId="23">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basedOn w:val="0"/>
    <w:next w:val="0"/>
    <w:pPr>
      <w:tabs>
        <w:tab w:val="right" w:leader="dot" w:pos="8296"/>
      </w:tabs>
      <w:spacing w:before="93"/>
      <w:jc w:val="center"/>
    </w:pPr>
    <w:rPr>
      <w:rFonts w:ascii="仿宋" w:eastAsia="仿宋"/>
      <w:sz w:val="28"/>
      <w:szCs w:val="28"/>
    </w:rPr>
  </w:style>
  <w:style w:type="paragraph" w:styleId="25">
    <w:name w:val="toc 2"/>
    <w:basedOn w:val="0"/>
    <w:next w:val="0"/>
    <w:pPr>
      <w:tabs>
        <w:tab w:val="right" w:leader="dot" w:pos="8296"/>
      </w:tabs>
      <w:ind w:leftChars="200" w:left="200"/>
    </w:pPr>
  </w:style>
  <w:style w:type="paragraph" w:styleId="26">
    <w:name w:val="Normal (Web)"/>
    <w:basedOn w:val="0"/>
    <w:rPr>
      <w:sz w:val="24"/>
    </w:rPr>
  </w:style>
  <w:style w:type="character" w:styleId="27">
    <w:name w:val="Strong"/>
    <w:basedOn w:val="10"/>
    <w:rPr>
      <w:b/>
    </w:rPr>
  </w:style>
  <w:style w:type="character" w:styleId="28">
    <w:name w:val="Hyperlink"/>
    <w:basedOn w:val="10"/>
    <w:rPr>
      <w:color w:val="0000FF"/>
      <w:u w:val="single"/>
    </w:rPr>
  </w:style>
  <w:style w:type="paragraph" w:customStyle="1" w:styleId="29">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0">
    <w:name w:val="Header Char"/>
    <w:basedOn w:val="10"/>
    <w:rPr>
      <w:rFonts w:ascii="Times New Roman" w:hAnsi="Times New Roman"/>
      <w:sz w:val="18"/>
      <w:szCs w:val="18"/>
    </w:rPr>
  </w:style>
  <w:style w:type="character" w:customStyle="1" w:styleId="31">
    <w:name w:val="Footer Char"/>
    <w:basedOn w:val="10"/>
    <w:rPr>
      <w:rFonts w:ascii="Times New Roman" w:hAnsi="Times New Roman"/>
      <w:sz w:val="18"/>
      <w:szCs w:val="18"/>
    </w:rPr>
  </w:style>
  <w:style w:type="character" w:customStyle="1" w:styleId="32">
    <w:name w:val="Body Text Char"/>
    <w:basedOn w:val="10"/>
    <w:rPr>
      <w:rFonts w:ascii="Times New Roman" w:hAnsi="Times New Roman"/>
      <w:szCs w:val="24"/>
    </w:rPr>
  </w:style>
  <w:style w:type="paragraph" w:customStyle="1" w:styleId="33">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4">
    <w:name w:val="List Paragraph"/>
    <w:basedOn w:val="0"/>
    <w:pPr>
      <w:ind w:firstLineChars="200" w:firstLine="200"/>
    </w:pPr>
  </w:style>
  <w:style w:type="paragraph" w:customStyle="1" w:styleId="35">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6">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7">
    <w:name w:val="四号正文"/>
    <w:basedOn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84034"/>
          <c:y val="0.038427647"/>
          <c:w val="0.8600648"/>
          <c:h val="0.85396326"/>
        </c:manualLayout>
      </c:layout>
      <c:barChart>
        <c:barDir val="col"/>
        <c:grouping val="clustered"/>
        <c:varyColors val="0"/>
        <c:ser>
          <c:idx val="0"/>
          <c:order val="0"/>
          <c:tx>
            <c:strRef>
              <c:f>'Sheet1'!$B$1</c:f>
              <c:strCache>
                <c:ptCount val="1"/>
                <c:pt idx="0">
                  <c:v>系列 1</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quot;万&quot;&quot;元&quot;"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2023年度收、支总计</c:v>
                </c:pt>
                <c:pt idx="1">
                  <c:v>2024年度收、支总计</c:v>
                </c:pt>
              </c:strCache>
            </c:strRef>
          </c:cat>
          <c:val>
            <c:numRef>
              <c:f>'Sheet1'!$B$2:$B$3</c:f>
              <c:numCache>
                <c:formatCode>General"万""元"</c:formatCode>
                <c:ptCount val="2"/>
                <c:pt idx="0">
                  <c:v>2105.43</c:v>
                </c:pt>
                <c:pt idx="1">
                  <c:v>1930.08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000000"/>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1100.0"/>
          <c:max val="2200.0"/>
        </c:scaling>
        <c:delete val="0"/>
        <c:axPos val="l"/>
        <c:majorGridlines>
          <c:spPr>
            <a:ln w="6350">
              <a:solidFill>
                <a:srgbClr val="868686"/>
              </a:solidFill>
              <a:prstDash val="solid"/>
            </a:ln>
          </c:spPr>
        </c:majorGridlines>
        <c:numFmt formatCode="General&quot;万&quot;&quot;元&quot;" sourceLinked="1"/>
        <c:majorTickMark val="none"/>
        <c:minorTickMark val="none"/>
        <c:tickLblPos val="nextTo"/>
        <c:spPr>
          <a:ln w="6350">
            <a:solidFill>
              <a:srgbClr val="000000"/>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majorUnit val="200.0"/>
        <c:crossAx val="0"/>
      </c:valAx>
      <c:spPr>
        <a:noFill/>
        <a:ln>
          <a:noFill/>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销售额</c:v>
                </c:pt>
              </c:strCache>
            </c:strRef>
          </c:tx>
          <c:spPr>
            <a:solidFill>
              <a:srgbClr val="4F81BD"/>
            </a:solidFill>
          </c:spPr>
          <c:dPt>
            <c:idx val="0"/>
            <c:bubble3D val="0"/>
            <c:spPr>
              <a:solidFill>
                <a:srgbClr val="4F81B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quot;万&quot;&quot;元&quot;" sourceLinked="1"/>
            <c:showLegendKey val="0"/>
            <c:showVal val="1"/>
            <c:showCatName val="0"/>
            <c:showSerName val="0"/>
            <c:showPercent val="0"/>
            <c:showBubbleSize val="0"/>
            <c:showLeaderLines val="1"/>
          </c:dLbls>
          <c:cat>
            <c:strRef>
              <c:f>'Sheet1 (2)'!$A$2</c:f>
              <c:strCache>
                <c:ptCount val="1"/>
                <c:pt idx="0">
                  <c:v>一般公共预算财政拨款收入</c:v>
                </c:pt>
              </c:strCache>
            </c:strRef>
          </c:cat>
          <c:val>
            <c:numRef>
              <c:f>Sheet1 (2)!$B$2</c:f>
              <c:numCache>
                <c:formatCode>General"万""元"</c:formatCode>
                <c:ptCount val="1"/>
                <c:pt idx="0">
                  <c:v>1930.08</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销售额</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quot;万&quot;&quot;元&quot;" sourceLinked="1"/>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General"万""元"</c:formatCode>
                <c:ptCount val="2"/>
                <c:pt idx="0">
                  <c:v>1076.98</c:v>
                </c:pt>
                <c:pt idx="1">
                  <c:v>853.1</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84034"/>
          <c:y val="0.038427647"/>
          <c:w val="0.8600648"/>
          <c:h val="0.85396326"/>
        </c:manualLayout>
      </c:layout>
      <c:barChart>
        <c:barDir val="col"/>
        <c:grouping val="clustered"/>
        <c:varyColors val="0"/>
        <c:ser>
          <c:idx val="0"/>
          <c:order val="0"/>
          <c:tx>
            <c:strRef>
              <c:f>'Sheet1 (4)'!$B$1</c:f>
              <c:strCache>
                <c:ptCount val="1"/>
                <c:pt idx="0">
                  <c:v>系列 1</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quot;万&quot;&quot;元&quot;"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2023年度收、支总计</c:v>
                </c:pt>
                <c:pt idx="1">
                  <c:v>2024年度收、支总计</c:v>
                </c:pt>
              </c:strCache>
            </c:strRef>
          </c:cat>
          <c:val>
            <c:numRef>
              <c:f>'Sheet1 (4)'!$B$2:$B$3</c:f>
              <c:numCache>
                <c:formatCode>General"万""元"</c:formatCode>
                <c:ptCount val="2"/>
                <c:pt idx="0">
                  <c:v>2105.43</c:v>
                </c:pt>
                <c:pt idx="1">
                  <c:v>1930.08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000000"/>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1100.0"/>
          <c:max val="2200.0"/>
        </c:scaling>
        <c:delete val="0"/>
        <c:axPos val="l"/>
        <c:majorGridlines>
          <c:spPr>
            <a:ln w="6350">
              <a:solidFill>
                <a:srgbClr val="868686"/>
              </a:solidFill>
              <a:prstDash val="solid"/>
            </a:ln>
          </c:spPr>
        </c:majorGridlines>
        <c:numFmt formatCode="General&quot;万&quot;&quot;元&quot;" sourceLinked="1"/>
        <c:majorTickMark val="none"/>
        <c:minorTickMark val="none"/>
        <c:tickLblPos val="nextTo"/>
        <c:spPr>
          <a:ln w="6350">
            <a:solidFill>
              <a:srgbClr val="000000"/>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majorUnit val="200.0"/>
        <c:crossAx val="0"/>
      </c:valAx>
      <c:spPr>
        <a:noFill/>
        <a:ln>
          <a:noFill/>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84034"/>
          <c:y val="0.05849789"/>
          <c:w val="0.8600648"/>
          <c:h val="0.8522584"/>
        </c:manualLayout>
      </c:layout>
      <c:barChart>
        <c:barDir val="col"/>
        <c:grouping val="clustered"/>
        <c:varyColors val="0"/>
        <c:ser>
          <c:idx val="0"/>
          <c:order val="0"/>
          <c:tx>
            <c:strRef>
              <c:f>'Sheet1 (5)'!$B$1</c:f>
              <c:strCache>
                <c:ptCount val="1"/>
                <c:pt idx="0">
                  <c:v>系列 1</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quot;万&quot;&quot;元&quot;"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(5)'!$A$2:$A$3</c:f>
              <c:strCache>
                <c:ptCount val="2"/>
                <c:pt idx="0">
                  <c:v>2023年度一般公共预算财政拨款支出</c:v>
                </c:pt>
                <c:pt idx="1">
                  <c:v>2024年度一般公共预算财政拨款支出</c:v>
                </c:pt>
              </c:strCache>
            </c:strRef>
          </c:cat>
          <c:val>
            <c:numRef>
              <c:f>'Sheet1 (5)'!$B$2:$B$3</c:f>
              <c:numCache>
                <c:formatCode>General"万""元"</c:formatCode>
                <c:ptCount val="2"/>
                <c:pt idx="0">
                  <c:v>1305.55</c:v>
                </c:pt>
                <c:pt idx="1">
                  <c:v>1930.08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000000"/>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1000.0"/>
          <c:max val="2000.0"/>
        </c:scaling>
        <c:delete val="0"/>
        <c:axPos val="l"/>
        <c:majorGridlines>
          <c:spPr>
            <a:ln w="6350">
              <a:solidFill>
                <a:srgbClr val="868686"/>
              </a:solidFill>
              <a:prstDash val="solid"/>
            </a:ln>
          </c:spPr>
        </c:majorGridlines>
        <c:numFmt formatCode="General&quot;万&quot;&quot;元&quot;" sourceLinked="1"/>
        <c:majorTickMark val="none"/>
        <c:minorTickMark val="none"/>
        <c:tickLblPos val="nextTo"/>
        <c:spPr>
          <a:ln w="6350">
            <a:solidFill>
              <a:srgbClr val="000000"/>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majorUnit val="200.0"/>
        <c:crossAx val="0"/>
      </c:valAx>
      <c:spPr>
        <a:noFill/>
        <a:ln>
          <a:noFill/>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33654"/>
          <c:y val="0.11583298"/>
          <c:w val="0.4227179"/>
          <c:h val="0.8362128"/>
        </c:manualLayout>
      </c:layout>
      <c:pieChart>
        <c:varyColors val="1"/>
        <c:ser>
          <c:idx val="0"/>
          <c:order val="0"/>
          <c:tx>
            <c:strRef>
              <c:f>'Sheet1 (6)'!$B$1</c:f>
              <c:strCache>
                <c:ptCount val="1"/>
                <c:pt idx="0">
                  <c:v>销售额</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quot;万&quot;&quot;元&quot;" sourceLinked="1"/>
            <c:showLegendKey val="0"/>
            <c:showVal val="1"/>
            <c:showCatName val="0"/>
            <c:showSerName val="0"/>
            <c:showPercent val="0"/>
            <c:showBubbleSize val="0"/>
            <c:showLeaderLines val="1"/>
          </c:dLbls>
          <c:cat>
            <c:strRef>
              <c:f>'Sheet1 (6)'!$A$2:$A$4</c:f>
              <c:strCache>
                <c:ptCount val="3"/>
                <c:pt idx="0">
                  <c:v>社会保障和就业支出</c:v>
                </c:pt>
                <c:pt idx="1">
                  <c:v>卫生健康支出</c:v>
                </c:pt>
                <c:pt idx="2">
                  <c:v>住房保障支出</c:v>
                </c:pt>
              </c:strCache>
            </c:strRef>
          </c:cat>
          <c:val>
            <c:numRef>
              <c:f>'Sheet1 (6)'!$B$2:$B$4</c:f>
              <c:numCache>
                <c:formatCode>0.00"万""元"</c:formatCode>
                <c:ptCount val="3"/>
                <c:pt idx="0">
                  <c:v>274.21</c:v>
                </c:pt>
                <c:pt idx="1">
                  <c:v>1585.86</c:v>
                </c:pt>
                <c:pt idx="2">
                  <c:v>70.01</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57183"/>
          <c:y val="0.11583298"/>
          <c:w val="0.4349728"/>
          <c:h val="0.8604553"/>
        </c:manualLayout>
      </c:layout>
      <c:pieChart>
        <c:varyColors val="1"/>
        <c:ser>
          <c:idx val="0"/>
          <c:order val="0"/>
          <c:tx>
            <c:strRef>
              <c:f>'Sheet1 (7)'!$B$1</c:f>
              <c:strCache>
                <c:ptCount val="1"/>
                <c:pt idx="0">
                  <c:v>销售额</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quot;万&quot;&quot;元&quot;" sourceLinked="1"/>
            <c:showLegendKey val="0"/>
            <c:showVal val="1"/>
            <c:showCatName val="0"/>
            <c:showSerName val="0"/>
            <c:showPercent val="0"/>
            <c:showBubbleSize val="0"/>
            <c:showLeaderLines val="1"/>
          </c:dLbls>
          <c:cat>
            <c:strRef>
              <c:f>'Sheet1 (7)'!$A$2:$A$3</c:f>
              <c:strCache>
                <c:ptCount val="2"/>
                <c:pt idx="0">
                  <c:v>公务用车购置及运行维护费支出决算</c:v>
                </c:pt>
                <c:pt idx="1">
                  <c:v>公务接待费支出决算</c:v>
                </c:pt>
              </c:strCache>
            </c:strRef>
          </c:cat>
          <c:val>
            <c:numRef>
              <c:f>'Sheet1 (7)'!$B$2:$B$3</c:f>
              <c:numCache>
                <c:formatCode>0.00"万""元"</c:formatCode>
                <c:ptCount val="2"/>
                <c:pt idx="0">
                  <c:v>14.54</c:v>
                </c:pt>
                <c:pt idx="1">
                  <c:v>0.25</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39</TotalTime>
  <Application>Yozo_Office27021597764231179</Application>
  <Pages>18</Pages>
  <Words>4613</Words>
  <Characters>5162</Characters>
  <Lines>290</Lines>
  <Paragraphs>130</Paragraphs>
  <CharactersWithSpaces>5213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9</cp:revision>
  <cp:lastPrinted>2025-08-06T17:34:00Z</cp:lastPrinted>
  <dcterms:created xsi:type="dcterms:W3CDTF">2025-08-07T17:17:00Z</dcterms:created>
  <dcterms:modified xsi:type="dcterms:W3CDTF">2025-09-11T07:35:13Z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eyJoZGlkIjoiNDQ1ODlhMmViZDI3ODYxYzU5OTcyMDExYjAxNjc5ZGIiLCJ1c2VySWQiOiIxNjU3NjM1NzUyIn0=</vt:lpwstr>
  </property>
</Properties>
</file>