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rPr>
          <w:rFonts w:ascii="Times New Roman" w:eastAsia="方正小标宋简体" w:cs="Times New Roman" w:hAnsi="Times New Roman"/>
          <w:color w:val="auto"/>
          <w:kern w:val="2"/>
          <w:sz w:val="72"/>
          <w:szCs w:val="72"/>
          <w:lang w:val="en-US" w:eastAsia="zh-CN" w:bidi="ar-SA"/>
          <w:highlight w:val="auto"/>
        </w:rPr>
      </w:pPr>
      <w:bookmarkStart w:id="0" w:name="_Toc15396475"/>
      <w:bookmarkStart w:id="1" w:name="_Toc15306267"/>
      <w:bookmarkStart w:id="2" w:name="_Toc15377425"/>
      <w:bookmarkStart w:id="3" w:name="_Toc15378441"/>
      <w:bookmarkStart w:id="4" w:name="_Toc15377193"/>
      <w:bookmarkStart w:id="5" w:name="_Toc15396597"/>
    </w:p>
    <w:p>
      <w:pPr>
        <w:pStyle w:val="15"/>
        <w:rPr>
          <w:rFonts w:ascii="Times New Roman" w:eastAsia="方正小标宋简体" w:cs="Times New Roman" w:hAnsi="Times New Roman"/>
          <w:color w:val="auto"/>
          <w:kern w:val="2"/>
          <w:sz w:val="72"/>
          <w:szCs w:val="72"/>
          <w:lang w:val="en-US" w:eastAsia="zh-CN" w:bidi="ar-SA"/>
          <w:highlight w:val="auto"/>
        </w:rPr>
      </w:pPr>
    </w:p>
    <w:p>
      <w:pPr>
        <w:pStyle w:val="15"/>
        <w:rPr>
          <w:rFonts w:ascii="Times New Roman" w:eastAsia="方正小标宋简体" w:cs="Times New Roman" w:hAnsi="Times New Roman"/>
          <w:color w:val="auto"/>
          <w:kern w:val="2"/>
          <w:sz w:val="72"/>
          <w:szCs w:val="72"/>
          <w:lang w:val="en-US" w:eastAsia="zh-CN" w:bidi="ar-SA"/>
          <w:highlight w:val="auto"/>
        </w:rPr>
      </w:pPr>
    </w:p>
    <w:p>
      <w:pPr>
        <w:pStyle w:val="15"/>
        <w:jc w:val="center"/>
        <w:rPr>
          <w:rFonts w:ascii="Times New Roman" w:eastAsia="方正小标宋简体" w:cs="Times New Roman" w:hAnsi="Times New Roman"/>
          <w:color w:val="auto"/>
          <w:kern w:val="2"/>
          <w:sz w:val="44"/>
          <w:szCs w:val="44"/>
          <w:lang w:val="en-US" w:eastAsia="zh-CN" w:bidi="ar-SA"/>
          <w:highlight w:val="auto"/>
        </w:rPr>
      </w:pPr>
      <w:r>
        <w:rPr>
          <w:rFonts w:ascii="Times New Roman" w:eastAsia="方正小标宋简体" w:cs="Times New Roman" w:hAnsi="Times New Roman"/>
          <w:color w:val="auto"/>
          <w:kern w:val="2"/>
          <w:sz w:val="44"/>
          <w:szCs w:val="44"/>
          <w:lang w:val="en-US" w:eastAsia="zh-CN" w:bidi="ar-SA"/>
          <w:highlight w:val="auto"/>
        </w:rPr>
        <w:t>2024年度攀枝花市健康促进和卫生大数据中心决算公开</w:t>
      </w:r>
      <w:r>
        <w:rPr>
          <w:rFonts w:ascii="Times New Roman" w:eastAsia="方正小标宋简体" w:cs="Times New Roman" w:hAnsi="Times New Roman" w:hint="eastAsia"/>
          <w:color w:val="auto"/>
          <w:kern w:val="2"/>
          <w:sz w:val="44"/>
          <w:szCs w:val="44"/>
          <w:lang w:val="en-US" w:eastAsia="zh-CN" w:bidi="ar-SA"/>
          <w:highlight w:val="auto"/>
        </w:rPr>
        <w:t>编制</w:t>
      </w:r>
      <w:r>
        <w:rPr>
          <w:rFonts w:ascii="Times New Roman" w:eastAsia="方正小标宋简体" w:cs="Times New Roman" w:hAnsi="Times New Roman"/>
          <w:color w:val="auto"/>
          <w:kern w:val="2"/>
          <w:sz w:val="44"/>
          <w:szCs w:val="44"/>
          <w:lang w:val="en-US" w:eastAsia="zh-CN" w:bidi="ar-SA"/>
          <w:highlight w:val="auto"/>
        </w:rPr>
        <w:t>说明</w:t>
      </w:r>
    </w:p>
    <w:p>
      <w:pPr>
        <w:rPr>
          <w:rFonts w:ascii="Times New Roman" w:cs="Times New Roman" w:hAnsi="Times New Roman"/>
        </w:rPr>
      </w:pPr>
    </w:p>
    <w:p>
      <w:pPr>
        <w:pStyle w:val="15"/>
        <w:jc w:val="center"/>
        <w:rPr>
          <w:rFonts w:ascii="Times New Roman" w:eastAsia="方正小标宋简体" w:cs="Times New Roman" w:hAnsi="Times New Roman"/>
          <w:color w:val="auto"/>
          <w:kern w:val="2"/>
          <w:sz w:val="44"/>
          <w:szCs w:val="44"/>
          <w:lang w:val="en-US" w:eastAsia="zh-CN" w:bidi="ar-SA"/>
          <w:highlight w:val="auto"/>
        </w:rPr>
      </w:pPr>
    </w:p>
    <w:p>
      <w:pPr>
        <w:pStyle w:val="15"/>
        <w:jc w:val="center"/>
        <w:rPr>
          <w:rFonts w:ascii="Times New Roman" w:eastAsia="方正小标宋简体" w:cs="Times New Roman" w:hAnsi="Times New Roman"/>
          <w:color w:val="auto"/>
          <w:kern w:val="2"/>
          <w:sz w:val="44"/>
          <w:szCs w:val="44"/>
          <w:lang w:val="en-US" w:eastAsia="zh-CN" w:bidi="ar-SA"/>
          <w:highlight w:val="auto"/>
        </w:rPr>
      </w:pPr>
    </w:p>
    <w:p>
      <w:pPr>
        <w:pStyle w:val="15"/>
        <w:jc w:val="center"/>
        <w:rPr>
          <w:rFonts w:ascii="Times New Roman" w:eastAsia="方正小标宋简体" w:cs="Times New Roman" w:hAnsi="Times New Roman"/>
          <w:color w:val="auto"/>
          <w:kern w:val="2"/>
          <w:sz w:val="44"/>
          <w:szCs w:val="44"/>
          <w:lang w:val="en-US" w:eastAsia="zh-CN" w:bidi="ar-SA"/>
          <w:highlight w:val="auto"/>
        </w:rPr>
      </w:pPr>
    </w:p>
    <w:p>
      <w:pPr>
        <w:pStyle w:val="15"/>
        <w:jc w:val="center"/>
        <w:rPr>
          <w:rFonts w:ascii="Times New Roman" w:eastAsia="方正小标宋简体" w:cs="Times New Roman" w:hAnsi="Times New Roman"/>
          <w:color w:val="auto"/>
          <w:kern w:val="2"/>
          <w:sz w:val="44"/>
          <w:szCs w:val="44"/>
          <w:lang w:val="en-US" w:eastAsia="zh-CN" w:bidi="ar-SA"/>
          <w:highlight w:val="auto"/>
        </w:rPr>
      </w:pPr>
    </w:p>
    <w:p>
      <w:pPr>
        <w:pStyle w:val="15"/>
        <w:jc w:val="center"/>
        <w:rPr>
          <w:rFonts w:ascii="Times New Roman" w:eastAsia="方正小标宋简体" w:cs="Times New Roman" w:hAnsi="Times New Roman"/>
          <w:color w:val="auto"/>
          <w:kern w:val="2"/>
          <w:sz w:val="44"/>
          <w:szCs w:val="44"/>
          <w:lang w:val="en-US" w:eastAsia="zh-CN" w:bidi="ar-SA"/>
          <w:highlight w:val="auto"/>
        </w:rPr>
      </w:pPr>
    </w:p>
    <w:p>
      <w:pPr>
        <w:pStyle w:val="15"/>
        <w:jc w:val="center"/>
        <w:rPr>
          <w:rFonts w:ascii="Times New Roman" w:eastAsia="方正小标宋简体" w:cs="Times New Roman" w:hAnsi="Times New Roman"/>
          <w:color w:val="auto"/>
          <w:kern w:val="2"/>
          <w:sz w:val="44"/>
          <w:szCs w:val="44"/>
          <w:lang w:val="en-US" w:eastAsia="zh-CN" w:bidi="ar-SA"/>
          <w:highlight w:val="auto"/>
        </w:rPr>
      </w:pPr>
    </w:p>
    <w:p>
      <w:bookmarkEnd w:id="0"/>
      <w:bookmarkEnd w:id="1"/>
      <w:bookmarkEnd w:id="2"/>
      <w:bookmarkEnd w:id="3"/>
      <w:bookmarkEnd w:id="4"/>
      <w:bookmarkEnd w:id="5"/>
    </w:p>
    <w:p>
      <w:pPr>
        <w:pStyle w:val="22"/>
        <w:tabs>
          <w:tab w:val="right" w:leader="dot" w:pos="8296"/>
        </w:tabs>
        <w:adjustRightInd w:val="0"/>
        <w:snapToGrid w:val="0"/>
        <w:spacing w:before="0" w:line="440" w:lineRule="exact"/>
        <w:jc w:val="center"/>
        <w:rPr>
          <w:rFonts w:ascii="宋体" w:eastAsia="宋体" w:cs="Times New Roman"/>
          <w:kern w:val="2"/>
          <w:sz w:val="21"/>
          <w:szCs w:val="24"/>
          <w:lang w:val="en-US" w:eastAsia="zh-CN" w:bidi="ar-SA"/>
        </w:rPr>
        <w:sectPr>
          <w:headerReference w:type="default" r:id="rId2"/>
          <w:footerReference w:type="default" r:id="rId3"/>
          <w:pgSz w:w="11906" w:h="16838"/>
          <w:pgMar w:top="1440" w:right="1800" w:bottom="1440" w:left="1800" w:header="851" w:footer="992" w:gutter="0"/>
          <w:pgNumType w:fmt="numberInDash" w:start="1"/>
          <w:titlePg/>
          <w:docGrid w:type="lines" w:linePitch="312" w:charSpace="0"/>
        </w:sectPr>
      </w:pPr>
    </w:p>
    <w:sdt>
      <w:sdtPr>
        <w:rPr>
          <w:rFonts w:ascii="宋体" w:eastAsia="宋体" w:cs="Times New Roman"/>
          <w:kern w:val="2"/>
          <w:sz w:val="21"/>
          <w:szCs w:val="24"/>
          <w:lang w:val="en-US" w:eastAsia="zh-CN" w:bidi="ar-SA"/>
        </w:rPr>
        <w:id w:val="1163444923"/>
        <w15:color w:val="DBDBDB"/>
        <w:docPartObj>
          <w:docPartGallery w:val="Table of Contents"/>
          <w:docPartUnique/>
        </w:docPartObj>
      </w:sdtPr>
      <w:sdtEndPr>
        <w:rPr>
          <w:rFonts w:ascii="方正仿宋_GB2312" w:eastAsia="方正仿宋_GB2312" w:cs="方正仿宋_GB2312" w:hint="eastAsia"/>
          <w:sz w:val="30"/>
          <w:szCs w:val="30"/>
        </w:rPr>
      </w:sdtEndPr>
      <w:sdtContent>
        <w:p>
          <w:pPr>
            <w:pStyle w:val="22"/>
            <w:tabs>
              <w:tab w:val="right" w:leader="dot" w:pos="8296"/>
            </w:tabs>
            <w:adjustRightInd w:val="0"/>
            <w:snapToGrid w:val="0"/>
            <w:spacing w:before="0" w:line="440" w:lineRule="exact"/>
            <w:jc w:val="center"/>
            <w:rPr>
              <w:rFonts w:ascii="黑体" w:eastAsia="黑体" w:cs="黑体" w:hint="eastAsia"/>
              <w:kern w:val="2"/>
              <w:sz w:val="44"/>
              <w:szCs w:val="44"/>
              <w:lang w:val="en-US" w:eastAsia="zh-CN" w:bidi="ar-SA"/>
            </w:rPr>
          </w:pPr>
          <w:r>
            <w:rPr>
              <w:rFonts w:ascii="黑体" w:eastAsia="黑体" w:cs="黑体" w:hint="eastAsia"/>
              <w:kern w:val="2"/>
              <w:sz w:val="44"/>
              <w:szCs w:val="44"/>
              <w:lang w:val="en-US" w:eastAsia="zh-CN" w:bidi="ar-SA"/>
            </w:rPr>
            <w:t>目录</w:t>
          </w:r>
        </w:p>
        <w:p>
          <w:pPr>
            <w:pStyle w:val="15"/>
            <w:rPr>
              <w:rFonts w:ascii="黑体" w:eastAsia="黑体" w:cs="黑体" w:hint="eastAsia"/>
              <w:kern w:val="2"/>
              <w:sz w:val="44"/>
              <w:szCs w:val="44"/>
              <w:lang w:val="en-US" w:eastAsia="zh-CN" w:bidi="ar-SA"/>
            </w:rPr>
          </w:pPr>
        </w:p>
        <w:p>
          <w:pPr>
            <w:pStyle w:val="15"/>
            <w:jc w:val="center"/>
            <w:rPr>
              <w:rFonts w:ascii="方正仿宋_GB2312" w:eastAsia="方正仿宋_GB2312" w:cs="方正仿宋_GB2312" w:hint="eastAsia"/>
              <w:kern w:val="2"/>
              <w:sz w:val="32"/>
              <w:szCs w:val="32"/>
              <w:lang w:val="en-US" w:eastAsia="zh-CN" w:bidi="ar-SA"/>
            </w:rPr>
          </w:pPr>
          <w:r>
            <w:rPr>
              <w:rFonts w:ascii="方正仿宋_GB2312" w:eastAsia="方正仿宋_GB2312" w:cs="方正仿宋_GB2312" w:hint="eastAsia"/>
              <w:kern w:val="2"/>
              <w:sz w:val="32"/>
              <w:szCs w:val="32"/>
              <w:lang w:val="en-US" w:eastAsia="zh-CN" w:bidi="ar-SA"/>
            </w:rPr>
            <w:t>公开时间：2025年9月1</w:t>
          </w:r>
          <w:r>
            <w:rPr>
              <w:rFonts w:ascii="方正仿宋_GB2312" w:eastAsia="方正仿宋_GB2312" w:cs="方正仿宋_GB2312"/>
              <w:kern w:val="2"/>
              <w:sz w:val="32"/>
              <w:szCs w:val="32"/>
              <w:lang w:val="en-US" w:eastAsia="zh-CN" w:bidi="ar-SA"/>
            </w:rPr>
            <w:t>1</w:t>
          </w:r>
          <w:bookmarkStart w:id="6" w:name="_GoBack"/>
          <w:bookmarkEnd w:id="6"/>
          <w:r>
            <w:rPr>
              <w:rFonts w:ascii="方正仿宋_GB2312" w:eastAsia="方正仿宋_GB2312" w:cs="方正仿宋_GB2312" w:hint="eastAsia"/>
              <w:kern w:val="2"/>
              <w:sz w:val="32"/>
              <w:szCs w:val="32"/>
              <w:lang w:val="en-US" w:eastAsia="zh-CN" w:bidi="ar-SA"/>
            </w:rPr>
            <w:t>日</w:t>
          </w:r>
        </w:p>
        <w:p>
          <w:pPr>
            <w:pStyle w:val="15"/>
            <w:rPr>
              <w:rFonts w:ascii="黑体" w:eastAsia="黑体" w:cs="黑体"/>
              <w:kern w:val="2"/>
              <w:sz w:val="44"/>
              <w:szCs w:val="44"/>
              <w:lang w:val="en-US" w:eastAsia="zh-CN" w:bidi="ar-SA"/>
            </w:rPr>
          </w:pPr>
        </w:p>
        <w:p>
          <w:pPr>
            <w:pStyle w:val="22"/>
            <w:tabs>
              <w:tab w:val="right" w:leader="dot" w:pos="8296"/>
            </w:tabs>
            <w:adjustRightInd w:val="0"/>
            <w:snapToGrid w:val="0"/>
            <w:spacing w:before="0" w:line="440" w:lineRule="exact"/>
            <w:jc w:val="left"/>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TOC \o "1-2" \h \u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_Toc28256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第一部分  单位概况</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_Toc28256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_Toc17697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一、单位职责</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_Toc17697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_Toc27231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二、机构设置</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_Toc27231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_Toc14928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第二部分  2024年度单位决算情况说明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_Toc14928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- 2 -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_Toc5865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一、收入支出决算总体情况说明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_Toc5865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- 2 -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_Toc3918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二、收入决算情况说明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_Toc3918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- 2 -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_Toc5441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三、支出决算情况说明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_Toc5441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- 3 -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_Toc17184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四、财政拨款收入支出决算总体情况说明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_Toc17184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- 4 -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_Toc23204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五、一般公共预算财政拨款支出决算情况说明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_Toc23204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- 4 -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_Toc22436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六、一般公共预算财政拨款基本支出决算情况说明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_Toc22436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- 7 -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_Toc1758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七、财政拨款“三公”经费支出决算情况说明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_Toc1758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- 7 -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_Toc6897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八、政府性基金预算支出决算情况说明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_Toc6897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- 9 -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_Toc31780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九、国有资本经营预算支出决算情况说明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_Toc31780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- 9 -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_Toc14389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十、其他重要事项的情况说明</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_Toc14389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- 9 -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tabs>
              <w:tab w:val="right" w:leader="dot" w:pos="8296"/>
            </w:tabs>
            <w:adjustRightInd w:val="0"/>
            <w:snapToGrid w:val="0"/>
            <w:spacing w:before="0" w:line="440" w:lineRule="exact"/>
            <w:jc w:val="left"/>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_Toc32056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第三部分  名词解释</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_Toc32056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- 12 -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tabs>
              <w:tab w:val="right" w:leader="dot" w:pos="8296"/>
            </w:tabs>
            <w:adjustRightInd w:val="0"/>
            <w:snapToGrid w:val="0"/>
            <w:spacing w:before="0" w:line="440" w:lineRule="exact"/>
            <w:jc w:val="left"/>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_Toc14841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第四部分  附件</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_Toc14841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- 15 -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_Toc14854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部门预算项目支出绩效自评表（2024年度）</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_Toc14854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- 15 -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tabs>
              <w:tab w:val="right" w:leader="dot" w:pos="8296"/>
            </w:tabs>
            <w:adjustRightInd w:val="0"/>
            <w:snapToGrid w:val="0"/>
            <w:spacing w:before="0" w:line="440" w:lineRule="exact"/>
            <w:jc w:val="left"/>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_Toc18911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第五部分 附表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_Toc18911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_Toc4484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一、收入支出决算总表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_Toc4484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_Toc8054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二、收入决算表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_Toc8054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_Toc10160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三、支出决算表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_Toc10160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_Toc5828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四、财政拨款收入支出决算总表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_Toc5828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_Toc6253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五、财政拨款支出决算明细表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_Toc6253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_Toc13364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六、一般公共预算财政拨款支出决算表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_Toc13364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_Toc5705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七、一般公共预算财政拨款支出决算明细表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_Toc5705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_Toc18622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八、一般公共预算财政拨款基本支出决算表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_Toc18622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_Toc31859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九、一般公共预算财政拨款项目支出决算表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_Toc31859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_Toc16518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十、政府性基金预算财政拨款收入支出决算表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_Toc16518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_Toc21869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十一、国有资本经营预算财政拨款收入支出决算表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_Toc21869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_Toc14150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十二、国有资本经营预算财政拨款支出决算表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_Toc14150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440" w:lineRule="exact"/>
            <w:ind w:firstLineChars="200" w:firstLine="600"/>
            <w:jc w:val="left"/>
            <w:textAlignment w:val="auto"/>
            <w:rPr>
              <w:rFonts w:ascii="方正仿宋_GB2312" w:eastAsia="方正仿宋_GB2312" w:cs="方正仿宋_GB2312" w:hint="eastAsia"/>
              <w:kern w:val="2"/>
              <w:sz w:val="30"/>
              <w:szCs w:val="30"/>
              <w:lang w:val="en-US" w:eastAsia="zh-CN" w:bidi="ar-SA"/>
            </w:rPr>
          </w:pP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HYPERLINK \l _Toc9277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十三、财政拨款“三公”经费支出决算表</w:t>
            <w:tab/>
          </w:r>
          <w:r>
            <w:rPr>
              <w:rFonts w:ascii="方正仿宋_GB2312" w:eastAsia="方正仿宋_GB2312" w:cs="方正仿宋_GB2312" w:hint="eastAsia"/>
              <w:kern w:val="2"/>
              <w:sz w:val="30"/>
              <w:szCs w:val="30"/>
              <w:lang w:val="en-US" w:eastAsia="zh-CN" w:bidi="ar-SA"/>
            </w:rPr>
            <w:fldChar w:fldCharType="begin"/>
          </w:r>
          <w:r>
            <w:rPr>
              <w:rFonts w:ascii="方正仿宋_GB2312" w:eastAsia="方正仿宋_GB2312" w:cs="方正仿宋_GB2312" w:hint="eastAsia"/>
              <w:kern w:val="2"/>
              <w:sz w:val="30"/>
              <w:szCs w:val="30"/>
              <w:lang w:val="en-US" w:eastAsia="zh-CN" w:bidi="ar-SA"/>
            </w:rPr>
            <w:instrText xml:space="preserve"> PAGEREF _Toc9277 \h </w:instrText>
          </w:r>
          <w:r>
            <w:rPr>
              <w:rFonts w:ascii="方正仿宋_GB2312" w:eastAsia="方正仿宋_GB2312" w:cs="方正仿宋_GB2312" w:hint="eastAsia"/>
              <w:kern w:val="2"/>
              <w:sz w:val="30"/>
              <w:szCs w:val="30"/>
              <w:lang w:val="en-US" w:eastAsia="zh-CN" w:bidi="ar-SA"/>
            </w:rPr>
            <w:fldChar w:fldCharType="separate"/>
          </w:r>
          <w:r>
            <w:rPr>
              <w:rFonts w:ascii="方正仿宋_GB2312" w:eastAsia="方正仿宋_GB2312" w:cs="方正仿宋_GB2312" w:hint="eastAsia"/>
              <w:kern w:val="2"/>
              <w:sz w:val="30"/>
              <w:szCs w:val="30"/>
              <w:lang w:val="en-US" w:eastAsia="zh-CN" w:bidi="ar-SA"/>
            </w:rPr>
            <w:t>- 16 -</w:t>
          </w:r>
          <w:r>
            <w:rPr>
              <w:rFonts w:ascii="方正仿宋_GB2312" w:eastAsia="方正仿宋_GB2312" w:cs="方正仿宋_GB2312" w:hint="eastAsia"/>
              <w:kern w:val="2"/>
              <w:sz w:val="30"/>
              <w:szCs w:val="30"/>
              <w:lang w:val="en-US" w:eastAsia="zh-CN" w:bidi="ar-SA"/>
            </w:rPr>
            <w:fldChar w:fldCharType="end"/>
          </w:r>
          <w:r>
            <w:rPr>
              <w:rFonts w:ascii="方正仿宋_GB2312" w:eastAsia="方正仿宋_GB2312" w:cs="方正仿宋_GB2312" w:hint="eastAsia"/>
              <w:kern w:val="2"/>
              <w:sz w:val="30"/>
              <w:szCs w:val="30"/>
              <w:lang w:val="en-US" w:eastAsia="zh-CN" w:bidi="ar-SA"/>
            </w:rPr>
            <w:fldChar w:fldCharType="end"/>
          </w:r>
        </w:p>
        <w:p>
          <w:pPr>
            <w:pStyle w:val="15"/>
            <w:rPr>
              <w:rFonts w:hint="eastAsia"/>
              <w:lang w:val="en-US" w:eastAsia="zh-CN"/>
            </w:rPr>
            <w:sectPr>
              <w:footerReference w:type="default" r:id="rId4"/>
              <w:footerReference w:type="first" r:id="rId5"/>
              <w:pgSz w:w="11906" w:h="16838"/>
              <w:pgMar w:top="1440" w:right="1800" w:bottom="1440" w:left="1800" w:header="851" w:footer="992" w:gutter="0"/>
              <w:pgNumType w:fmt="numberInDash" w:start="1"/>
              <w:docGrid w:type="lines" w:linePitch="312" w:charSpace="0"/>
            </w:sectPr>
          </w:pPr>
        </w:p>
        <w:p>
          <w:pPr>
            <w:pStyle w:val="22"/>
            <w:tabs>
              <w:tab w:val="right" w:leader="dot" w:pos="8296"/>
            </w:tabs>
            <w:adjustRightInd w:val="0"/>
            <w:snapToGrid w:val="0"/>
            <w:spacing w:before="0" w:line="440" w:lineRule="exact"/>
            <w:jc w:val="left"/>
          </w:pPr>
          <w:r>
            <w:rPr>
              <w:rFonts w:ascii="方正仿宋_GB2312" w:eastAsia="方正仿宋_GB2312" w:cs="方正仿宋_GB2312" w:hint="eastAsia"/>
              <w:kern w:val="2"/>
              <w:sz w:val="30"/>
              <w:szCs w:val="30"/>
              <w:lang w:val="en-US" w:eastAsia="zh-CN" w:bidi="ar-SA"/>
            </w:rPr>
            <w:fldChar w:fldCharType="end"/>
          </w:r>
        </w:p>
        <w:bookmarkStart w:id="7" w:name="_Toc28256" w:displacedByCustomXml="next"/>
        <w:bookmarkStart w:id="8" w:name="_Toc15377196" w:displacedByCustomXml="next"/>
        <w:bookmarkStart w:id="9" w:name="_Toc15396599" w:displacedByCustomXml="next"/>
      </w:sdtContent>
    </w:sdt>
    <w:p>
      <w:pPr>
        <w:pStyle w:val="1"/>
        <w:bidi w:val="0"/>
        <w:jc w:val="center"/>
      </w:pPr>
      <w:r>
        <w:t>第一部分</w:t>
      </w:r>
      <w:r>
        <w:rPr>
          <w:lang w:val="en-US" w:eastAsia="zh-CN"/>
        </w:rPr>
        <w:t xml:space="preserve"> </w:t>
      </w:r>
      <w:r>
        <w:t xml:space="preserve"> </w:t>
      </w:r>
      <w:r>
        <w:rPr>
          <w:rFonts w:hint="eastAsia"/>
          <w:lang w:val="en-US" w:eastAsia="zh-CN"/>
        </w:rPr>
        <w:t>单位</w:t>
      </w:r>
      <w:r>
        <w:t>概况</w:t>
      </w:r>
      <w:bookmarkEnd w:id="7"/>
      <w:bookmarkEnd w:id="8"/>
      <w:bookmarkEnd w:id="9"/>
    </w:p>
    <w:p>
      <w:pPr>
        <w:widowControl/>
        <w:jc w:val="left"/>
        <w:rPr>
          <w:rFonts w:ascii="Times New Roman" w:eastAsia="黑体" w:cs="Times New Roman" w:hAnsi="Times New Roman"/>
          <w:color w:val="auto"/>
          <w:sz w:val="32"/>
          <w:szCs w:val="32"/>
          <w:highlight w:val="auto"/>
        </w:rPr>
      </w:pPr>
    </w:p>
    <w:p>
      <w:pPr>
        <w:pStyle w:val="2"/>
        <w:numPr>
          <w:ilvl w:val="0"/>
          <w:numId w:val="1"/>
        </w:numPr>
        <w:bidi w:val="0"/>
        <w:rPr>
          <w:rFonts w:ascii="黑体" w:eastAsia="黑体" w:cs="黑体" w:hint="eastAsia"/>
          <w:b w:val="0"/>
          <w:bCs w:val="0"/>
          <w:lang w:eastAsia="zh-CN"/>
        </w:rPr>
      </w:pPr>
      <w:bookmarkStart w:id="10" w:name="_Toc17697"/>
      <w:r>
        <w:rPr>
          <w:rFonts w:ascii="黑体" w:eastAsia="黑体" w:cs="黑体" w:hint="eastAsia"/>
          <w:b w:val="0"/>
          <w:bCs w:val="0"/>
          <w:lang w:val="en-US" w:eastAsia="zh-CN"/>
        </w:rPr>
        <w:t>单位</w:t>
      </w:r>
      <w:r>
        <w:rPr>
          <w:rFonts w:ascii="黑体" w:eastAsia="黑体" w:cs="黑体" w:hint="eastAsia"/>
          <w:b w:val="0"/>
          <w:bCs w:val="0"/>
          <w:lang w:eastAsia="zh-CN"/>
        </w:rPr>
        <w:t>职责</w:t>
      </w:r>
      <w:bookmarkEnd w:id="10"/>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承担全市卫生健康与促进、人才项目实施、继续医学教育、人才专业评价、行业资格考试等服务工作；负责卫生健康信息化、健康医疗大数据产业发展、卫生统计等工作；开展医学情报分析、研究，为有关医疗卫生机构、市医学会、市药学会等提供医疗技术评审服务工作。</w:t>
      </w:r>
    </w:p>
    <w:p>
      <w:pPr>
        <w:rPr>
          <w:rFonts w:ascii="Times New Roman" w:cs="Times New Roman" w:hAnsi="Times New Roman"/>
        </w:rPr>
      </w:pPr>
    </w:p>
    <w:p>
      <w:pPr>
        <w:rPr>
          <w:rFonts w:ascii="Times New Roman" w:cs="Times New Roman" w:hAnsi="Times New Roman"/>
          <w:lang w:eastAsia="zh-CN"/>
        </w:rPr>
      </w:pPr>
    </w:p>
    <w:p>
      <w:pPr>
        <w:pStyle w:val="2"/>
        <w:bidi w:val="0"/>
        <w:rPr>
          <w:rFonts w:ascii="黑体" w:eastAsia="黑体" w:cs="黑体" w:hint="eastAsia"/>
          <w:b w:val="0"/>
          <w:bCs w:val="0"/>
        </w:rPr>
      </w:pPr>
      <w:bookmarkStart w:id="11" w:name="_Toc15377200"/>
      <w:bookmarkStart w:id="12" w:name="_Toc15396601"/>
      <w:bookmarkStart w:id="13" w:name="_Toc27231"/>
      <w:r>
        <w:rPr>
          <w:rFonts w:ascii="黑体" w:eastAsia="黑体" w:cs="黑体" w:hint="eastAsia"/>
          <w:b w:val="0"/>
          <w:bCs w:val="0"/>
        </w:rPr>
        <w:t>二、机构设置</w:t>
      </w:r>
      <w:bookmarkEnd w:id="11"/>
      <w:bookmarkEnd w:id="12"/>
      <w:bookmarkEnd w:id="13"/>
    </w:p>
    <w:p>
      <w:pPr>
        <w:snapToGrid w:val="0"/>
        <w:spacing w:line="520" w:lineRule="exact"/>
        <w:ind w:firstLineChars="200" w:firstLine="640"/>
        <w:rPr>
          <w:rFonts w:ascii="Times New Roman" w:eastAsia="仿宋" w:cs="Times New Roman" w:hAnsi="Times New Roman"/>
          <w:sz w:val="32"/>
          <w:szCs w:val="32"/>
          <w:lang w:val="en-US" w:eastAsia="zh-CN"/>
        </w:rPr>
      </w:pPr>
      <w:r>
        <w:rPr>
          <w:rFonts w:ascii="Times New Roman" w:eastAsia="仿宋" w:cs="Times New Roman" w:hAnsi="Times New Roman"/>
          <w:sz w:val="32"/>
          <w:szCs w:val="32"/>
        </w:rPr>
        <w:t>本单位为攀枝花市卫生健康委员会所属二级预算单位。</w:t>
      </w:r>
      <w:r>
        <w:rPr>
          <w:rFonts w:ascii="Times New Roman" w:eastAsia="仿宋" w:cs="Times New Roman" w:hAnsi="Times New Roman"/>
          <w:sz w:val="32"/>
          <w:szCs w:val="32"/>
          <w:lang w:eastAsia="zh-CN"/>
        </w:rPr>
        <w:t>内设机构</w:t>
      </w:r>
      <w:r>
        <w:rPr>
          <w:rFonts w:ascii="Times New Roman" w:eastAsia="仿宋" w:cs="Times New Roman" w:hAnsi="Times New Roman"/>
          <w:sz w:val="32"/>
          <w:szCs w:val="32"/>
          <w:lang w:val="en-US" w:eastAsia="zh-CN"/>
        </w:rPr>
        <w:t>2个，分别为办公室和综合室。办公室职责：负责行政工作综合协调、安全生产、信访稳定、财务、工会、后勤保障、作风建设、科教服务、医疗技术评审服务，承担市医学会与药学会日常管理；综合室职责：负责党建、党风廉政建设、组织人事、档案、卫生健康信息化建设、卫生健康统计、健康医疗大数据产业发展。现有在编人员13人。</w:t>
      </w:r>
    </w:p>
    <w:p>
      <w:pPr>
        <w:widowControl/>
        <w:jc w:val="left"/>
        <w:rPr>
          <w:rFonts w:ascii="Times New Roman" w:eastAsia="仿宋" w:cs="Times New Roman" w:hAnsi="Times New Roman"/>
          <w:kern w:val="0"/>
          <w:sz w:val="32"/>
          <w:szCs w:val="32"/>
        </w:rPr>
      </w:pPr>
      <w:r>
        <w:rPr>
          <w:rFonts w:ascii="Times New Roman" w:eastAsia="仿宋" w:cs="Times New Roman" w:hAnsi="Times New Roman"/>
          <w:sz w:val="32"/>
          <w:szCs w:val="32"/>
        </w:rPr>
        <w:br w:type="page"/>
      </w:r>
    </w:p>
    <w:p>
      <w:pPr>
        <w:widowControl/>
        <w:jc w:val="left"/>
        <w:rPr>
          <w:rFonts w:ascii="Times New Roman" w:eastAsia="仿宋" w:cs="Times New Roman" w:hAnsi="Times New Roman"/>
          <w:color w:val="auto"/>
          <w:kern w:val="0"/>
          <w:sz w:val="32"/>
          <w:szCs w:val="32"/>
          <w:highlight w:val="auto"/>
        </w:rPr>
      </w:pPr>
    </w:p>
    <w:p>
      <w:pPr>
        <w:pStyle w:val="1"/>
        <w:bidi w:val="0"/>
        <w:jc w:val="center"/>
      </w:pPr>
      <w:bookmarkStart w:id="14" w:name="_Toc15396602"/>
      <w:bookmarkStart w:id="15" w:name="_Toc14928"/>
      <w:bookmarkStart w:id="16" w:name="_Toc15377204"/>
      <w:r>
        <w:t>第二部分</w:t>
      </w:r>
      <w:r>
        <w:rPr>
          <w:lang w:val="en-US" w:eastAsia="zh-CN"/>
        </w:rPr>
        <w:t xml:space="preserve"> </w:t>
      </w:r>
      <w:r>
        <w:t xml:space="preserve"> </w:t>
      </w:r>
      <w:r>
        <w:rPr>
          <w:lang w:val="en-US" w:eastAsia="zh-CN"/>
        </w:rPr>
        <w:t>2024年度单位</w:t>
      </w:r>
      <w:r>
        <w:t>决算情况说明</w:t>
      </w:r>
      <w:bookmarkEnd w:id="14"/>
      <w:bookmarkEnd w:id="15"/>
      <w:bookmarkEnd w:id="16"/>
    </w:p>
    <w:p>
      <w:pPr>
        <w:rPr>
          <w:rFonts w:ascii="Times New Roman" w:cs="Times New Roman" w:hAnsi="Times New Roman"/>
          <w:color w:val="auto"/>
          <w:highlight w:val="auto"/>
        </w:rPr>
      </w:pPr>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hint="eastAsia"/>
          <w:b w:val="0"/>
          <w:bCs w:val="0"/>
        </w:rPr>
      </w:pPr>
      <w:bookmarkStart w:id="17" w:name="_Toc15377205"/>
      <w:bookmarkStart w:id="18" w:name="_Toc5865"/>
      <w:bookmarkStart w:id="19" w:name="_Toc15396603"/>
      <w:r>
        <w:rPr>
          <w:rFonts w:ascii="黑体" w:eastAsia="黑体" w:cs="黑体" w:hint="eastAsia"/>
          <w:b w:val="0"/>
          <w:bCs w:val="0"/>
          <w:lang w:eastAsia="zh-CN"/>
        </w:rPr>
        <w:t>一、</w:t>
      </w:r>
      <w:r>
        <w:rPr>
          <w:rFonts w:ascii="黑体" w:eastAsia="黑体" w:cs="黑体" w:hint="eastAsia"/>
          <w:b w:val="0"/>
          <w:bCs w:val="0"/>
        </w:rPr>
        <w:t>收入支出决算总体情况说明</w:t>
      </w:r>
      <w:bookmarkEnd w:id="17"/>
      <w:bookmarkEnd w:id="18"/>
      <w:bookmarkEnd w:id="19"/>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仿宋_GB2312" w:cs="Times New Roman" w:hAnsi="Times New Roman"/>
          <w:color w:val="auto"/>
          <w:sz w:val="32"/>
          <w:szCs w:val="32"/>
          <w:lang w:val="en-US" w:eastAsia="zh-CN"/>
          <w:highlight w:val="auto"/>
        </w:rPr>
      </w:pPr>
      <w:bookmarkStart w:id="20" w:name="_Toc14732"/>
      <w:bookmarkStart w:id="21" w:name="_Toc6214"/>
      <w:r>
        <w:rPr>
          <w:rFonts w:ascii="Times New Roman" w:eastAsia="仿宋_GB2312" w:cs="Times New Roman" w:hAnsi="Times New Roman"/>
          <w:color w:val="auto"/>
          <w:sz w:val="32"/>
          <w:szCs w:val="32"/>
          <w:lang w:eastAsia="zh-CN"/>
          <w:highlight w:val="auto"/>
        </w:rPr>
        <w:t>2024年度收入</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eastAsia="zh-CN"/>
          <w:highlight w:val="auto"/>
        </w:rPr>
        <w:t>支出</w:t>
      </w:r>
      <w:r>
        <w:rPr>
          <w:rFonts w:ascii="Times New Roman" w:eastAsia="仿宋_GB2312" w:cs="Times New Roman" w:hAnsi="Times New Roman"/>
          <w:color w:val="auto"/>
          <w:sz w:val="32"/>
          <w:szCs w:val="32"/>
          <w:highlight w:val="auto"/>
        </w:rPr>
        <w:t>总计</w:t>
      </w:r>
      <w:r>
        <w:rPr>
          <w:rFonts w:ascii="Times New Roman" w:eastAsia="仿宋_GB2312" w:cs="Times New Roman" w:hAnsi="Times New Roman"/>
          <w:color w:val="auto"/>
          <w:sz w:val="32"/>
          <w:szCs w:val="32"/>
          <w:lang w:eastAsia="zh-CN"/>
          <w:highlight w:val="auto"/>
        </w:rPr>
        <w:t>均为</w:t>
      </w:r>
      <w:r>
        <w:rPr>
          <w:rFonts w:ascii="Times New Roman" w:eastAsia="仿宋_GB2312" w:cs="Times New Roman" w:hAnsi="Times New Roman"/>
          <w:sz w:val="32"/>
          <w:szCs w:val="32"/>
        </w:rPr>
        <w:t>468.58</w:t>
      </w:r>
      <w:r>
        <w:rPr>
          <w:rFonts w:ascii="Times New Roman" w:eastAsia="仿宋_GB2312" w:cs="Times New Roman" w:hAnsi="Times New Roman"/>
          <w:color w:val="auto"/>
          <w:sz w:val="32"/>
          <w:szCs w:val="32"/>
          <w:highlight w:val="auto"/>
        </w:rPr>
        <w:t>万元。与</w:t>
      </w:r>
      <w:r>
        <w:rPr>
          <w:rFonts w:ascii="Times New Roman" w:eastAsia="仿宋_GB2312" w:cs="Times New Roman" w:hAnsi="Times New Roman"/>
          <w:color w:val="auto"/>
          <w:sz w:val="32"/>
          <w:szCs w:val="32"/>
          <w:lang w:eastAsia="zh-CN"/>
          <w:highlight w:val="auto"/>
        </w:rPr>
        <w:t>202</w:t>
      </w:r>
      <w:r>
        <w:rPr>
          <w:rFonts w:ascii="Times New Roman" w:eastAsia="仿宋_GB2312" w:cs="Times New Roman" w:hAnsi="Times New Roman"/>
          <w:color w:val="auto"/>
          <w:sz w:val="32"/>
          <w:szCs w:val="32"/>
          <w:lang w:val="en-US" w:eastAsia="zh-CN"/>
          <w:highlight w:val="auto"/>
        </w:rPr>
        <w:t>3</w:t>
      </w:r>
      <w:r>
        <w:rPr>
          <w:rFonts w:ascii="Times New Roman" w:eastAsia="仿宋_GB2312" w:cs="Times New Roman" w:hAnsi="Times New Roman"/>
          <w:color w:val="auto"/>
          <w:sz w:val="32"/>
          <w:szCs w:val="32"/>
          <w:highlight w:val="auto"/>
        </w:rPr>
        <w:t>年</w:t>
      </w:r>
      <w:r>
        <w:rPr>
          <w:rFonts w:ascii="Times New Roman" w:eastAsia="仿宋_GB2312" w:cs="Times New Roman" w:hAnsi="Times New Roman"/>
          <w:color w:val="auto"/>
          <w:sz w:val="32"/>
          <w:szCs w:val="32"/>
          <w:lang w:eastAsia="zh-CN"/>
          <w:highlight w:val="auto"/>
        </w:rPr>
        <w:t>度</w:t>
      </w:r>
      <w:r>
        <w:rPr>
          <w:rFonts w:ascii="Times New Roman" w:eastAsia="仿宋_GB2312" w:cs="Times New Roman" w:hAnsi="Times New Roman"/>
          <w:color w:val="auto"/>
          <w:sz w:val="32"/>
          <w:szCs w:val="32"/>
          <w:highlight w:val="auto"/>
        </w:rPr>
        <w:t>相比，</w:t>
      </w:r>
      <w:r>
        <w:rPr>
          <w:rFonts w:ascii="Times New Roman" w:eastAsia="仿宋_GB2312" w:cs="Times New Roman" w:hAnsi="Times New Roman"/>
          <w:color w:val="auto"/>
          <w:sz w:val="32"/>
          <w:szCs w:val="32"/>
          <w:lang w:eastAsia="zh-CN"/>
          <w:highlight w:val="auto"/>
        </w:rPr>
        <w:t>收入</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eastAsia="zh-CN"/>
          <w:highlight w:val="auto"/>
        </w:rPr>
        <w:t>支出</w:t>
      </w:r>
      <w:r>
        <w:rPr>
          <w:rFonts w:ascii="Times New Roman" w:eastAsia="仿宋_GB2312" w:cs="Times New Roman" w:hAnsi="Times New Roman"/>
          <w:color w:val="auto"/>
          <w:sz w:val="32"/>
          <w:szCs w:val="32"/>
          <w:highlight w:val="auto"/>
        </w:rPr>
        <w:t>总计各增加</w:t>
      </w:r>
      <w:r>
        <w:rPr>
          <w:rFonts w:ascii="Times New Roman" w:eastAsia="仿宋_GB2312" w:cs="Times New Roman" w:hAnsi="Times New Roman"/>
          <w:sz w:val="32"/>
          <w:szCs w:val="32"/>
          <w:lang w:val="en-US" w:eastAsia="zh-CN"/>
        </w:rPr>
        <w:t>169.86</w:t>
      </w:r>
      <w:r>
        <w:rPr>
          <w:rFonts w:ascii="Times New Roman" w:eastAsia="仿宋_GB2312" w:cs="Times New Roman" w:hAnsi="Times New Roman"/>
          <w:color w:val="auto"/>
          <w:sz w:val="32"/>
          <w:szCs w:val="32"/>
          <w:highlight w:val="auto"/>
        </w:rPr>
        <w:t>万元，增长</w:t>
      </w:r>
      <w:r>
        <w:rPr>
          <w:rFonts w:ascii="Times New Roman" w:eastAsia="仿宋_GB2312" w:cs="Times New Roman" w:hAnsi="Times New Roman"/>
          <w:color w:val="auto"/>
          <w:sz w:val="32"/>
          <w:szCs w:val="32"/>
          <w:lang w:val="en-US" w:eastAsia="zh-CN"/>
          <w:highlight w:val="auto"/>
        </w:rPr>
        <w:t>56.86</w:t>
      </w:r>
      <w:r>
        <w:rPr>
          <w:rFonts w:ascii="Times New Roman" w:eastAsia="仿宋_GB2312" w:cs="Times New Roman" w:hAnsi="Times New Roman"/>
          <w:color w:val="auto"/>
          <w:sz w:val="32"/>
          <w:szCs w:val="32"/>
          <w:highlight w:val="auto"/>
        </w:rPr>
        <w:t>%。主要变动原因是</w:t>
      </w:r>
      <w:r>
        <w:rPr>
          <w:rFonts w:ascii="Times New Roman" w:eastAsia="仿宋_GB2312" w:cs="Times New Roman" w:hAnsi="Times New Roman"/>
          <w:sz w:val="32"/>
          <w:szCs w:val="32"/>
          <w:lang w:eastAsia="zh-CN"/>
        </w:rPr>
        <w:t>支付了部分以前年度项目欠款，导致总</w:t>
      </w:r>
      <w:r>
        <w:rPr>
          <w:rFonts w:ascii="Times New Roman" w:eastAsia="仿宋_GB2312" w:cs="Times New Roman" w:hAnsi="Times New Roman"/>
          <w:sz w:val="32"/>
          <w:szCs w:val="32"/>
          <w:lang w:val="en-US" w:eastAsia="zh-CN"/>
        </w:rPr>
        <w:t>收入、</w:t>
      </w:r>
      <w:r>
        <w:rPr>
          <w:rFonts w:ascii="Times New Roman" w:eastAsia="仿宋_GB2312" w:cs="Times New Roman" w:hAnsi="Times New Roman"/>
          <w:sz w:val="32"/>
          <w:szCs w:val="32"/>
          <w:lang w:eastAsia="zh-CN"/>
        </w:rPr>
        <w:t>支出增加。</w:t>
      </w:r>
      <w:bookmarkEnd w:id="20"/>
      <w:bookmarkEnd w:id="21"/>
    </w:p>
    <w:p>
      <w:pPr>
        <w:keepNext w:val="0"/>
        <w:keepLines w:val="0"/>
        <w:pageBreakBefore w:val="0"/>
        <w:widowControl w:val="0"/>
        <w:kinsoku/>
        <w:wordWrap/>
        <w:overflowPunct/>
        <w:topLinePunct w:val="0"/>
        <w:autoSpaceDE/>
        <w:autoSpaceDN/>
        <w:bidi w:val="0"/>
        <w:adjustRightInd/>
        <w:snapToGrid/>
        <w:ind w:firstLineChars="200" w:firstLine="420"/>
        <w:textAlignment w:val="auto"/>
        <w:rPr>
          <w:rFonts w:ascii="Times New Roman" w:cs="Times New Roman" w:hAnsi="Times New Roman"/>
        </w:rPr>
      </w:pPr>
      <w:r>
        <w:rPr>
          <w:rFonts w:ascii="Times New Roman" w:cs="Times New Roman" w:hAnsi="Times New Roman"/>
        </w:rPr>
        <w:drawing>
          <wp:inline distT="0" distB="0" distL="114300" distR="114300">
            <wp:extent cx="5269230" cy="2435860"/>
            <wp:effectExtent l="0" t="0" r="0" b="0"/>
            <wp:docPr id="7" name="图表 25"/>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jc w:val="center"/>
        <w:rPr>
          <w:rFonts w:ascii="Times New Roman" w:cs="Times New Roman" w:hAnsi="Times New Roman"/>
        </w:rPr>
      </w:pPr>
      <w:r>
        <w:rPr>
          <w:rFonts w:ascii="Times New Roman" w:eastAsia="仿宋" w:cs="Times New Roman" w:hAnsi="Times New Roman"/>
          <w:sz w:val="32"/>
          <w:szCs w:val="32"/>
        </w:rPr>
        <w:t>（图1：收、支决算总计变动情况图）（柱状图）</w:t>
      </w:r>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b w:val="0"/>
          <w:bCs w:val="0"/>
          <w:lang w:eastAsia="zh-CN"/>
        </w:rPr>
      </w:pPr>
      <w:bookmarkStart w:id="22" w:name="_Toc15377206"/>
      <w:bookmarkStart w:id="23" w:name="_Toc15396604"/>
      <w:bookmarkStart w:id="24" w:name="_Toc3918"/>
      <w:r>
        <w:rPr>
          <w:rFonts w:ascii="黑体" w:eastAsia="黑体" w:cs="黑体"/>
          <w:b w:val="0"/>
          <w:bCs w:val="0"/>
          <w:lang w:eastAsia="zh-CN"/>
        </w:rPr>
        <w:t>二、收入决算情况说明</w:t>
      </w:r>
      <w:bookmarkEnd w:id="22"/>
      <w:bookmarkEnd w:id="23"/>
      <w:bookmarkEnd w:id="24"/>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outlineLvl w:val="1"/>
        <w:rPr>
          <w:rFonts w:ascii="Times New Roman" w:eastAsia="仿宋_GB2312" w:cs="Times New Roman" w:hAnsi="Times New Roman"/>
          <w:b/>
          <w:bCs/>
          <w:color w:val="auto"/>
          <w:sz w:val="32"/>
          <w:szCs w:val="32"/>
          <w:lang w:eastAsia="zh-CN"/>
          <w:highlight w:val="auto"/>
        </w:rPr>
      </w:pPr>
      <w:bookmarkStart w:id="25" w:name="_Toc25016"/>
      <w:bookmarkStart w:id="26" w:name="_Toc24637"/>
      <w:r>
        <w:rPr>
          <w:rFonts w:ascii="Times New Roman" w:eastAsia="仿宋_GB2312" w:cs="Times New Roman" w:hAnsi="Times New Roman"/>
          <w:color w:val="auto"/>
          <w:sz w:val="32"/>
          <w:szCs w:val="32"/>
          <w:lang w:eastAsia="zh-CN"/>
          <w:highlight w:val="auto"/>
        </w:rPr>
        <w:t>2024年度本年收入合计</w:t>
      </w:r>
      <w:r>
        <w:rPr>
          <w:rFonts w:ascii="Times New Roman" w:eastAsia="仿宋_GB2312" w:cs="Times New Roman" w:hAnsi="Times New Roman"/>
          <w:sz w:val="32"/>
          <w:szCs w:val="32"/>
          <w:lang w:val="en-US" w:eastAsia="zh-CN"/>
        </w:rPr>
        <w:t>468.58</w:t>
      </w:r>
      <w:r>
        <w:rPr>
          <w:rFonts w:ascii="Times New Roman" w:eastAsia="仿宋_GB2312" w:cs="Times New Roman" w:hAnsi="Times New Roman"/>
          <w:sz w:val="32"/>
          <w:szCs w:val="32"/>
        </w:rPr>
        <w:t>万元，其中：一般公共预算财政拨款收入</w:t>
      </w:r>
      <w:r>
        <w:rPr>
          <w:rFonts w:ascii="Times New Roman" w:eastAsia="仿宋_GB2312" w:cs="Times New Roman" w:hAnsi="Times New Roman"/>
          <w:sz w:val="32"/>
          <w:szCs w:val="32"/>
          <w:lang w:val="en-US" w:eastAsia="zh-CN"/>
        </w:rPr>
        <w:t>392.58</w:t>
      </w:r>
      <w:r>
        <w:rPr>
          <w:rFonts w:ascii="Times New Roman" w:eastAsia="仿宋_GB2312" w:cs="Times New Roman" w:hAnsi="Times New Roman"/>
          <w:color w:val="auto"/>
          <w:sz w:val="32"/>
          <w:szCs w:val="32"/>
          <w:lang w:eastAsia="zh-CN"/>
          <w:highlight w:val="auto"/>
        </w:rPr>
        <w:t>万元，占</w:t>
      </w:r>
      <w:r>
        <w:rPr>
          <w:rFonts w:ascii="Times New Roman" w:eastAsia="仿宋_GB2312" w:cs="Times New Roman" w:hAnsi="Times New Roman"/>
          <w:sz w:val="32"/>
          <w:szCs w:val="32"/>
          <w:lang w:val="en-US" w:eastAsia="zh-CN"/>
        </w:rPr>
        <w:t>83.78</w:t>
      </w:r>
      <w:r>
        <w:rPr>
          <w:rFonts w:ascii="Times New Roman" w:eastAsia="仿宋_GB2312" w:cs="Times New Roman" w:hAnsi="Times New Roman"/>
          <w:color w:val="auto"/>
          <w:sz w:val="32"/>
          <w:szCs w:val="32"/>
          <w:lang w:eastAsia="zh-CN"/>
          <w:highlight w:val="auto"/>
        </w:rPr>
        <w:t>%；政府性基金预算财政拨款收入</w:t>
      </w:r>
      <w:r>
        <w:rPr>
          <w:rFonts w:ascii="Times New Roman" w:eastAsia="仿宋_GB2312" w:cs="Times New Roman" w:hAnsi="Times New Roman"/>
          <w:sz w:val="32"/>
          <w:szCs w:val="32"/>
          <w:lang w:val="en-US" w:eastAsia="zh-CN"/>
        </w:rPr>
        <w:t>76</w:t>
      </w:r>
      <w:r>
        <w:rPr>
          <w:rFonts w:ascii="Times New Roman" w:eastAsia="仿宋_GB2312" w:cs="Times New Roman" w:hAnsi="Times New Roman"/>
          <w:color w:val="auto"/>
          <w:sz w:val="32"/>
          <w:szCs w:val="32"/>
          <w:lang w:eastAsia="zh-CN"/>
          <w:highlight w:val="auto"/>
        </w:rPr>
        <w:t>万元，占</w:t>
      </w:r>
      <w:r>
        <w:rPr>
          <w:rFonts w:ascii="Times New Roman" w:eastAsia="仿宋_GB2312" w:cs="Times New Roman" w:hAnsi="Times New Roman"/>
          <w:sz w:val="32"/>
          <w:szCs w:val="32"/>
          <w:lang w:val="en-US" w:eastAsia="zh-CN"/>
        </w:rPr>
        <w:t>16.21</w:t>
      </w:r>
      <w:r>
        <w:rPr>
          <w:rFonts w:ascii="Times New Roman" w:eastAsia="仿宋_GB2312" w:cs="Times New Roman" w:hAnsi="Times New Roman"/>
          <w:color w:val="auto"/>
          <w:sz w:val="32"/>
          <w:szCs w:val="32"/>
          <w:lang w:eastAsia="zh-CN"/>
          <w:highlight w:val="auto"/>
        </w:rPr>
        <w:t>%。</w:t>
      </w:r>
      <w:bookmarkEnd w:id="25"/>
      <w:bookmarkEnd w:id="26"/>
    </w:p>
    <w:p>
      <w:pPr>
        <w:ind w:firstLineChars="250" w:firstLine="800"/>
        <w:rPr>
          <w:rFonts w:ascii="Times New Roman" w:eastAsia="仿宋_GB2312" w:cs="Times New Roman" w:hAnsi="Times New Roman"/>
          <w:color w:val="auto"/>
          <w:sz w:val="32"/>
          <w:szCs w:val="32"/>
          <w:lang w:eastAsia="zh-CN"/>
          <w:highlight w:val="auto"/>
        </w:rPr>
      </w:pPr>
    </w:p>
    <w:p>
      <w:pPr>
        <w:pStyle w:val="15"/>
        <w:rPr>
          <w:rFonts w:ascii="Times New Roman" w:cs="Times New Roman" w:hAnsi="Times New Roman"/>
        </w:rPr>
      </w:pPr>
      <w:r>
        <w:rPr>
          <w:rFonts w:ascii="Times New Roman" w:cs="Times New Roman" w:hAnsi="Times New Roman"/>
        </w:rPr>
        <w:drawing>
          <wp:inline distT="0" distB="0" distL="114300" distR="114300">
            <wp:extent cx="5283200" cy="2806700"/>
            <wp:effectExtent l="0" t="0" r="0" b="0"/>
            <wp:docPr id="8" name="图表 11"/>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400" w:firstLine="1280"/>
        <w:jc w:val="center"/>
        <w:rPr>
          <w:rFonts w:ascii="Times New Roman" w:cs="Times New Roman" w:hAnsi="Times New Roman"/>
          <w:lang w:eastAsia="zh-CN"/>
        </w:rPr>
      </w:pPr>
      <w:r>
        <w:rPr>
          <w:rFonts w:ascii="Times New Roman" w:eastAsia="仿宋" w:cs="Times New Roman" w:hAnsi="Times New Roman"/>
          <w:sz w:val="32"/>
          <w:szCs w:val="32"/>
        </w:rPr>
        <w:t>（图2：收入决算结构图）（饼状图）</w:t>
      </w:r>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b w:val="0"/>
          <w:bCs w:val="0"/>
          <w:lang w:eastAsia="zh-CN"/>
        </w:rPr>
      </w:pPr>
      <w:bookmarkStart w:id="27" w:name="_Toc15377207"/>
      <w:bookmarkStart w:id="28" w:name="_Toc15396605"/>
      <w:bookmarkStart w:id="29" w:name="_Toc5441"/>
      <w:r>
        <w:rPr>
          <w:rFonts w:ascii="黑体" w:eastAsia="黑体" w:cs="黑体"/>
          <w:b w:val="0"/>
          <w:bCs w:val="0"/>
          <w:lang w:eastAsia="zh-CN"/>
        </w:rPr>
        <w:t>三、支出决算情况说明</w:t>
      </w:r>
      <w:bookmarkEnd w:id="27"/>
      <w:bookmarkEnd w:id="28"/>
      <w:bookmarkEnd w:id="29"/>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outlineLvl w:val="1"/>
        <w:rPr>
          <w:rFonts w:ascii="Times New Roman" w:eastAsia="仿宋_GB2312" w:cs="Times New Roman" w:hAnsi="Times New Roman"/>
          <w:color w:val="auto"/>
          <w:sz w:val="32"/>
          <w:szCs w:val="32"/>
          <w:lang w:eastAsia="zh-CN"/>
          <w:highlight w:val="auto"/>
        </w:rPr>
      </w:pPr>
      <w:bookmarkStart w:id="30" w:name="_Toc25456"/>
      <w:bookmarkStart w:id="31" w:name="_Toc27454"/>
      <w:r>
        <w:rPr>
          <w:rFonts w:ascii="Times New Roman" w:eastAsia="仿宋_GB2312" w:cs="Times New Roman" w:hAnsi="Times New Roman"/>
          <w:color w:val="auto"/>
          <w:sz w:val="32"/>
          <w:szCs w:val="32"/>
          <w:lang w:eastAsia="zh-CN"/>
          <w:highlight w:val="auto"/>
        </w:rPr>
        <w:t>2024年度本年支出合计468.58万元，其中：基本支出287万元，占61.24%；项目支出181.58万元，占38.75%。</w:t>
      </w:r>
      <w:bookmarkEnd w:id="30"/>
      <w:bookmarkEnd w:id="31"/>
    </w:p>
    <w:p>
      <w:pPr>
        <w:ind w:firstLineChars="250" w:firstLine="525"/>
        <w:rPr>
          <w:rFonts w:ascii="Times New Roman" w:cs="Times New Roman" w:hAnsi="Times New Roman"/>
        </w:rPr>
      </w:pPr>
      <w:r>
        <w:rPr>
          <w:rFonts w:ascii="Times New Roman" w:cs="Times New Roman" w:hAnsi="Times New Roman"/>
        </w:rPr>
        <w:drawing>
          <wp:inline distT="0" distB="0" distL="114300" distR="114300">
            <wp:extent cx="4592320" cy="2596515"/>
            <wp:effectExtent l="0" t="0" r="0" b="0"/>
            <wp:docPr id="9" name="图表 35"/>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600" w:firstLine="1920"/>
        <w:jc w:val="both"/>
        <w:rPr>
          <w:rFonts w:ascii="Times New Roman" w:eastAsia="仿宋" w:cs="Times New Roman" w:hAnsi="Times New Roman"/>
          <w:sz w:val="32"/>
          <w:szCs w:val="32"/>
        </w:rPr>
      </w:pPr>
      <w:r>
        <w:rPr>
          <w:rFonts w:ascii="Times New Roman" w:eastAsia="仿宋" w:cs="Times New Roman" w:hAnsi="Times New Roman"/>
          <w:sz w:val="32"/>
          <w:szCs w:val="32"/>
        </w:rPr>
        <w:t>（图3：支出决算结构图）（饼状图）</w:t>
      </w:r>
    </w:p>
    <w:p>
      <w:pPr>
        <w:pStyle w:val="15"/>
        <w:rPr>
          <w:rFonts w:ascii="Times New Roman" w:cs="Times New Roman" w:hAnsi="Times New Roman"/>
          <w:lang w:eastAsia="zh-CN"/>
        </w:rPr>
      </w:pPr>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b w:val="0"/>
          <w:bCs w:val="0"/>
          <w:lang w:eastAsia="zh-CN"/>
        </w:rPr>
      </w:pPr>
      <w:bookmarkStart w:id="32" w:name="_Toc15377208"/>
      <w:bookmarkStart w:id="33" w:name="_Toc17184"/>
      <w:bookmarkStart w:id="34" w:name="_Toc15396606"/>
      <w:r>
        <w:rPr>
          <w:rFonts w:ascii="黑体" w:eastAsia="黑体" w:cs="黑体"/>
          <w:b w:val="0"/>
          <w:bCs w:val="0"/>
          <w:lang w:eastAsia="zh-CN"/>
        </w:rPr>
        <w:t>四、财政拨款收入支出决算总体情况说明</w:t>
      </w:r>
      <w:bookmarkEnd w:id="32"/>
      <w:bookmarkEnd w:id="33"/>
      <w:bookmarkEnd w:id="34"/>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仿宋_GB2312" w:cs="Times New Roman" w:hAnsi="Times New Roman"/>
          <w:sz w:val="32"/>
          <w:szCs w:val="32"/>
          <w:lang w:eastAsia="zh-CN"/>
        </w:rPr>
      </w:pPr>
      <w:bookmarkStart w:id="35" w:name="_Toc31820"/>
      <w:bookmarkStart w:id="36" w:name="_Toc20362"/>
      <w:r>
        <w:rPr>
          <w:rFonts w:ascii="Times New Roman" w:eastAsia="仿宋_GB2312" w:cs="Times New Roman" w:hAnsi="Times New Roman"/>
          <w:color w:val="auto"/>
          <w:kern w:val="2"/>
          <w:sz w:val="32"/>
          <w:szCs w:val="32"/>
          <w:lang w:val="en-US" w:eastAsia="zh-CN" w:bidi="ar-SA"/>
          <w:highlight w:val="auto"/>
        </w:rPr>
        <w:t>2024年度财政拨款收入、支出总计均为</w:t>
      </w:r>
      <w:r>
        <w:rPr>
          <w:rFonts w:ascii="Times New Roman" w:eastAsia="仿宋_GB2312" w:cs="Times New Roman" w:hAnsi="Times New Roman"/>
          <w:sz w:val="32"/>
          <w:szCs w:val="32"/>
        </w:rPr>
        <w:t>468.58</w:t>
      </w:r>
      <w:r>
        <w:rPr>
          <w:rFonts w:ascii="Times New Roman" w:eastAsia="仿宋_GB2312" w:cs="Times New Roman" w:hAnsi="Times New Roman"/>
          <w:color w:val="auto"/>
          <w:kern w:val="2"/>
          <w:sz w:val="32"/>
          <w:szCs w:val="32"/>
          <w:lang w:val="en-US" w:eastAsia="zh-CN" w:bidi="ar-SA"/>
          <w:highlight w:val="auto"/>
        </w:rPr>
        <w:t>万元。与2023年度相比，财政拨款收入总计、支出总计各增加</w:t>
      </w:r>
      <w:r>
        <w:rPr>
          <w:rFonts w:ascii="Times New Roman" w:eastAsia="仿宋_GB2312" w:cs="Times New Roman" w:hAnsi="Times New Roman"/>
          <w:color w:val="auto"/>
          <w:sz w:val="32"/>
          <w:szCs w:val="32"/>
          <w:lang w:val="en-US" w:eastAsia="zh-CN"/>
          <w:highlight w:val="auto"/>
        </w:rPr>
        <w:t>169.86</w:t>
      </w:r>
      <w:r>
        <w:rPr>
          <w:rFonts w:ascii="Times New Roman" w:eastAsia="仿宋_GB2312" w:cs="Times New Roman" w:hAnsi="Times New Roman"/>
          <w:color w:val="auto"/>
          <w:kern w:val="2"/>
          <w:sz w:val="32"/>
          <w:szCs w:val="32"/>
          <w:lang w:val="en-US" w:eastAsia="zh-CN" w:bidi="ar-SA"/>
          <w:highlight w:val="auto"/>
        </w:rPr>
        <w:t>万元，增长</w:t>
      </w:r>
      <w:r>
        <w:rPr>
          <w:rFonts w:ascii="Times New Roman" w:eastAsia="仿宋_GB2312" w:cs="Times New Roman" w:hAnsi="Times New Roman"/>
          <w:color w:val="auto"/>
          <w:sz w:val="32"/>
          <w:szCs w:val="32"/>
          <w:lang w:val="en-US" w:eastAsia="zh-CN"/>
          <w:highlight w:val="auto"/>
        </w:rPr>
        <w:t>56.86</w:t>
      </w:r>
      <w:r>
        <w:rPr>
          <w:rFonts w:ascii="Times New Roman" w:eastAsia="仿宋_GB2312" w:cs="Times New Roman" w:hAnsi="Times New Roman"/>
          <w:color w:val="auto"/>
          <w:sz w:val="32"/>
          <w:szCs w:val="32"/>
          <w:highlight w:val="auto"/>
        </w:rPr>
        <w:t>%。主要变动原因是</w:t>
      </w:r>
      <w:r>
        <w:rPr>
          <w:rFonts w:ascii="Times New Roman" w:eastAsia="仿宋_GB2312" w:cs="Times New Roman" w:hAnsi="Times New Roman"/>
          <w:sz w:val="32"/>
          <w:szCs w:val="32"/>
          <w:lang w:eastAsia="zh-CN"/>
        </w:rPr>
        <w:t>支付了部分以前年度项目欠款，导致</w:t>
      </w:r>
      <w:r>
        <w:rPr>
          <w:rFonts w:ascii="Times New Roman" w:eastAsia="仿宋_GB2312" w:cs="Times New Roman" w:hAnsi="Times New Roman"/>
          <w:sz w:val="32"/>
          <w:szCs w:val="32"/>
          <w:lang w:val="en-US" w:eastAsia="zh-CN"/>
        </w:rPr>
        <w:t>财政拨款收入、支出</w:t>
      </w:r>
      <w:r>
        <w:rPr>
          <w:rFonts w:ascii="Times New Roman" w:eastAsia="仿宋_GB2312" w:cs="Times New Roman" w:hAnsi="Times New Roman"/>
          <w:sz w:val="32"/>
          <w:szCs w:val="32"/>
          <w:lang w:eastAsia="zh-CN"/>
        </w:rPr>
        <w:t>增加。</w:t>
      </w:r>
      <w:bookmarkEnd w:id="35"/>
      <w:bookmarkEnd w:id="36"/>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仿宋_GB2312" w:cs="Times New Roman" w:hAnsi="Times New Roman"/>
          <w:sz w:val="32"/>
          <w:szCs w:val="32"/>
          <w:lang w:eastAsia="zh-CN"/>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仿宋_GB2312" w:cs="Times New Roman" w:hAnsi="Times New Roman"/>
          <w:sz w:val="32"/>
          <w:szCs w:val="32"/>
          <w:lang w:val="en-US" w:eastAsia="zh-CN"/>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仿宋_GB2312" w:cs="Times New Roman" w:hAnsi="Times New Roman"/>
          <w:sz w:val="32"/>
          <w:szCs w:val="32"/>
          <w:lang w:val="en-US" w:eastAsia="zh-CN"/>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仿宋_GB2312" w:cs="Times New Roman" w:hAnsi="Times New Roman"/>
          <w:sz w:val="32"/>
          <w:szCs w:val="32"/>
          <w:lang w:val="en-US" w:eastAsia="zh-CN"/>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仿宋_GB2312" w:cs="Times New Roman" w:hAnsi="Times New Roman"/>
          <w:sz w:val="32"/>
          <w:szCs w:val="32"/>
          <w:lang w:val="en-US" w:eastAsia="zh-CN"/>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仿宋_GB2312" w:cs="Times New Roman" w:hAnsi="Times New Roman"/>
          <w:sz w:val="32"/>
          <w:szCs w:val="32"/>
          <w:lang w:val="en-US" w:eastAsia="zh-CN"/>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仿宋_GB2312" w:cs="Times New Roman" w:hAnsi="Times New Roman"/>
          <w:sz w:val="32"/>
          <w:szCs w:val="32"/>
          <w:lang w:val="en-US" w:eastAsia="zh-CN"/>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420"/>
        <w:textAlignment w:val="auto"/>
        <w:outlineLvl w:val="1"/>
        <w:rPr>
          <w:rFonts w:ascii="Times New Roman" w:eastAsia="仿宋_GB2312" w:cs="Times New Roman" w:hAnsi="Times New Roman"/>
          <w:sz w:val="32"/>
          <w:szCs w:val="32"/>
          <w:lang w:val="en-US" w:eastAsia="zh-CN"/>
        </w:rPr>
      </w:pPr>
      <w:r>
        <w:rPr>
          <w:rFonts w:ascii="Times New Roman" w:cs="Times New Roman" w:hAnsi="Times New Roman"/>
        </w:rPr>
        <w:drawing>
          <wp:anchor distT="0" distB="0" distL="114300" distR="114300" simplePos="0" relativeHeight="2" behindDoc="1" locked="0" layoutInCell="1" hidden="0" allowOverlap="1">
            <wp:simplePos x="0" y="0"/>
            <wp:positionH relativeFrom="column">
              <wp:posOffset>271145</wp:posOffset>
            </wp:positionH>
            <wp:positionV relativeFrom="paragraph">
              <wp:posOffset>-2414905</wp:posOffset>
            </wp:positionV>
            <wp:extent cx="5269865" cy="2709545"/>
            <wp:effectExtent l="0" t="0" r="0" b="0"/>
            <wp:wrapNone/>
            <wp:docPr id="10" name="图表 1"/>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Chars="200" w:firstLine="640"/>
        <w:jc w:val="center"/>
        <w:rPr>
          <w:rFonts w:ascii="Times New Roman" w:eastAsia="黑体" w:cs="Times New Roman" w:hAnsi="Times New Roman"/>
          <w:color w:val="auto"/>
          <w:sz w:val="32"/>
          <w:szCs w:val="32"/>
          <w:highlight w:val="auto"/>
        </w:rPr>
      </w:pPr>
      <w:bookmarkStart w:id="37" w:name="_Toc15396607"/>
      <w:bookmarkStart w:id="38" w:name="_Toc15377209"/>
      <w:r>
        <w:rPr>
          <w:rFonts w:ascii="Times New Roman" w:eastAsia="仿宋" w:cs="Times New Roman" w:hAnsi="Times New Roman"/>
          <w:sz w:val="32"/>
          <w:szCs w:val="32"/>
        </w:rPr>
        <w:t>（图4：财政拨款收、支决算总计变动情况）（柱状图）</w:t>
      </w:r>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b w:val="0"/>
          <w:bCs w:val="0"/>
          <w:lang w:eastAsia="zh-CN"/>
        </w:rPr>
      </w:pPr>
      <w:bookmarkStart w:id="39" w:name="_Toc23204"/>
      <w:r>
        <w:rPr>
          <w:rFonts w:ascii="黑体" w:eastAsia="黑体" w:cs="黑体"/>
          <w:b w:val="0"/>
          <w:bCs w:val="0"/>
          <w:lang w:eastAsia="zh-CN"/>
        </w:rPr>
        <w:t>五、一般公共预算财政拨款支出决算情况说明</w:t>
      </w:r>
      <w:bookmarkEnd w:id="37"/>
      <w:bookmarkEnd w:id="38"/>
      <w:bookmarkEnd w:id="39"/>
    </w:p>
    <w:p>
      <w:pPr>
        <w:spacing w:line="600" w:lineRule="exact"/>
        <w:ind w:firstLineChars="200" w:firstLine="640"/>
        <w:outlineLvl w:val="2"/>
        <w:rPr>
          <w:rFonts w:ascii="Times New Roman" w:eastAsia="楷体_GB2312" w:cs="Times New Roman" w:hAnsi="Times New Roman"/>
          <w:b/>
          <w:color w:val="auto"/>
          <w:sz w:val="32"/>
          <w:szCs w:val="32"/>
          <w:highlight w:val="auto"/>
        </w:rPr>
      </w:pPr>
      <w:bookmarkStart w:id="40" w:name="_Toc15377210"/>
      <w:r>
        <w:rPr>
          <w:rFonts w:ascii="Times New Roman" w:eastAsia="楷体_GB2312" w:cs="Times New Roman" w:hAnsi="Times New Roman"/>
          <w:b/>
          <w:color w:val="auto"/>
          <w:sz w:val="32"/>
          <w:szCs w:val="32"/>
          <w:highlight w:val="auto"/>
        </w:rPr>
        <w:t>（一）一般公共预算财政拨款支出决算总体情况</w:t>
      </w:r>
      <w:bookmarkEnd w:id="40"/>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2024年度一般公共预算财政拨款支出</w:t>
      </w:r>
      <w:r>
        <w:rPr>
          <w:rFonts w:ascii="Times New Roman" w:eastAsia="仿宋_GB2312" w:cs="Times New Roman" w:hAnsi="Times New Roman"/>
          <w:sz w:val="32"/>
          <w:szCs w:val="32"/>
        </w:rPr>
        <w:t>392.58</w:t>
      </w:r>
      <w:r>
        <w:rPr>
          <w:rFonts w:ascii="Times New Roman" w:eastAsia="仿宋_GB2312" w:cs="Times New Roman" w:hAnsi="Times New Roman"/>
          <w:color w:val="auto"/>
          <w:kern w:val="2"/>
          <w:sz w:val="32"/>
          <w:szCs w:val="32"/>
          <w:lang w:val="en-US" w:eastAsia="zh-CN" w:bidi="ar-SA"/>
          <w:highlight w:val="auto"/>
        </w:rPr>
        <w:t>万元，占本年支出合计的</w:t>
      </w:r>
      <w:r>
        <w:rPr>
          <w:rFonts w:ascii="Times New Roman" w:eastAsia="仿宋_GB2312" w:cs="Times New Roman" w:hAnsi="Times New Roman"/>
          <w:sz w:val="32"/>
          <w:szCs w:val="32"/>
        </w:rPr>
        <w:t>83.78</w:t>
      </w:r>
      <w:r>
        <w:rPr>
          <w:rFonts w:ascii="Times New Roman" w:eastAsia="仿宋_GB2312" w:cs="Times New Roman" w:hAnsi="Times New Roman"/>
          <w:color w:val="auto"/>
          <w:kern w:val="2"/>
          <w:sz w:val="32"/>
          <w:szCs w:val="32"/>
          <w:lang w:val="en-US" w:eastAsia="zh-CN" w:bidi="ar-SA"/>
          <w:highlight w:val="auto"/>
        </w:rPr>
        <w:t>%。与</w:t>
      </w:r>
      <w:r>
        <w:rPr>
          <w:rFonts w:ascii="Times New Roman" w:eastAsia="仿宋_GB2312" w:cs="Times New Roman" w:hAnsi="Times New Roman"/>
          <w:sz w:val="32"/>
          <w:szCs w:val="32"/>
          <w:lang w:val="en-US" w:eastAsia="zh-CN"/>
        </w:rPr>
        <w:t>2023</w:t>
      </w:r>
      <w:r>
        <w:rPr>
          <w:rFonts w:ascii="Times New Roman" w:eastAsia="仿宋_GB2312" w:cs="Times New Roman" w:hAnsi="Times New Roman"/>
          <w:color w:val="auto"/>
          <w:kern w:val="2"/>
          <w:sz w:val="32"/>
          <w:szCs w:val="32"/>
          <w:lang w:val="en-US" w:eastAsia="zh-CN" w:bidi="ar-SA"/>
          <w:highlight w:val="auto"/>
        </w:rPr>
        <w:t>年度相比，一般公共预算财政拨款支出增加</w:t>
      </w:r>
      <w:r>
        <w:rPr>
          <w:rFonts w:ascii="Times New Roman" w:eastAsia="仿宋_GB2312" w:cs="Times New Roman" w:hAnsi="Times New Roman"/>
          <w:sz w:val="32"/>
          <w:szCs w:val="32"/>
          <w:lang w:val="en-US" w:eastAsia="zh-CN"/>
        </w:rPr>
        <w:t>93.86</w:t>
      </w:r>
      <w:r>
        <w:rPr>
          <w:rFonts w:ascii="Times New Roman" w:eastAsia="仿宋_GB2312" w:cs="Times New Roman" w:hAnsi="Times New Roman"/>
          <w:color w:val="auto"/>
          <w:kern w:val="2"/>
          <w:sz w:val="32"/>
          <w:szCs w:val="32"/>
          <w:lang w:val="en-US" w:eastAsia="zh-CN" w:bidi="ar-SA"/>
          <w:highlight w:val="auto"/>
        </w:rPr>
        <w:t>万元，增长</w:t>
      </w:r>
      <w:r>
        <w:rPr>
          <w:rFonts w:ascii="Times New Roman" w:eastAsia="仿宋_GB2312" w:cs="Times New Roman" w:hAnsi="Times New Roman"/>
          <w:sz w:val="32"/>
          <w:szCs w:val="32"/>
          <w:lang w:val="en-US" w:eastAsia="zh-CN"/>
        </w:rPr>
        <w:t>31.42</w:t>
      </w:r>
      <w:r>
        <w:rPr>
          <w:rFonts w:ascii="Times New Roman" w:eastAsia="仿宋_GB2312" w:cs="Times New Roman" w:hAnsi="Times New Roman"/>
          <w:color w:val="auto"/>
          <w:kern w:val="2"/>
          <w:sz w:val="32"/>
          <w:szCs w:val="32"/>
          <w:lang w:val="en-US" w:eastAsia="zh-CN" w:bidi="ar-SA"/>
          <w:highlight w:val="auto"/>
        </w:rPr>
        <w:t>%。主要变动原因是</w:t>
      </w:r>
      <w:r>
        <w:rPr>
          <w:rFonts w:ascii="Times New Roman" w:eastAsia="仿宋_GB2312" w:cs="Times New Roman" w:hAnsi="Times New Roman"/>
          <w:sz w:val="32"/>
          <w:szCs w:val="32"/>
          <w:lang w:eastAsia="zh-CN"/>
        </w:rPr>
        <w:t>支付了部分以前年度项目欠款，</w:t>
      </w:r>
      <w:r>
        <w:rPr>
          <w:rFonts w:ascii="Times New Roman" w:eastAsia="仿宋_GB2312" w:cs="Times New Roman" w:hAnsi="Times New Roman"/>
          <w:sz w:val="32"/>
          <w:szCs w:val="32"/>
          <w:lang w:val="en-US" w:eastAsia="zh-CN"/>
        </w:rPr>
        <w:t>导致一般公共预算财政拨款支出增加。</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p>
    <w:p>
      <w:pPr>
        <w:pStyle w:val="15"/>
        <w:rPr>
          <w:rFonts w:ascii="Times New Roman" w:eastAsia="仿宋_GB2312" w:cs="Times New Roman" w:hAnsi="Times New Roman"/>
          <w:color w:val="auto"/>
          <w:kern w:val="2"/>
          <w:sz w:val="32"/>
          <w:szCs w:val="32"/>
          <w:lang w:val="en-US" w:eastAsia="zh-CN" w:bidi="ar-SA"/>
          <w:highlight w:val="auto"/>
        </w:rPr>
      </w:pPr>
    </w:p>
    <w:p>
      <w:pPr>
        <w:pStyle w:val="15"/>
        <w:rPr>
          <w:rFonts w:ascii="Times New Roman" w:eastAsia="仿宋_GB2312" w:cs="Times New Roman" w:hAnsi="Times New Roman"/>
          <w:color w:val="auto"/>
          <w:kern w:val="2"/>
          <w:sz w:val="32"/>
          <w:szCs w:val="32"/>
          <w:lang w:val="en-US" w:eastAsia="zh-CN" w:bidi="ar-SA"/>
          <w:highlight w:val="auto"/>
        </w:rPr>
      </w:pPr>
      <w:r>
        <w:rPr>
          <w:rFonts w:ascii="Times New Roman" w:cs="Times New Roman" w:hAnsi="Times New Roman"/>
          <w:lang w:val="en-US" w:eastAsia="zh-CN"/>
        </w:rPr>
        <w:t xml:space="preserve">         </w:t>
      </w:r>
      <w:r>
        <w:rPr>
          <w:rFonts w:ascii="Times New Roman" w:cs="Times New Roman" w:hAnsi="Times New Roman"/>
        </w:rPr>
        <w:drawing>
          <wp:inline distT="0" distB="0" distL="114300" distR="114300">
            <wp:extent cx="3656965" cy="2658110"/>
            <wp:effectExtent l="0" t="0" r="0" b="0"/>
            <wp:docPr id="11" name="图表 2"/>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600" w:lineRule="exact"/>
        <w:jc w:val="center"/>
        <w:rPr>
          <w:rFonts w:ascii="Times New Roman" w:eastAsia="仿宋_GB2312" w:cs="Times New Roman" w:hAnsi="Times New Roman"/>
          <w:color w:val="auto"/>
          <w:kern w:val="2"/>
          <w:sz w:val="32"/>
          <w:szCs w:val="32"/>
          <w:lang w:val="en-US" w:eastAsia="zh-CN" w:bidi="ar-SA"/>
          <w:highlight w:val="auto"/>
        </w:rPr>
      </w:pPr>
      <w:r>
        <w:rPr>
          <w:rFonts w:ascii="Times New Roman" w:eastAsia="仿宋" w:cs="Times New Roman" w:hAnsi="Times New Roman"/>
          <w:sz w:val="32"/>
          <w:szCs w:val="32"/>
        </w:rPr>
        <w:t>（图5：一般公共预算财政拨款支出决算变动情况）（柱状图）</w:t>
      </w:r>
    </w:p>
    <w:p>
      <w:pPr>
        <w:spacing w:line="600" w:lineRule="exact"/>
        <w:ind w:firstLineChars="200" w:firstLine="640"/>
        <w:outlineLvl w:val="2"/>
        <w:rPr>
          <w:rFonts w:ascii="Times New Roman" w:eastAsia="楷体_GB2312" w:cs="Times New Roman" w:hAnsi="Times New Roman"/>
          <w:b/>
          <w:color w:val="auto"/>
          <w:sz w:val="32"/>
          <w:szCs w:val="32"/>
          <w:highlight w:val="auto"/>
        </w:rPr>
      </w:pPr>
      <w:bookmarkStart w:id="41" w:name="_Toc15377211"/>
      <w:r>
        <w:rPr>
          <w:rFonts w:ascii="Times New Roman" w:eastAsia="楷体_GB2312" w:cs="Times New Roman" w:hAnsi="Times New Roman"/>
          <w:b/>
          <w:color w:val="auto"/>
          <w:sz w:val="32"/>
          <w:szCs w:val="32"/>
          <w:highlight w:val="auto"/>
        </w:rPr>
        <w:t>（二）一般公共预算财政拨款支出决算结构情况</w:t>
      </w:r>
      <w:bookmarkEnd w:id="41"/>
    </w:p>
    <w:p>
      <w:pPr>
        <w:pStyle w:val="15"/>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2024年度一般公共预算财政拨款支出</w:t>
      </w:r>
      <w:r>
        <w:rPr>
          <w:rFonts w:ascii="Times New Roman" w:eastAsia="仿宋_GB2312" w:cs="Times New Roman" w:hAnsi="Times New Roman"/>
          <w:kern w:val="2"/>
          <w:sz w:val="32"/>
          <w:szCs w:val="32"/>
          <w:lang w:val="en-US" w:eastAsia="zh-CN" w:bidi="ar-SA"/>
        </w:rPr>
        <w:t>392.58</w:t>
      </w:r>
      <w:r>
        <w:rPr>
          <w:rFonts w:ascii="Times New Roman" w:eastAsia="仿宋_GB2312" w:cs="Times New Roman" w:hAnsi="Times New Roman"/>
          <w:color w:val="auto"/>
          <w:kern w:val="2"/>
          <w:sz w:val="32"/>
          <w:szCs w:val="32"/>
          <w:lang w:val="en-US" w:eastAsia="zh-CN" w:bidi="ar-SA"/>
          <w:highlight w:val="auto"/>
        </w:rPr>
        <w:t>万元，主要用于以下方面：</w:t>
      </w:r>
      <w:r>
        <w:rPr>
          <w:rFonts w:ascii="Times New Roman" w:eastAsia="仿宋_GB2312" w:cs="Times New Roman" w:hAnsi="Times New Roman"/>
          <w:sz w:val="32"/>
          <w:szCs w:val="32"/>
        </w:rPr>
        <w:t>社会保障和就业支出</w:t>
      </w:r>
      <w:r>
        <w:rPr>
          <w:rFonts w:ascii="Times New Roman" w:eastAsia="仿宋_GB2312" w:cs="Times New Roman" w:hAnsi="Times New Roman"/>
          <w:kern w:val="2"/>
          <w:sz w:val="32"/>
          <w:szCs w:val="32"/>
          <w:lang w:val="en-US" w:eastAsia="zh-CN" w:bidi="ar-SA"/>
        </w:rPr>
        <w:t>56.35</w:t>
      </w:r>
      <w:r>
        <w:rPr>
          <w:rFonts w:ascii="Times New Roman" w:eastAsia="仿宋_GB2312" w:cs="Times New Roman" w:hAnsi="Times New Roman"/>
          <w:sz w:val="32"/>
          <w:szCs w:val="32"/>
        </w:rPr>
        <w:t>万元，</w:t>
      </w:r>
      <w:r>
        <w:rPr>
          <w:rFonts w:ascii="Times New Roman" w:eastAsia="仿宋_GB2312" w:cs="Times New Roman" w:hAnsi="Times New Roman"/>
          <w:color w:val="auto"/>
          <w:kern w:val="2"/>
          <w:sz w:val="32"/>
          <w:szCs w:val="32"/>
          <w:lang w:val="en-US" w:eastAsia="zh-CN" w:bidi="ar-SA"/>
          <w:highlight w:val="auto"/>
        </w:rPr>
        <w:t>占</w:t>
      </w:r>
      <w:r>
        <w:rPr>
          <w:rFonts w:ascii="Times New Roman" w:eastAsia="仿宋_GB2312" w:cs="Times New Roman" w:hAnsi="Times New Roman"/>
          <w:kern w:val="2"/>
          <w:sz w:val="32"/>
          <w:szCs w:val="32"/>
          <w:lang w:val="en-US" w:eastAsia="zh-CN" w:bidi="ar-SA"/>
        </w:rPr>
        <w:t>14.35%</w:t>
      </w:r>
      <w:r>
        <w:rPr>
          <w:rFonts w:ascii="Times New Roman" w:eastAsia="仿宋_GB2312" w:cs="Times New Roman" w:hAnsi="Times New Roman"/>
          <w:color w:val="auto"/>
          <w:kern w:val="2"/>
          <w:sz w:val="32"/>
          <w:szCs w:val="32"/>
          <w:lang w:val="en-US" w:eastAsia="zh-CN" w:bidi="ar-SA"/>
          <w:highlight w:val="auto"/>
        </w:rPr>
        <w:t>；卫生健康支出</w:t>
      </w:r>
      <w:r>
        <w:rPr>
          <w:rFonts w:ascii="Times New Roman" w:eastAsia="仿宋_GB2312" w:cs="Times New Roman" w:hAnsi="Times New Roman"/>
          <w:kern w:val="2"/>
          <w:sz w:val="32"/>
          <w:szCs w:val="32"/>
          <w:lang w:val="en-US" w:eastAsia="zh-CN" w:bidi="ar-SA"/>
        </w:rPr>
        <w:t>317.35</w:t>
      </w:r>
      <w:r>
        <w:rPr>
          <w:rFonts w:ascii="Times New Roman" w:eastAsia="仿宋_GB2312" w:cs="Times New Roman" w:hAnsi="Times New Roman"/>
          <w:color w:val="auto"/>
          <w:kern w:val="2"/>
          <w:sz w:val="32"/>
          <w:szCs w:val="32"/>
          <w:lang w:val="en-US" w:eastAsia="zh-CN" w:bidi="ar-SA"/>
          <w:highlight w:val="auto"/>
        </w:rPr>
        <w:t>万元，占</w:t>
      </w:r>
      <w:r>
        <w:rPr>
          <w:rFonts w:ascii="Times New Roman" w:eastAsia="仿宋_GB2312" w:cs="Times New Roman" w:hAnsi="Times New Roman"/>
          <w:kern w:val="2"/>
          <w:sz w:val="32"/>
          <w:szCs w:val="32"/>
          <w:lang w:val="en-US" w:eastAsia="zh-CN" w:bidi="ar-SA"/>
        </w:rPr>
        <w:t>80.84%</w:t>
      </w:r>
      <w:r>
        <w:rPr>
          <w:rFonts w:ascii="Times New Roman" w:eastAsia="仿宋_GB2312" w:cs="Times New Roman" w:hAnsi="Times New Roman"/>
          <w:color w:val="auto"/>
          <w:kern w:val="2"/>
          <w:sz w:val="32"/>
          <w:szCs w:val="32"/>
          <w:lang w:val="en-US" w:eastAsia="zh-CN" w:bidi="ar-SA"/>
          <w:highlight w:val="auto"/>
        </w:rPr>
        <w:t>；住房保障支出</w:t>
      </w:r>
      <w:r>
        <w:rPr>
          <w:rFonts w:ascii="Times New Roman" w:eastAsia="仿宋_GB2312" w:cs="Times New Roman" w:hAnsi="Times New Roman"/>
          <w:kern w:val="2"/>
          <w:sz w:val="32"/>
          <w:szCs w:val="32"/>
          <w:lang w:val="en-US" w:eastAsia="zh-CN" w:bidi="ar-SA"/>
        </w:rPr>
        <w:t>18.88</w:t>
      </w:r>
      <w:r>
        <w:rPr>
          <w:rFonts w:ascii="Times New Roman" w:eastAsia="仿宋_GB2312" w:cs="Times New Roman" w:hAnsi="Times New Roman"/>
          <w:color w:val="auto"/>
          <w:kern w:val="2"/>
          <w:sz w:val="32"/>
          <w:szCs w:val="32"/>
          <w:lang w:val="en-US" w:eastAsia="zh-CN" w:bidi="ar-SA"/>
          <w:highlight w:val="auto"/>
        </w:rPr>
        <w:t>万元，占</w:t>
      </w:r>
      <w:r>
        <w:rPr>
          <w:rFonts w:ascii="Times New Roman" w:eastAsia="仿宋_GB2312" w:cs="Times New Roman" w:hAnsi="Times New Roman"/>
          <w:kern w:val="2"/>
          <w:sz w:val="32"/>
          <w:szCs w:val="32"/>
          <w:lang w:val="en-US" w:eastAsia="zh-CN" w:bidi="ar-SA"/>
        </w:rPr>
        <w:t>4.81</w:t>
      </w:r>
      <w:r>
        <w:rPr>
          <w:rFonts w:ascii="Times New Roman" w:eastAsia="仿宋_GB2312" w:cs="Times New Roman" w:hAnsi="Times New Roman"/>
          <w:color w:val="auto"/>
          <w:kern w:val="2"/>
          <w:sz w:val="32"/>
          <w:szCs w:val="32"/>
          <w:lang w:val="en-US" w:eastAsia="zh-CN" w:bidi="ar-SA"/>
          <w:highlight w:val="auto"/>
        </w:rPr>
        <w:t>%</w:t>
      </w:r>
      <w:r>
        <w:rPr>
          <w:rFonts w:ascii="Times New Roman" w:cs="Times New Roman" w:hAnsi="Times New Roman"/>
          <w:color w:val="auto"/>
          <w:kern w:val="2"/>
          <w:sz w:val="32"/>
          <w:szCs w:val="32"/>
          <w:lang w:val="en-US" w:eastAsia="zh-CN" w:bidi="ar-SA"/>
          <w:highlight w:val="auto"/>
        </w:rPr>
        <w:t>。</w:t>
      </w:r>
    </w:p>
    <w:p>
      <w:pPr>
        <w:pStyle w:val="15"/>
        <w:rPr>
          <w:rFonts w:ascii="Times New Roman" w:cs="Times New Roman" w:hAnsi="Times New Roman"/>
        </w:rPr>
      </w:pPr>
      <w:r>
        <w:rPr>
          <w:rFonts w:ascii="Times New Roman" w:cs="Times New Roman" w:hAnsi="Times New Roman" w:hint="eastAsia"/>
          <w:lang w:val="en-US" w:eastAsia="zh-CN"/>
        </w:rPr>
        <w:t xml:space="preserve">    </w:t>
      </w:r>
      <w:r>
        <w:rPr>
          <w:rFonts w:ascii="Times New Roman" w:cs="Times New Roman" w:hAnsi="Times New Roman"/>
        </w:rPr>
        <w:drawing>
          <wp:inline distT="0" distB="0" distL="114300" distR="114300">
            <wp:extent cx="4307205" cy="2514600"/>
            <wp:effectExtent l="0" t="0" r="0" b="0"/>
            <wp:docPr id="12" name="图表 1"/>
            <wp:cNvGraphicFramePr>
              <a:graphicFrameLocks noChangeAspect="0"/>
            </wp:cNvGraphicFramePr>
            <a:graphic>
              <a:graphicData uri="http://schemas.openxmlformats.org/drawingml/2006/chart">
                <c:chart xmlns:c="http://schemas.openxmlformats.org/drawingml/2006/chart" r:id="rId12"/>
              </a:graphicData>
            </a:graphic>
          </wp:inline>
        </w:drawing>
      </w:r>
    </w:p>
    <w:p>
      <w:pPr>
        <w:spacing w:line="600" w:lineRule="exact"/>
        <w:ind w:firstLineChars="100" w:firstLine="320"/>
        <w:jc w:val="center"/>
        <w:rPr>
          <w:rFonts w:ascii="Times New Roman" w:cs="Times New Roman" w:hAnsi="Times New Roman"/>
          <w:lang w:val="en-US" w:eastAsia="zh-CN"/>
        </w:rPr>
      </w:pPr>
      <w:r>
        <w:rPr>
          <w:rFonts w:ascii="Times New Roman" w:eastAsia="仿宋" w:cs="Times New Roman" w:hAnsi="Times New Roman"/>
          <w:sz w:val="32"/>
          <w:szCs w:val="32"/>
        </w:rPr>
        <w:t>（图6：一般公共预算财政拨款支出决算结构）（饼状图）</w:t>
      </w:r>
    </w:p>
    <w:p>
      <w:pPr>
        <w:spacing w:line="600" w:lineRule="exact"/>
        <w:ind w:firstLineChars="200" w:firstLine="640"/>
        <w:outlineLvl w:val="2"/>
        <w:rPr>
          <w:rFonts w:ascii="Times New Roman" w:eastAsia="楷体_GB2312" w:cs="Times New Roman" w:hAnsi="Times New Roman"/>
          <w:b/>
          <w:color w:val="auto"/>
          <w:sz w:val="32"/>
          <w:szCs w:val="32"/>
          <w:highlight w:val="auto"/>
        </w:rPr>
      </w:pPr>
      <w:bookmarkStart w:id="42" w:name="_Toc15377212"/>
      <w:r>
        <w:rPr>
          <w:rFonts w:ascii="Times New Roman" w:eastAsia="楷体_GB2312" w:cs="Times New Roman" w:hAnsi="Times New Roman"/>
          <w:b/>
          <w:color w:val="auto"/>
          <w:sz w:val="32"/>
          <w:szCs w:val="32"/>
          <w:highlight w:val="auto"/>
        </w:rPr>
        <w:t>（三）一般公共预算财政拨款支出决算具体情况</w:t>
      </w:r>
      <w:bookmarkEnd w:id="42"/>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bookmarkStart w:id="43" w:name="_Toc15378460"/>
      <w:bookmarkStart w:id="44" w:name="_Toc15377444"/>
      <w:bookmarkStart w:id="45" w:name="_Toc15377213"/>
      <w:r>
        <w:rPr>
          <w:rFonts w:ascii="Times New Roman" w:eastAsia="仿宋_GB2312" w:cs="Times New Roman" w:hAnsi="Times New Roman"/>
          <w:color w:val="auto"/>
          <w:kern w:val="2"/>
          <w:sz w:val="32"/>
          <w:szCs w:val="32"/>
          <w:lang w:val="en-US" w:eastAsia="zh-CN" w:bidi="ar-SA"/>
          <w:highlight w:val="auto"/>
        </w:rPr>
        <w:t>2024年度一般公共预算财政拨款支出决算数为</w:t>
      </w:r>
      <w:r>
        <w:rPr>
          <w:rFonts w:ascii="Times New Roman" w:eastAsia="仿宋_GB2312" w:cs="Times New Roman" w:hAnsi="Times New Roman"/>
          <w:kern w:val="2"/>
          <w:sz w:val="32"/>
          <w:szCs w:val="32"/>
          <w:lang w:val="en-US" w:eastAsia="zh-CN" w:bidi="ar-SA"/>
        </w:rPr>
        <w:t>392.58</w:t>
      </w:r>
      <w:r>
        <w:rPr>
          <w:rFonts w:ascii="Times New Roman" w:eastAsia="仿宋_GB2312" w:cs="Times New Roman" w:hAnsi="Times New Roman"/>
          <w:color w:val="auto"/>
          <w:kern w:val="2"/>
          <w:sz w:val="32"/>
          <w:szCs w:val="32"/>
          <w:lang w:val="en-US" w:eastAsia="zh-CN" w:bidi="ar-SA"/>
          <w:highlight w:val="auto"/>
        </w:rPr>
        <w:t>，完成预算</w:t>
      </w:r>
      <w:r>
        <w:rPr>
          <w:rFonts w:ascii="Times New Roman" w:eastAsia="仿宋_GB2312" w:cs="Times New Roman" w:hAnsi="Times New Roman"/>
          <w:kern w:val="2"/>
          <w:sz w:val="32"/>
          <w:szCs w:val="32"/>
          <w:lang w:val="en-US" w:eastAsia="zh-CN" w:bidi="ar-SA"/>
        </w:rPr>
        <w:t>100%</w:t>
      </w:r>
      <w:r>
        <w:rPr>
          <w:rFonts w:ascii="Times New Roman" w:eastAsia="仿宋_GB2312" w:cs="Times New Roman" w:hAnsi="Times New Roman"/>
          <w:color w:val="auto"/>
          <w:kern w:val="2"/>
          <w:sz w:val="32"/>
          <w:szCs w:val="32"/>
          <w:lang w:val="en-US" w:eastAsia="zh-CN" w:bidi="ar-SA"/>
          <w:highlight w:val="auto"/>
        </w:rPr>
        <w:t>。其中：</w:t>
      </w:r>
      <w:bookmarkEnd w:id="43"/>
      <w:bookmarkEnd w:id="44"/>
      <w:bookmarkEnd w:id="45"/>
    </w:p>
    <w:p>
      <w:pPr>
        <w:spacing w:line="600" w:lineRule="exact"/>
        <w:ind w:firstLineChars="200" w:firstLine="640"/>
        <w:rPr>
          <w:rStyle w:val="25"/>
          <w:rFonts w:ascii="Times New Roman" w:eastAsia="仿宋" w:cs="Times New Roman" w:hAnsi="Times New Roman"/>
          <w:b w:val="0"/>
          <w:bCs w:val="0"/>
          <w:color w:val="FF0000"/>
          <w:sz w:val="32"/>
          <w:szCs w:val="32"/>
        </w:rPr>
      </w:pPr>
      <w:r>
        <w:rPr>
          <w:rStyle w:val="25"/>
          <w:rFonts w:ascii="Times New Roman" w:eastAsia="仿宋" w:cs="Times New Roman" w:hAnsi="Times New Roman"/>
          <w:sz w:val="32"/>
          <w:szCs w:val="32"/>
        </w:rPr>
        <w:t>1.社会保障和就业（类）行政事业单位养老支出（款）事业单位离退休（项）:</w:t>
      </w:r>
      <w:r>
        <w:rPr>
          <w:rStyle w:val="25"/>
          <w:rFonts w:ascii="Times New Roman" w:eastAsia="仿宋" w:cs="Times New Roman" w:hAnsi="Times New Roman"/>
          <w:b w:val="0"/>
          <w:bCs w:val="0"/>
          <w:sz w:val="32"/>
          <w:szCs w:val="32"/>
        </w:rPr>
        <w:t>支出决算为</w:t>
      </w:r>
      <w:r>
        <w:rPr>
          <w:rFonts w:ascii="Times New Roman" w:eastAsia="仿宋_GB2312" w:cs="Times New Roman" w:hAnsi="Times New Roman"/>
          <w:color w:val="auto"/>
          <w:kern w:val="2"/>
          <w:sz w:val="32"/>
          <w:szCs w:val="32"/>
          <w:lang w:val="en-US" w:eastAsia="zh-CN" w:bidi="ar-SA"/>
          <w:highlight w:val="auto"/>
        </w:rPr>
        <w:t>25.19</w:t>
      </w:r>
      <w:r>
        <w:rPr>
          <w:rStyle w:val="25"/>
          <w:rFonts w:ascii="Times New Roman" w:eastAsia="仿宋" w:cs="Times New Roman" w:hAnsi="Times New Roman"/>
          <w:b w:val="0"/>
          <w:bCs w:val="0"/>
          <w:sz w:val="32"/>
          <w:szCs w:val="32"/>
        </w:rPr>
        <w:t>万元，完成预算</w:t>
      </w:r>
      <w:r>
        <w:rPr>
          <w:rFonts w:ascii="Times New Roman" w:eastAsia="仿宋_GB2312" w:cs="Times New Roman" w:hAnsi="Times New Roman"/>
          <w:color w:val="auto"/>
          <w:kern w:val="2"/>
          <w:sz w:val="32"/>
          <w:szCs w:val="32"/>
          <w:lang w:val="en-US" w:eastAsia="zh-CN" w:bidi="ar-SA"/>
          <w:highlight w:val="auto"/>
        </w:rPr>
        <w:t>100%</w:t>
      </w:r>
      <w:r>
        <w:rPr>
          <w:rStyle w:val="25"/>
          <w:rFonts w:ascii="Times New Roman" w:eastAsia="仿宋" w:cs="Times New Roman" w:hAnsi="Times New Roman"/>
          <w:b w:val="0"/>
          <w:bCs w:val="0"/>
          <w:sz w:val="32"/>
          <w:szCs w:val="32"/>
        </w:rPr>
        <w:t>。</w:t>
      </w:r>
    </w:p>
    <w:p>
      <w:pPr>
        <w:spacing w:line="600" w:lineRule="exact"/>
        <w:ind w:firstLineChars="200" w:firstLine="640"/>
        <w:rPr>
          <w:rStyle w:val="25"/>
          <w:rFonts w:ascii="Times New Roman" w:eastAsia="仿宋" w:cs="Times New Roman" w:hAnsi="Times New Roman"/>
          <w:b w:val="0"/>
          <w:bCs w:val="0"/>
          <w:sz w:val="32"/>
          <w:szCs w:val="32"/>
        </w:rPr>
      </w:pPr>
      <w:r>
        <w:rPr>
          <w:rStyle w:val="25"/>
          <w:rFonts w:ascii="Times New Roman" w:eastAsia="仿宋" w:cs="Times New Roman" w:hAnsi="Times New Roman"/>
          <w:sz w:val="32"/>
          <w:szCs w:val="32"/>
        </w:rPr>
        <w:t>2.社会保障和就业（类）行政事业单位养老支出（款）机关事业单位基本养老保险缴费支出（项）:</w:t>
      </w:r>
      <w:r>
        <w:rPr>
          <w:rStyle w:val="25"/>
          <w:rFonts w:ascii="Times New Roman" w:eastAsia="仿宋" w:cs="Times New Roman" w:hAnsi="Times New Roman"/>
          <w:b w:val="0"/>
          <w:bCs w:val="0"/>
          <w:sz w:val="32"/>
          <w:szCs w:val="32"/>
        </w:rPr>
        <w:t>支出决算为</w:t>
      </w:r>
      <w:r>
        <w:rPr>
          <w:rFonts w:ascii="Times New Roman" w:eastAsia="仿宋_GB2312" w:cs="Times New Roman" w:hAnsi="Times New Roman"/>
          <w:color w:val="auto"/>
          <w:kern w:val="2"/>
          <w:sz w:val="32"/>
          <w:szCs w:val="32"/>
          <w:lang w:val="en-US" w:eastAsia="zh-CN" w:bidi="ar-SA"/>
          <w:highlight w:val="auto"/>
        </w:rPr>
        <w:t>25.18</w:t>
      </w:r>
      <w:r>
        <w:rPr>
          <w:rStyle w:val="25"/>
          <w:rFonts w:ascii="Times New Roman" w:eastAsia="仿宋" w:cs="Times New Roman" w:hAnsi="Times New Roman"/>
          <w:b w:val="0"/>
          <w:bCs w:val="0"/>
          <w:sz w:val="32"/>
          <w:szCs w:val="32"/>
        </w:rPr>
        <w:t>万元，完成预算</w:t>
      </w:r>
      <w:r>
        <w:rPr>
          <w:rFonts w:ascii="Times New Roman" w:eastAsia="仿宋_GB2312" w:cs="Times New Roman" w:hAnsi="Times New Roman"/>
          <w:color w:val="auto"/>
          <w:kern w:val="2"/>
          <w:sz w:val="32"/>
          <w:szCs w:val="32"/>
          <w:lang w:val="en-US" w:eastAsia="zh-CN" w:bidi="ar-SA"/>
          <w:highlight w:val="auto"/>
        </w:rPr>
        <w:t>100%</w:t>
      </w:r>
      <w:r>
        <w:rPr>
          <w:rStyle w:val="25"/>
          <w:rFonts w:ascii="Times New Roman" w:eastAsia="仿宋" w:cs="Times New Roman" w:hAnsi="Times New Roman"/>
          <w:b w:val="0"/>
          <w:bCs w:val="0"/>
          <w:sz w:val="32"/>
          <w:szCs w:val="32"/>
        </w:rPr>
        <w:t>。</w:t>
      </w:r>
    </w:p>
    <w:p>
      <w:pPr>
        <w:pStyle w:val="15"/>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仿宋" w:cs="Times New Roman" w:hAnsi="Times New Roman"/>
          <w:lang w:val="en-US" w:eastAsia="zh-CN"/>
        </w:rPr>
      </w:pPr>
      <w:r>
        <w:rPr>
          <w:rStyle w:val="25"/>
          <w:rFonts w:ascii="Times New Roman" w:eastAsia="仿宋" w:cs="Times New Roman" w:hAnsi="Times New Roman"/>
          <w:sz w:val="32"/>
          <w:szCs w:val="32"/>
          <w:lang w:val="en-US" w:eastAsia="zh-CN"/>
        </w:rPr>
        <w:t>3.</w:t>
      </w:r>
      <w:r>
        <w:rPr>
          <w:rStyle w:val="25"/>
          <w:rFonts w:ascii="Times New Roman" w:eastAsia="仿宋" w:cs="Times New Roman" w:hAnsi="Times New Roman"/>
          <w:sz w:val="32"/>
          <w:szCs w:val="32"/>
        </w:rPr>
        <w:t>社会保障和就业（类）</w:t>
      </w:r>
      <w:r>
        <w:rPr>
          <w:rStyle w:val="25"/>
          <w:rFonts w:ascii="Times New Roman" w:eastAsia="仿宋" w:cs="Times New Roman" w:hAnsi="Times New Roman"/>
          <w:sz w:val="32"/>
          <w:szCs w:val="32"/>
          <w:lang w:val="en-US" w:eastAsia="zh-CN"/>
        </w:rPr>
        <w:t>抚恤（款）死亡抚恤（项）：</w:t>
      </w:r>
      <w:r>
        <w:rPr>
          <w:rStyle w:val="25"/>
          <w:rFonts w:ascii="Times New Roman" w:eastAsia="仿宋" w:cs="Times New Roman" w:hAnsi="Times New Roman"/>
          <w:b w:val="0"/>
          <w:bCs/>
          <w:sz w:val="32"/>
          <w:szCs w:val="32"/>
          <w:lang w:val="en-US" w:eastAsia="zh-CN"/>
        </w:rPr>
        <w:t>支出决算为</w:t>
      </w:r>
      <w:r>
        <w:rPr>
          <w:rFonts w:ascii="Times New Roman" w:eastAsia="仿宋_GB2312" w:cs="Times New Roman" w:hAnsi="Times New Roman"/>
          <w:color w:val="auto"/>
          <w:kern w:val="2"/>
          <w:sz w:val="32"/>
          <w:szCs w:val="32"/>
          <w:lang w:val="en-US" w:eastAsia="zh-CN" w:bidi="ar-SA"/>
          <w:highlight w:val="auto"/>
        </w:rPr>
        <w:t>5.99</w:t>
      </w:r>
      <w:r>
        <w:rPr>
          <w:rFonts w:ascii="Times New Roman" w:cs="Times New Roman" w:hAnsi="Times New Roman"/>
          <w:color w:val="auto"/>
          <w:kern w:val="2"/>
          <w:sz w:val="32"/>
          <w:szCs w:val="32"/>
          <w:lang w:val="en-US" w:eastAsia="zh-CN" w:bidi="ar-SA"/>
          <w:highlight w:val="auto"/>
        </w:rPr>
        <w:t>万元</w:t>
      </w:r>
      <w:r>
        <w:rPr>
          <w:rFonts w:ascii="Times New Roman" w:cs="Times New Roman" w:hAnsi="Times New Roman"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5"/>
          <w:rFonts w:ascii="Times New Roman" w:eastAsia="仿宋" w:cs="Times New Roman" w:hAnsi="Times New Roman"/>
          <w:b w:val="0"/>
          <w:bCs w:val="0"/>
          <w:sz w:val="32"/>
          <w:szCs w:val="32"/>
        </w:rPr>
      </w:pPr>
      <w:r>
        <w:rPr>
          <w:rStyle w:val="25"/>
          <w:rFonts w:ascii="Times New Roman" w:eastAsia="仿宋" w:cs="Times New Roman" w:hAnsi="Times New Roman"/>
          <w:sz w:val="32"/>
          <w:szCs w:val="32"/>
          <w:lang w:val="en-US" w:eastAsia="zh-CN"/>
        </w:rPr>
        <w:t>4</w:t>
      </w:r>
      <w:r>
        <w:rPr>
          <w:rStyle w:val="25"/>
          <w:rFonts w:ascii="Times New Roman" w:eastAsia="仿宋" w:cs="Times New Roman" w:hAnsi="Times New Roman"/>
          <w:sz w:val="32"/>
          <w:szCs w:val="32"/>
        </w:rPr>
        <w:t>.</w:t>
      </w:r>
      <w:r>
        <w:rPr>
          <w:rFonts w:ascii="Times New Roman" w:eastAsia="仿宋" w:cs="Times New Roman" w:hAnsi="Times New Roman"/>
          <w:b/>
          <w:bCs/>
          <w:sz w:val="32"/>
          <w:szCs w:val="32"/>
        </w:rPr>
        <w:t>卫生健康</w:t>
      </w:r>
      <w:r>
        <w:rPr>
          <w:rStyle w:val="25"/>
          <w:rFonts w:ascii="Times New Roman" w:eastAsia="仿宋" w:cs="Times New Roman" w:hAnsi="Times New Roman"/>
          <w:sz w:val="32"/>
          <w:szCs w:val="32"/>
        </w:rPr>
        <w:t>（类）公立医院（款）其他公立医院支出（项）:</w:t>
      </w:r>
      <w:r>
        <w:rPr>
          <w:rStyle w:val="25"/>
          <w:rFonts w:ascii="Times New Roman" w:eastAsia="仿宋" w:cs="Times New Roman" w:hAnsi="Times New Roman"/>
          <w:b w:val="0"/>
          <w:bCs w:val="0"/>
          <w:sz w:val="32"/>
          <w:szCs w:val="32"/>
        </w:rPr>
        <w:t>支出决算为</w:t>
      </w:r>
      <w:r>
        <w:rPr>
          <w:rFonts w:ascii="Times New Roman" w:eastAsia="仿宋_GB2312" w:cs="Times New Roman" w:hAnsi="Times New Roman"/>
          <w:color w:val="auto"/>
          <w:kern w:val="2"/>
          <w:sz w:val="32"/>
          <w:szCs w:val="32"/>
          <w:lang w:val="en-US" w:eastAsia="zh-CN" w:bidi="ar-SA"/>
          <w:highlight w:val="auto"/>
        </w:rPr>
        <w:t>20</w:t>
      </w:r>
      <w:r>
        <w:rPr>
          <w:rStyle w:val="25"/>
          <w:rFonts w:ascii="Times New Roman" w:eastAsia="仿宋" w:cs="Times New Roman" w:hAnsi="Times New Roman"/>
          <w:b w:val="0"/>
          <w:bCs w:val="0"/>
          <w:sz w:val="32"/>
          <w:szCs w:val="32"/>
        </w:rPr>
        <w:t>万元，完成预算</w:t>
      </w:r>
      <w:r>
        <w:rPr>
          <w:rFonts w:ascii="Times New Roman" w:eastAsia="仿宋_GB2312" w:cs="Times New Roman" w:hAnsi="Times New Roman"/>
          <w:color w:val="auto"/>
          <w:kern w:val="2"/>
          <w:sz w:val="32"/>
          <w:szCs w:val="32"/>
          <w:lang w:val="en-US" w:eastAsia="zh-CN" w:bidi="ar-SA"/>
          <w:highlight w:val="auto"/>
        </w:rPr>
        <w:t>100%</w:t>
      </w:r>
      <w:r>
        <w:rPr>
          <w:rStyle w:val="25"/>
          <w:rFonts w:ascii="Times New Roman" w:eastAsia="仿宋" w:cs="Times New Roman" w:hAnsi="Times New Roman"/>
          <w:b w:val="0"/>
          <w:bCs w:val="0"/>
          <w:sz w:val="32"/>
          <w:szCs w:val="32"/>
        </w:rPr>
        <w:t>。</w:t>
      </w:r>
    </w:p>
    <w:p>
      <w:pPr>
        <w:pStyle w:val="15"/>
        <w:keepNext w:val="0"/>
        <w:keepLines w:val="0"/>
        <w:pageBreakBefore w:val="0"/>
        <w:widowControl w:val="0"/>
        <w:kinsoku/>
        <w:wordWrap/>
        <w:overflowPunct/>
        <w:topLinePunct w:val="0"/>
        <w:autoSpaceDE/>
        <w:autoSpaceDN/>
        <w:bidi w:val="0"/>
        <w:adjustRightInd/>
        <w:snapToGrid/>
        <w:ind w:firstLineChars="200" w:firstLine="640"/>
        <w:textAlignment w:val="auto"/>
        <w:rPr>
          <w:rStyle w:val="25"/>
          <w:rFonts w:ascii="Times New Roman" w:eastAsia="仿宋" w:cs="Times New Roman" w:hAnsi="Times New Roman"/>
          <w:b w:val="0"/>
          <w:bCs w:val="0"/>
          <w:kern w:val="2"/>
          <w:sz w:val="32"/>
          <w:szCs w:val="32"/>
          <w:lang w:val="en-US" w:eastAsia="zh-CN" w:bidi="ar-SA"/>
        </w:rPr>
      </w:pPr>
      <w:r>
        <w:rPr>
          <w:rFonts w:ascii="Times New Roman" w:eastAsia="仿宋" w:cs="Times New Roman" w:hAnsi="Times New Roman"/>
          <w:b/>
          <w:bCs/>
          <w:sz w:val="32"/>
          <w:szCs w:val="32"/>
          <w:lang w:val="en-US" w:eastAsia="zh-CN"/>
        </w:rPr>
        <w:t>5.</w:t>
      </w:r>
      <w:r>
        <w:rPr>
          <w:rFonts w:ascii="Times New Roman" w:eastAsia="仿宋" w:cs="Times New Roman" w:hAnsi="Times New Roman"/>
          <w:b/>
          <w:bCs/>
          <w:sz w:val="32"/>
          <w:szCs w:val="32"/>
        </w:rPr>
        <w:t>卫生健康</w:t>
      </w:r>
      <w:r>
        <w:rPr>
          <w:rStyle w:val="25"/>
          <w:rFonts w:ascii="Times New Roman" w:eastAsia="仿宋" w:cs="Times New Roman" w:hAnsi="Times New Roman"/>
          <w:sz w:val="32"/>
          <w:szCs w:val="32"/>
        </w:rPr>
        <w:t>（类）</w:t>
      </w:r>
      <w:r>
        <w:rPr>
          <w:rStyle w:val="25"/>
          <w:rFonts w:ascii="Times New Roman" w:eastAsia="仿宋" w:cs="Times New Roman" w:hAnsi="Times New Roman"/>
          <w:sz w:val="32"/>
          <w:szCs w:val="32"/>
          <w:lang w:val="en-US" w:eastAsia="zh-CN"/>
        </w:rPr>
        <w:t>公共卫生（款）基本公共卫生服务（项）：</w:t>
      </w:r>
      <w:r>
        <w:rPr>
          <w:rStyle w:val="25"/>
          <w:rFonts w:ascii="Times New Roman" w:eastAsia="仿宋" w:cs="Times New Roman" w:hAnsi="Times New Roman"/>
          <w:b w:val="0"/>
          <w:bCs w:val="0"/>
          <w:kern w:val="2"/>
          <w:sz w:val="32"/>
          <w:szCs w:val="32"/>
          <w:lang w:val="en-US" w:eastAsia="zh-CN" w:bidi="ar-SA"/>
        </w:rPr>
        <w:t>支出决算为</w:t>
      </w:r>
      <w:r>
        <w:rPr>
          <w:rFonts w:ascii="Times New Roman" w:eastAsia="仿宋_GB2312" w:cs="Times New Roman" w:hAnsi="Times New Roman"/>
          <w:color w:val="auto"/>
          <w:kern w:val="2"/>
          <w:sz w:val="32"/>
          <w:szCs w:val="32"/>
          <w:lang w:val="en-US" w:eastAsia="zh-CN" w:bidi="ar-SA"/>
          <w:highlight w:val="auto"/>
        </w:rPr>
        <w:t>11</w:t>
      </w:r>
      <w:r>
        <w:rPr>
          <w:rStyle w:val="25"/>
          <w:rFonts w:ascii="Times New Roman" w:eastAsia="仿宋" w:cs="Times New Roman" w:hAnsi="Times New Roman"/>
          <w:b w:val="0"/>
          <w:bCs w:val="0"/>
          <w:kern w:val="2"/>
          <w:sz w:val="32"/>
          <w:szCs w:val="32"/>
          <w:lang w:val="en-US" w:eastAsia="zh-CN" w:bidi="ar-SA"/>
        </w:rPr>
        <w:t>万元，完成预算</w:t>
      </w:r>
      <w:r>
        <w:rPr>
          <w:rFonts w:ascii="Times New Roman" w:eastAsia="仿宋_GB2312" w:cs="Times New Roman" w:hAnsi="Times New Roman"/>
          <w:color w:val="auto"/>
          <w:kern w:val="2"/>
          <w:sz w:val="32"/>
          <w:szCs w:val="32"/>
          <w:lang w:val="en-US" w:eastAsia="zh-CN" w:bidi="ar-SA"/>
          <w:highlight w:val="auto"/>
        </w:rPr>
        <w:t>100%</w:t>
      </w:r>
      <w:r>
        <w:rPr>
          <w:rStyle w:val="25"/>
          <w:rFonts w:ascii="Times New Roman" w:eastAsia="仿宋" w:cs="Times New Roman" w:hAnsi="Times New Roman"/>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5"/>
          <w:rFonts w:ascii="Times New Roman" w:eastAsia="仿宋" w:cs="Times New Roman" w:hAnsi="Times New Roman"/>
          <w:b w:val="0"/>
          <w:bCs w:val="0"/>
          <w:sz w:val="32"/>
          <w:szCs w:val="32"/>
        </w:rPr>
      </w:pPr>
      <w:r>
        <w:rPr>
          <w:rStyle w:val="25"/>
          <w:rFonts w:eastAsia="仿宋" w:cs="Times New Roman" w:hint="eastAsia"/>
          <w:sz w:val="32"/>
          <w:szCs w:val="32"/>
          <w:lang w:val="en-US" w:eastAsia="zh-CN"/>
        </w:rPr>
        <w:t>6</w:t>
      </w:r>
      <w:r>
        <w:rPr>
          <w:rStyle w:val="25"/>
          <w:rFonts w:ascii="Times New Roman" w:eastAsia="仿宋" w:cs="Times New Roman" w:hAnsi="Times New Roman"/>
          <w:sz w:val="32"/>
          <w:szCs w:val="32"/>
        </w:rPr>
        <w:t>.</w:t>
      </w:r>
      <w:r>
        <w:rPr>
          <w:rFonts w:ascii="Times New Roman" w:eastAsia="仿宋" w:cs="Times New Roman" w:hAnsi="Times New Roman"/>
          <w:b/>
          <w:bCs/>
          <w:sz w:val="32"/>
          <w:szCs w:val="32"/>
        </w:rPr>
        <w:t>卫生健康</w:t>
      </w:r>
      <w:r>
        <w:rPr>
          <w:rStyle w:val="25"/>
          <w:rFonts w:ascii="Times New Roman" w:eastAsia="仿宋" w:cs="Times New Roman" w:hAnsi="Times New Roman"/>
          <w:sz w:val="32"/>
          <w:szCs w:val="32"/>
        </w:rPr>
        <w:t>（类）行政事业单位医疗（款）事业单位医疗（项）:</w:t>
      </w:r>
      <w:r>
        <w:rPr>
          <w:rStyle w:val="25"/>
          <w:rFonts w:ascii="Times New Roman" w:eastAsia="仿宋" w:cs="Times New Roman" w:hAnsi="Times New Roman"/>
          <w:b w:val="0"/>
          <w:bCs w:val="0"/>
          <w:sz w:val="32"/>
          <w:szCs w:val="32"/>
        </w:rPr>
        <w:t>支出决算为</w:t>
      </w:r>
      <w:r>
        <w:rPr>
          <w:rFonts w:ascii="Times New Roman" w:eastAsia="仿宋_GB2312" w:cs="Times New Roman" w:hAnsi="Times New Roman"/>
          <w:color w:val="auto"/>
          <w:kern w:val="2"/>
          <w:sz w:val="32"/>
          <w:szCs w:val="32"/>
          <w:lang w:val="en-US" w:eastAsia="zh-CN" w:bidi="ar-SA"/>
          <w:highlight w:val="auto"/>
        </w:rPr>
        <w:t>12.10</w:t>
      </w:r>
      <w:r>
        <w:rPr>
          <w:rStyle w:val="25"/>
          <w:rFonts w:ascii="Times New Roman" w:eastAsia="仿宋" w:cs="Times New Roman" w:hAnsi="Times New Roman"/>
          <w:b w:val="0"/>
          <w:bCs w:val="0"/>
          <w:sz w:val="32"/>
          <w:szCs w:val="32"/>
        </w:rPr>
        <w:t>万元，完成预算</w:t>
      </w:r>
      <w:r>
        <w:rPr>
          <w:rFonts w:ascii="Times New Roman" w:eastAsia="仿宋_GB2312" w:cs="Times New Roman" w:hAnsi="Times New Roman"/>
          <w:color w:val="auto"/>
          <w:kern w:val="2"/>
          <w:sz w:val="32"/>
          <w:szCs w:val="32"/>
          <w:lang w:val="en-US" w:eastAsia="zh-CN" w:bidi="ar-SA"/>
          <w:highlight w:val="auto"/>
        </w:rPr>
        <w:t>100%</w:t>
      </w:r>
      <w:r>
        <w:rPr>
          <w:rStyle w:val="25"/>
          <w:rFonts w:ascii="Times New Roman" w:eastAsia="仿宋" w:cs="Times New Roman" w:hAnsi="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5"/>
          <w:rFonts w:ascii="Times New Roman" w:eastAsia="仿宋" w:cs="Times New Roman" w:hAnsi="Times New Roman"/>
          <w:b w:val="0"/>
          <w:bCs w:val="0"/>
          <w:sz w:val="32"/>
          <w:szCs w:val="32"/>
        </w:rPr>
      </w:pPr>
      <w:r>
        <w:rPr>
          <w:rStyle w:val="25"/>
          <w:rFonts w:eastAsia="仿宋" w:cs="Times New Roman" w:hint="eastAsia"/>
          <w:sz w:val="32"/>
          <w:szCs w:val="32"/>
          <w:lang w:val="en-US" w:eastAsia="zh-CN"/>
        </w:rPr>
        <w:t>7</w:t>
      </w:r>
      <w:r>
        <w:rPr>
          <w:rStyle w:val="25"/>
          <w:rFonts w:ascii="Times New Roman" w:eastAsia="仿宋" w:cs="Times New Roman" w:hAnsi="Times New Roman"/>
          <w:sz w:val="32"/>
          <w:szCs w:val="32"/>
        </w:rPr>
        <w:t>.</w:t>
      </w:r>
      <w:r>
        <w:rPr>
          <w:rFonts w:ascii="Times New Roman" w:eastAsia="仿宋" w:cs="Times New Roman" w:hAnsi="Times New Roman"/>
          <w:b/>
          <w:bCs/>
          <w:sz w:val="32"/>
          <w:szCs w:val="32"/>
        </w:rPr>
        <w:t>卫生健康</w:t>
      </w:r>
      <w:r>
        <w:rPr>
          <w:rStyle w:val="25"/>
          <w:rFonts w:ascii="Times New Roman" w:eastAsia="仿宋" w:cs="Times New Roman" w:hAnsi="Times New Roman"/>
          <w:sz w:val="32"/>
          <w:szCs w:val="32"/>
        </w:rPr>
        <w:t>（类）行政事业单位医疗（款）公务员医疗补助（项）:</w:t>
      </w:r>
      <w:r>
        <w:rPr>
          <w:rStyle w:val="25"/>
          <w:rFonts w:ascii="Times New Roman" w:eastAsia="仿宋" w:cs="Times New Roman" w:hAnsi="Times New Roman"/>
          <w:b w:val="0"/>
          <w:bCs w:val="0"/>
          <w:sz w:val="32"/>
          <w:szCs w:val="32"/>
        </w:rPr>
        <w:t>支出决算为</w:t>
      </w:r>
      <w:r>
        <w:rPr>
          <w:rFonts w:ascii="Times New Roman" w:eastAsia="仿宋_GB2312" w:cs="Times New Roman" w:hAnsi="Times New Roman"/>
          <w:color w:val="auto"/>
          <w:kern w:val="2"/>
          <w:sz w:val="32"/>
          <w:szCs w:val="32"/>
          <w:lang w:val="en-US" w:eastAsia="zh-CN" w:bidi="ar-SA"/>
          <w:highlight w:val="auto"/>
        </w:rPr>
        <w:t>1.78</w:t>
      </w:r>
      <w:r>
        <w:rPr>
          <w:rStyle w:val="25"/>
          <w:rFonts w:ascii="Times New Roman" w:eastAsia="仿宋" w:cs="Times New Roman" w:hAnsi="Times New Roman"/>
          <w:b w:val="0"/>
          <w:bCs w:val="0"/>
          <w:sz w:val="32"/>
          <w:szCs w:val="32"/>
        </w:rPr>
        <w:t>万元，完成预算</w:t>
      </w:r>
      <w:r>
        <w:rPr>
          <w:rFonts w:ascii="Times New Roman" w:eastAsia="仿宋_GB2312" w:cs="Times New Roman" w:hAnsi="Times New Roman"/>
          <w:color w:val="auto"/>
          <w:kern w:val="2"/>
          <w:sz w:val="32"/>
          <w:szCs w:val="32"/>
          <w:lang w:val="en-US" w:eastAsia="zh-CN" w:bidi="ar-SA"/>
          <w:highlight w:val="auto"/>
        </w:rPr>
        <w:t>100</w:t>
      </w:r>
      <w:r>
        <w:rPr>
          <w:rStyle w:val="25"/>
          <w:rFonts w:ascii="Times New Roman" w:eastAsia="仿宋" w:cs="Times New Roman" w:hAnsi="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rPr>
      </w:pPr>
      <w:r>
        <w:rPr>
          <w:rStyle w:val="25"/>
          <w:rFonts w:eastAsia="仿宋" w:cs="Times New Roman" w:hint="eastAsia"/>
          <w:sz w:val="32"/>
          <w:szCs w:val="32"/>
          <w:lang w:val="en-US" w:eastAsia="zh-CN"/>
        </w:rPr>
        <w:t>8</w:t>
      </w:r>
      <w:r>
        <w:rPr>
          <w:rStyle w:val="25"/>
          <w:rFonts w:ascii="Times New Roman" w:eastAsia="仿宋" w:cs="Times New Roman" w:hAnsi="Times New Roman"/>
          <w:sz w:val="32"/>
          <w:szCs w:val="32"/>
        </w:rPr>
        <w:t>.</w:t>
      </w:r>
      <w:r>
        <w:rPr>
          <w:rFonts w:ascii="Times New Roman" w:eastAsia="仿宋" w:cs="Times New Roman" w:hAnsi="Times New Roman"/>
          <w:b/>
          <w:bCs/>
          <w:sz w:val="32"/>
          <w:szCs w:val="32"/>
        </w:rPr>
        <w:t>卫生健康</w:t>
      </w:r>
      <w:r>
        <w:rPr>
          <w:rStyle w:val="25"/>
          <w:rFonts w:ascii="Times New Roman" w:eastAsia="仿宋" w:cs="Times New Roman" w:hAnsi="Times New Roman"/>
          <w:sz w:val="32"/>
          <w:szCs w:val="32"/>
        </w:rPr>
        <w:t>（类）行政事业单位医疗（款）其他行政事业单位医疗支出（项）:</w:t>
      </w:r>
      <w:r>
        <w:rPr>
          <w:rStyle w:val="25"/>
          <w:rFonts w:ascii="Times New Roman" w:eastAsia="仿宋" w:cs="Times New Roman" w:hAnsi="Times New Roman"/>
          <w:b w:val="0"/>
          <w:bCs w:val="0"/>
          <w:sz w:val="32"/>
          <w:szCs w:val="32"/>
        </w:rPr>
        <w:t>支出决算为</w:t>
      </w:r>
      <w:r>
        <w:rPr>
          <w:rFonts w:ascii="Times New Roman" w:eastAsia="仿宋_GB2312" w:cs="Times New Roman" w:hAnsi="Times New Roman"/>
          <w:color w:val="auto"/>
          <w:kern w:val="2"/>
          <w:sz w:val="32"/>
          <w:szCs w:val="32"/>
          <w:lang w:val="en-US" w:eastAsia="zh-CN" w:bidi="ar-SA"/>
          <w:highlight w:val="auto"/>
        </w:rPr>
        <w:t>1.65</w:t>
      </w:r>
      <w:r>
        <w:rPr>
          <w:rStyle w:val="25"/>
          <w:rFonts w:ascii="Times New Roman" w:eastAsia="仿宋" w:cs="Times New Roman" w:hAnsi="Times New Roman"/>
          <w:b w:val="0"/>
          <w:bCs w:val="0"/>
          <w:sz w:val="32"/>
          <w:szCs w:val="32"/>
        </w:rPr>
        <w:t>万元，完成预算</w:t>
      </w:r>
      <w:r>
        <w:rPr>
          <w:rFonts w:ascii="Times New Roman" w:eastAsia="仿宋_GB2312" w:cs="Times New Roman" w:hAnsi="Times New Roman"/>
          <w:color w:val="auto"/>
          <w:kern w:val="2"/>
          <w:sz w:val="32"/>
          <w:szCs w:val="32"/>
          <w:lang w:val="en-US" w:eastAsia="zh-CN" w:bidi="ar-SA"/>
          <w:highlight w:val="auto"/>
        </w:rPr>
        <w:t>100%</w:t>
      </w:r>
      <w:r>
        <w:rPr>
          <w:rStyle w:val="25"/>
          <w:rFonts w:ascii="Times New Roman" w:eastAsia="仿宋" w:cs="Times New Roman" w:hAnsi="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5"/>
          <w:rFonts w:ascii="Times New Roman" w:eastAsia="仿宋" w:cs="Times New Roman" w:hAnsi="Times New Roman"/>
          <w:b w:val="0"/>
          <w:bCs w:val="0"/>
          <w:sz w:val="32"/>
          <w:szCs w:val="32"/>
        </w:rPr>
      </w:pPr>
      <w:r>
        <w:rPr>
          <w:rStyle w:val="25"/>
          <w:rFonts w:eastAsia="仿宋" w:cs="Times New Roman" w:hint="eastAsia"/>
          <w:sz w:val="32"/>
          <w:szCs w:val="32"/>
          <w:lang w:val="en-US" w:eastAsia="zh-CN"/>
        </w:rPr>
        <w:t>9</w:t>
      </w:r>
      <w:r>
        <w:rPr>
          <w:rStyle w:val="25"/>
          <w:rFonts w:ascii="Times New Roman" w:eastAsia="仿宋" w:cs="Times New Roman" w:hAnsi="Times New Roman"/>
          <w:sz w:val="32"/>
          <w:szCs w:val="32"/>
        </w:rPr>
        <w:t>.</w:t>
      </w:r>
      <w:r>
        <w:rPr>
          <w:rFonts w:ascii="Times New Roman" w:eastAsia="仿宋" w:cs="Times New Roman" w:hAnsi="Times New Roman"/>
          <w:b/>
          <w:bCs/>
          <w:sz w:val="32"/>
          <w:szCs w:val="32"/>
        </w:rPr>
        <w:t>卫生健康</w:t>
      </w:r>
      <w:r>
        <w:rPr>
          <w:rStyle w:val="25"/>
          <w:rFonts w:ascii="Times New Roman" w:eastAsia="仿宋" w:cs="Times New Roman" w:hAnsi="Times New Roman"/>
          <w:sz w:val="32"/>
          <w:szCs w:val="32"/>
        </w:rPr>
        <w:t>（类）其他卫生健康支出（款）其他卫生健康支出（项）:</w:t>
      </w:r>
      <w:r>
        <w:rPr>
          <w:rStyle w:val="25"/>
          <w:rFonts w:ascii="Times New Roman" w:eastAsia="仿宋" w:cs="Times New Roman" w:hAnsi="Times New Roman"/>
          <w:b w:val="0"/>
          <w:bCs w:val="0"/>
          <w:sz w:val="32"/>
          <w:szCs w:val="32"/>
        </w:rPr>
        <w:t>支出决算为</w:t>
      </w:r>
      <w:r>
        <w:rPr>
          <w:rFonts w:ascii="Times New Roman" w:eastAsia="仿宋_GB2312" w:cs="Times New Roman" w:hAnsi="Times New Roman"/>
          <w:color w:val="auto"/>
          <w:kern w:val="2"/>
          <w:sz w:val="32"/>
          <w:szCs w:val="32"/>
          <w:lang w:val="en-US" w:eastAsia="zh-CN" w:bidi="ar-SA"/>
          <w:highlight w:val="auto"/>
        </w:rPr>
        <w:t>270.81</w:t>
      </w:r>
      <w:r>
        <w:rPr>
          <w:rStyle w:val="25"/>
          <w:rFonts w:ascii="Times New Roman" w:eastAsia="仿宋" w:cs="Times New Roman" w:hAnsi="Times New Roman"/>
          <w:b w:val="0"/>
          <w:bCs w:val="0"/>
          <w:sz w:val="32"/>
          <w:szCs w:val="32"/>
        </w:rPr>
        <w:t>万元，完成预算</w:t>
      </w:r>
      <w:r>
        <w:rPr>
          <w:rFonts w:ascii="Times New Roman" w:eastAsia="仿宋_GB2312" w:cs="Times New Roman" w:hAnsi="Times New Roman"/>
          <w:color w:val="auto"/>
          <w:kern w:val="2"/>
          <w:sz w:val="32"/>
          <w:szCs w:val="32"/>
          <w:lang w:val="en-US" w:eastAsia="zh-CN" w:bidi="ar-SA"/>
          <w:highlight w:val="auto"/>
        </w:rPr>
        <w:t>100%</w:t>
      </w:r>
      <w:r>
        <w:rPr>
          <w:rStyle w:val="25"/>
          <w:rFonts w:ascii="Times New Roman" w:eastAsia="仿宋" w:cs="Times New Roman" w:hAnsi="Times New Roman"/>
          <w:b w:val="0"/>
          <w:bCs w:val="0"/>
          <w:sz w:val="32"/>
          <w:szCs w:val="32"/>
        </w:rPr>
        <w:t>。</w:t>
      </w:r>
    </w:p>
    <w:p>
      <w:pPr>
        <w:spacing w:line="600" w:lineRule="exact"/>
        <w:ind w:firstLineChars="200" w:firstLine="640"/>
        <w:rPr>
          <w:rFonts w:ascii="Times New Roman" w:eastAsia="仿宋_GB2312" w:cs="Times New Roman" w:hAnsi="Times New Roman"/>
          <w:color w:val="auto"/>
          <w:kern w:val="2"/>
          <w:sz w:val="32"/>
          <w:szCs w:val="32"/>
          <w:lang w:val="en-US" w:eastAsia="zh-CN" w:bidi="ar-SA"/>
          <w:highlight w:val="auto"/>
        </w:rPr>
      </w:pPr>
      <w:r>
        <w:rPr>
          <w:rStyle w:val="25"/>
          <w:rFonts w:eastAsia="仿宋" w:cs="Times New Roman" w:hint="eastAsia"/>
          <w:sz w:val="32"/>
          <w:szCs w:val="32"/>
          <w:lang w:val="en-US" w:eastAsia="zh-CN"/>
        </w:rPr>
        <w:t>10</w:t>
      </w:r>
      <w:r>
        <w:rPr>
          <w:rStyle w:val="25"/>
          <w:rFonts w:ascii="Times New Roman" w:eastAsia="仿宋" w:cs="Times New Roman" w:hAnsi="Times New Roman"/>
          <w:sz w:val="32"/>
          <w:szCs w:val="32"/>
        </w:rPr>
        <w:t>.住房保障支出（类）住房改革支出（款）住房公积金（项）：</w:t>
      </w:r>
      <w:r>
        <w:rPr>
          <w:rStyle w:val="25"/>
          <w:rFonts w:ascii="Times New Roman" w:eastAsia="仿宋" w:cs="Times New Roman" w:hAnsi="Times New Roman"/>
          <w:b w:val="0"/>
          <w:bCs w:val="0"/>
          <w:sz w:val="32"/>
          <w:szCs w:val="32"/>
        </w:rPr>
        <w:t>支出决算为</w:t>
      </w:r>
      <w:r>
        <w:rPr>
          <w:rStyle w:val="25"/>
          <w:rFonts w:ascii="Times New Roman" w:eastAsia="仿宋" w:cs="Times New Roman" w:hAnsi="Times New Roman"/>
          <w:b w:val="0"/>
          <w:bCs w:val="0"/>
          <w:sz w:val="32"/>
          <w:szCs w:val="32"/>
          <w:lang w:val="en-US" w:eastAsia="zh-CN"/>
        </w:rPr>
        <w:t>18.88</w:t>
      </w:r>
      <w:r>
        <w:rPr>
          <w:rStyle w:val="25"/>
          <w:rFonts w:ascii="Times New Roman" w:eastAsia="仿宋" w:cs="Times New Roman" w:hAnsi="Times New Roman"/>
          <w:b w:val="0"/>
          <w:bCs w:val="0"/>
          <w:sz w:val="32"/>
          <w:szCs w:val="32"/>
        </w:rPr>
        <w:t>万元，完成预算</w:t>
      </w:r>
      <w:r>
        <w:rPr>
          <w:rStyle w:val="25"/>
          <w:rFonts w:ascii="Times New Roman" w:eastAsia="仿宋" w:cs="Times New Roman" w:hAnsi="Times New Roman"/>
          <w:b w:val="0"/>
          <w:bCs w:val="0"/>
          <w:sz w:val="32"/>
          <w:szCs w:val="32"/>
          <w:lang w:val="en-US" w:eastAsia="zh-CN"/>
        </w:rPr>
        <w:t>100%</w:t>
      </w:r>
      <w:r>
        <w:rPr>
          <w:rStyle w:val="25"/>
          <w:rFonts w:ascii="Times New Roman" w:eastAsia="仿宋" w:cs="Times New Roman" w:hAnsi="Times New Roman"/>
          <w:b w:val="0"/>
          <w:bCs w:val="0"/>
          <w:sz w:val="32"/>
          <w:szCs w:val="32"/>
        </w:rPr>
        <w:t>。</w:t>
      </w:r>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b w:val="0"/>
          <w:bCs w:val="0"/>
          <w:lang w:eastAsia="zh-CN"/>
        </w:rPr>
      </w:pPr>
      <w:bookmarkStart w:id="46" w:name="_Toc22436"/>
      <w:bookmarkStart w:id="47" w:name="_Toc15396608"/>
      <w:bookmarkStart w:id="48" w:name="_Toc15377214"/>
      <w:r>
        <w:rPr>
          <w:rFonts w:ascii="黑体" w:eastAsia="黑体" w:cs="黑体"/>
          <w:b w:val="0"/>
          <w:bCs w:val="0"/>
          <w:lang w:eastAsia="zh-CN"/>
        </w:rPr>
        <w:t>六、一般公共预算财政拨款基本支出决算情况说明</w:t>
      </w:r>
      <w:bookmarkEnd w:id="46"/>
      <w:bookmarkEnd w:id="47"/>
      <w:bookmarkEnd w:id="48"/>
      <w:r>
        <w:rPr>
          <w:rFonts w:ascii="黑体" w:eastAsia="黑体" w:cs="黑体"/>
          <w:b w:val="0"/>
          <w:bCs w:val="0"/>
          <w:lang w:eastAsia="zh-CN"/>
        </w:rPr>
        <w:tab/>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2024年度一般公共预算财政拨款基本支出</w:t>
      </w:r>
      <w:r>
        <w:rPr>
          <w:rStyle w:val="25"/>
          <w:rFonts w:ascii="Times New Roman" w:eastAsia="仿宋" w:cs="Times New Roman" w:hAnsi="Times New Roman"/>
          <w:b w:val="0"/>
          <w:bCs w:val="0"/>
          <w:sz w:val="32"/>
          <w:szCs w:val="32"/>
          <w:lang w:val="en-US" w:eastAsia="zh-CN"/>
        </w:rPr>
        <w:t>287</w:t>
      </w:r>
      <w:r>
        <w:rPr>
          <w:rFonts w:ascii="Times New Roman" w:eastAsia="仿宋_GB2312" w:cs="Times New Roman" w:hAnsi="Times New Roman"/>
          <w:color w:val="auto"/>
          <w:kern w:val="2"/>
          <w:sz w:val="32"/>
          <w:szCs w:val="32"/>
          <w:lang w:val="en-US" w:eastAsia="zh-CN" w:bidi="ar-SA"/>
          <w:highlight w:val="auto"/>
        </w:rPr>
        <w:t>万元，其中：</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人员经费</w:t>
      </w:r>
      <w:r>
        <w:rPr>
          <w:rFonts w:ascii="Times New Roman" w:eastAsia="仿宋_GB2312" w:cs="Times New Roman" w:hAnsi="Times New Roman"/>
          <w:sz w:val="32"/>
          <w:szCs w:val="32"/>
        </w:rPr>
        <w:t>269.8</w:t>
      </w:r>
      <w:r>
        <w:rPr>
          <w:rFonts w:ascii="Times New Roman" w:eastAsia="仿宋_GB2312" w:cs="Times New Roman" w:hAnsi="Times New Roman"/>
          <w:color w:val="auto"/>
          <w:kern w:val="2"/>
          <w:sz w:val="32"/>
          <w:szCs w:val="32"/>
          <w:lang w:val="en-US" w:eastAsia="zh-CN" w:bidi="ar-SA"/>
          <w:highlight w:val="auto"/>
        </w:rPr>
        <w:t>万元，主要包括：基本工资58.14万元、津贴补贴7.33万元、绩效工资94.85万元、机关事业单位基本养老保险缴费25.18万元、</w:t>
      </w:r>
      <w:r>
        <w:rPr>
          <w:rFonts w:ascii="Times New Roman" w:eastAsia="仿宋" w:cs="Times New Roman" w:hAnsi="Times New Roman"/>
          <w:sz w:val="32"/>
          <w:szCs w:val="32"/>
        </w:rPr>
        <w:t>职工基本医疗保险缴费</w:t>
      </w:r>
      <w:r>
        <w:rPr>
          <w:rFonts w:ascii="Times New Roman" w:eastAsia="仿宋" w:cs="Times New Roman" w:hAnsi="Times New Roman"/>
          <w:sz w:val="32"/>
          <w:szCs w:val="32"/>
          <w:lang w:val="en-US" w:eastAsia="zh-CN"/>
        </w:rPr>
        <w:t>12.10万元、公务员医疗补助缴费3.43万元、</w:t>
      </w:r>
      <w:r>
        <w:rPr>
          <w:rFonts w:ascii="Times New Roman" w:eastAsia="仿宋_GB2312" w:cs="Times New Roman" w:hAnsi="Times New Roman"/>
          <w:color w:val="auto"/>
          <w:kern w:val="2"/>
          <w:sz w:val="32"/>
          <w:szCs w:val="32"/>
          <w:lang w:val="en-US" w:eastAsia="zh-CN" w:bidi="ar-SA"/>
          <w:highlight w:val="auto"/>
        </w:rPr>
        <w:t>其他社会保障缴费1.2万元、其他工资福利支出17.5万元、抚恤金5.99万元、生活补助23.38万元、医疗费补助0.96万元、奖励金0.02万元、住房公积金18.88万元、其他对个人和家庭的补助支出0.84万元。</w:t>
        <w:br/>
        <w:t>　　公用经费</w:t>
      </w:r>
      <w:r>
        <w:rPr>
          <w:rStyle w:val="25"/>
          <w:rFonts w:ascii="Times New Roman" w:eastAsia="仿宋" w:cs="Times New Roman" w:hAnsi="Times New Roman"/>
          <w:b w:val="0"/>
          <w:bCs w:val="0"/>
          <w:sz w:val="32"/>
          <w:szCs w:val="32"/>
          <w:lang w:val="en-US" w:eastAsia="zh-CN"/>
        </w:rPr>
        <w:t>17.2</w:t>
      </w:r>
      <w:r>
        <w:rPr>
          <w:rFonts w:ascii="Times New Roman" w:eastAsia="仿宋_GB2312" w:cs="Times New Roman" w:hAnsi="Times New Roman"/>
          <w:color w:val="auto"/>
          <w:kern w:val="2"/>
          <w:sz w:val="32"/>
          <w:szCs w:val="32"/>
          <w:lang w:val="en-US" w:eastAsia="zh-CN" w:bidi="ar-SA"/>
          <w:highlight w:val="auto"/>
        </w:rPr>
        <w:t>万元，主要包括：办公费6.02万元、水费0.14万元、电费0.99万元、邮电费0.5万元、物业管理费1.5万元、差旅费3.5万元、工会经费1.99万元、福利费0.44万元、公务用车运行维护费1.31万元、其他商品和服务支出0.82万元。</w:t>
      </w:r>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b w:val="0"/>
          <w:bCs w:val="0"/>
          <w:lang w:eastAsia="zh-CN"/>
        </w:rPr>
      </w:pPr>
      <w:bookmarkStart w:id="49" w:name="_Toc1758"/>
      <w:bookmarkStart w:id="50" w:name="_Toc15377215"/>
      <w:bookmarkStart w:id="51" w:name="_Toc15396609"/>
      <w:r>
        <w:rPr>
          <w:rFonts w:ascii="黑体" w:eastAsia="黑体" w:cs="黑体"/>
          <w:b w:val="0"/>
          <w:bCs w:val="0"/>
          <w:lang w:eastAsia="zh-CN"/>
        </w:rPr>
        <w:t>七、财政拨款“三公”经费支出决算情况说明</w:t>
      </w:r>
      <w:bookmarkEnd w:id="49"/>
      <w:bookmarkEnd w:id="50"/>
      <w:bookmarkEnd w:id="51"/>
    </w:p>
    <w:p>
      <w:pPr>
        <w:spacing w:line="600" w:lineRule="exact"/>
        <w:ind w:firstLineChars="200" w:firstLine="640"/>
        <w:outlineLvl w:val="2"/>
        <w:rPr>
          <w:rFonts w:ascii="Times New Roman" w:eastAsia="楷体_GB2312" w:cs="Times New Roman" w:hAnsi="Times New Roman"/>
          <w:b/>
          <w:color w:val="auto"/>
          <w:sz w:val="32"/>
          <w:szCs w:val="32"/>
          <w:highlight w:val="auto"/>
        </w:rPr>
      </w:pPr>
      <w:bookmarkStart w:id="52" w:name="_Toc15377216"/>
      <w:r>
        <w:rPr>
          <w:rFonts w:ascii="Times New Roman" w:eastAsia="楷体_GB2312" w:cs="Times New Roman" w:hAnsi="Times New Roman"/>
          <w:b/>
          <w:color w:val="auto"/>
          <w:sz w:val="32"/>
          <w:szCs w:val="32"/>
          <w:highlight w:val="auto"/>
        </w:rPr>
        <w:t>（一）“三公”经费财政拨款支出决算总体情况说明</w:t>
      </w:r>
      <w:bookmarkEnd w:id="52"/>
    </w:p>
    <w:p>
      <w:pPr>
        <w:spacing w:line="600" w:lineRule="exact"/>
        <w:ind w:firstLine="640"/>
        <w:rPr>
          <w:rFonts w:ascii="Times New Roman" w:eastAsia="仿宋_GB2312" w:cs="Times New Roman" w:hAnsi="Times New Roman"/>
          <w:b/>
          <w:bCs/>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2024年度“三公”经费财政拨款支出决算为</w:t>
      </w:r>
      <w:r>
        <w:rPr>
          <w:rFonts w:ascii="Times New Roman" w:eastAsia="仿宋_GB2312" w:cs="Times New Roman" w:hAnsi="Times New Roman"/>
          <w:sz w:val="32"/>
          <w:szCs w:val="32"/>
        </w:rPr>
        <w:t>1.31</w:t>
      </w:r>
      <w:r>
        <w:rPr>
          <w:rFonts w:ascii="Times New Roman" w:eastAsia="仿宋_GB2312" w:cs="Times New Roman" w:hAnsi="Times New Roman"/>
          <w:color w:val="auto"/>
          <w:kern w:val="2"/>
          <w:sz w:val="32"/>
          <w:szCs w:val="32"/>
          <w:lang w:val="en-US" w:eastAsia="zh-CN" w:bidi="ar-SA"/>
          <w:highlight w:val="auto"/>
        </w:rPr>
        <w:t>万元，完成预算</w:t>
      </w:r>
      <w:r>
        <w:rPr>
          <w:rStyle w:val="25"/>
          <w:rFonts w:ascii="Times New Roman" w:eastAsia="仿宋" w:cs="Times New Roman" w:hAnsi="Times New Roman"/>
          <w:b w:val="0"/>
          <w:bCs w:val="0"/>
          <w:sz w:val="32"/>
          <w:szCs w:val="32"/>
          <w:lang w:val="en-US" w:eastAsia="zh-CN"/>
        </w:rPr>
        <w:t>100%</w:t>
      </w:r>
      <w:r>
        <w:rPr>
          <w:rFonts w:ascii="Times New Roman" w:eastAsia="仿宋_GB2312" w:cs="Times New Roman" w:hAnsi="Times New Roman"/>
          <w:color w:val="auto"/>
          <w:kern w:val="2"/>
          <w:sz w:val="32"/>
          <w:szCs w:val="32"/>
          <w:lang w:val="en-US" w:eastAsia="zh-CN" w:bidi="ar-SA"/>
          <w:highlight w:val="auto"/>
        </w:rPr>
        <w:t>，较上年度减少</w:t>
      </w:r>
      <w:r>
        <w:rPr>
          <w:rStyle w:val="25"/>
          <w:rFonts w:ascii="Times New Roman" w:eastAsia="仿宋" w:cs="Times New Roman" w:hAnsi="Times New Roman"/>
          <w:b w:val="0"/>
          <w:bCs w:val="0"/>
          <w:sz w:val="32"/>
          <w:szCs w:val="32"/>
          <w:lang w:val="en-US" w:eastAsia="zh-CN"/>
        </w:rPr>
        <w:t>0.11</w:t>
      </w:r>
      <w:r>
        <w:rPr>
          <w:rFonts w:ascii="Times New Roman" w:eastAsia="仿宋_GB2312" w:cs="Times New Roman" w:hAnsi="Times New Roman"/>
          <w:color w:val="auto"/>
          <w:kern w:val="2"/>
          <w:sz w:val="32"/>
          <w:szCs w:val="32"/>
          <w:lang w:val="en-US" w:eastAsia="zh-CN" w:bidi="ar-SA"/>
          <w:highlight w:val="auto"/>
        </w:rPr>
        <w:t>万元，下降7.74%。</w:t>
      </w:r>
    </w:p>
    <w:p>
      <w:pPr>
        <w:spacing w:line="600" w:lineRule="exact"/>
        <w:ind w:firstLineChars="200" w:firstLine="640"/>
        <w:outlineLvl w:val="2"/>
        <w:rPr>
          <w:rFonts w:ascii="Times New Roman" w:eastAsia="楷体_GB2312" w:cs="Times New Roman" w:hAnsi="Times New Roman"/>
          <w:b/>
          <w:color w:val="auto"/>
          <w:sz w:val="32"/>
          <w:szCs w:val="32"/>
          <w:highlight w:val="auto"/>
        </w:rPr>
      </w:pPr>
      <w:bookmarkStart w:id="53" w:name="_Toc15377217"/>
      <w:r>
        <w:rPr>
          <w:rFonts w:ascii="Times New Roman" w:eastAsia="楷体_GB2312" w:cs="Times New Roman" w:hAnsi="Times New Roman"/>
          <w:b/>
          <w:color w:val="auto"/>
          <w:sz w:val="32"/>
          <w:szCs w:val="32"/>
          <w:highlight w:val="auto"/>
        </w:rPr>
        <w:t>（二）“三公”经费财政拨款支出决算具体情况说明</w:t>
      </w:r>
      <w:bookmarkEnd w:id="53"/>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Style w:val="25"/>
          <w:rFonts w:ascii="Times New Roman" w:eastAsia="仿宋" w:cs="Times New Roman" w:hAnsi="Times New Roman"/>
          <w:b w:val="0"/>
          <w:bCs w:val="0"/>
          <w:sz w:val="32"/>
          <w:szCs w:val="32"/>
          <w:lang w:val="en-US" w:eastAsia="zh-CN"/>
        </w:rPr>
        <w:t>2024</w:t>
      </w:r>
      <w:r>
        <w:rPr>
          <w:rFonts w:ascii="Times New Roman" w:eastAsia="仿宋_GB2312" w:cs="Times New Roman" w:hAnsi="Times New Roman"/>
          <w:color w:val="auto"/>
          <w:kern w:val="2"/>
          <w:sz w:val="32"/>
          <w:szCs w:val="32"/>
          <w:lang w:val="en-US" w:eastAsia="zh-CN" w:bidi="ar-SA"/>
          <w:highlight w:val="auto"/>
        </w:rPr>
        <w:t>年度“三公”经费财政拨款支出决算中，因公出国（境）费支出决算</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万元，占</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；公务用车购置及运行维护费支出决算</w:t>
      </w:r>
      <w:r>
        <w:rPr>
          <w:rStyle w:val="25"/>
          <w:rFonts w:ascii="Times New Roman" w:eastAsia="仿宋" w:cs="Times New Roman" w:hAnsi="Times New Roman"/>
          <w:b w:val="0"/>
          <w:bCs w:val="0"/>
          <w:sz w:val="32"/>
          <w:szCs w:val="32"/>
          <w:lang w:val="en-US" w:eastAsia="zh-CN"/>
        </w:rPr>
        <w:t>1.31</w:t>
      </w:r>
      <w:r>
        <w:rPr>
          <w:rFonts w:ascii="Times New Roman" w:eastAsia="仿宋_GB2312" w:cs="Times New Roman" w:hAnsi="Times New Roman"/>
          <w:color w:val="auto"/>
          <w:kern w:val="2"/>
          <w:sz w:val="32"/>
          <w:szCs w:val="32"/>
          <w:lang w:val="en-US" w:eastAsia="zh-CN" w:bidi="ar-SA"/>
          <w:highlight w:val="auto"/>
        </w:rPr>
        <w:t>万元，占</w:t>
      </w:r>
      <w:r>
        <w:rPr>
          <w:rStyle w:val="25"/>
          <w:rFonts w:ascii="Times New Roman" w:eastAsia="仿宋" w:cs="Times New Roman" w:hAnsi="Times New Roman"/>
          <w:b w:val="0"/>
          <w:bCs w:val="0"/>
          <w:sz w:val="32"/>
          <w:szCs w:val="32"/>
          <w:lang w:val="en-US" w:eastAsia="zh-CN"/>
        </w:rPr>
        <w:t>100%</w:t>
      </w:r>
      <w:r>
        <w:rPr>
          <w:rFonts w:ascii="Times New Roman" w:eastAsia="仿宋_GB2312" w:cs="Times New Roman" w:hAnsi="Times New Roman"/>
          <w:color w:val="auto"/>
          <w:kern w:val="2"/>
          <w:sz w:val="32"/>
          <w:szCs w:val="32"/>
          <w:lang w:val="en-US" w:eastAsia="zh-CN" w:bidi="ar-SA"/>
          <w:highlight w:val="auto"/>
        </w:rPr>
        <w:t>；公务接待费支出决算</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万元，占</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。具体情况如下：</w:t>
      </w:r>
    </w:p>
    <w:p>
      <w:pPr>
        <w:pStyle w:val="15"/>
        <w:rPr>
          <w:rFonts w:ascii="Times New Roman" w:eastAsia="仿宋_GB2312" w:cs="Times New Roman" w:hAnsi="Times New Roman"/>
          <w:color w:val="auto"/>
          <w:kern w:val="2"/>
          <w:sz w:val="32"/>
          <w:szCs w:val="32"/>
          <w:lang w:val="en-US" w:eastAsia="zh-CN" w:bidi="ar-SA"/>
          <w:highlight w:val="auto"/>
        </w:rPr>
      </w:pPr>
      <w:r>
        <w:rPr>
          <w:rFonts w:ascii="Times New Roman" w:cs="Times New Roman" w:hAnsi="Times New Roman"/>
          <w:lang w:val="en-US" w:eastAsia="zh-CN"/>
        </w:rPr>
        <w:t xml:space="preserve">    </w:t>
      </w:r>
      <w:r>
        <w:rPr>
          <w:rFonts w:ascii="Times New Roman" w:cs="Times New Roman" w:hAnsi="Times New Roman"/>
        </w:rPr>
        <w:drawing>
          <wp:inline distT="0" distB="0" distL="114300" distR="114300">
            <wp:extent cx="4505325" cy="2571750"/>
            <wp:effectExtent l="0" t="0" r="0" b="0"/>
            <wp:docPr id="13" name="图表 3"/>
            <wp:cNvGraphicFramePr>
              <a:graphicFrameLocks noChangeAspect="0"/>
            </wp:cNvGraphicFramePr>
            <a:graphic>
              <a:graphicData uri="http://schemas.openxmlformats.org/drawingml/2006/chart">
                <c:chart xmlns:c="http://schemas.openxmlformats.org/drawingml/2006/chart" r:id="rId13"/>
              </a:graphicData>
            </a:graphic>
          </wp:inline>
        </w:drawing>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（图7：“三公”经费财政拨款支出结构）（饼状图）</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b/>
          <w:bCs/>
          <w:color w:val="auto"/>
          <w:kern w:val="2"/>
          <w:sz w:val="32"/>
          <w:szCs w:val="32"/>
          <w:lang w:val="en-US" w:eastAsia="zh-CN" w:bidi="ar-SA"/>
          <w:highlight w:val="auto"/>
        </w:rPr>
        <w:t>1.因公出国（境）经费支出0万元，完成预算0%。</w:t>
      </w:r>
      <w:r>
        <w:rPr>
          <w:rFonts w:ascii="Times New Roman" w:eastAsia="仿宋_GB2312" w:cs="Times New Roman" w:hAnsi="Times New Roman"/>
          <w:color w:val="auto"/>
          <w:kern w:val="2"/>
          <w:sz w:val="32"/>
          <w:szCs w:val="32"/>
          <w:lang w:val="en-US" w:eastAsia="zh-CN" w:bidi="ar-SA"/>
          <w:highlight w:val="auto"/>
        </w:rPr>
        <w:t>全年安排因公出国（境）团组</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次，出国（境）</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人。因公出国（境）支出决算与2023年持平。</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b/>
          <w:bCs/>
          <w:color w:val="auto"/>
          <w:kern w:val="2"/>
          <w:sz w:val="32"/>
          <w:szCs w:val="32"/>
          <w:lang w:val="en-US" w:eastAsia="zh-CN" w:bidi="ar-SA"/>
          <w:highlight w:val="auto"/>
        </w:rPr>
        <w:t>2.公务用车购置及运行维护费支出1.31万元，完成预算100%。</w:t>
      </w:r>
      <w:r>
        <w:rPr>
          <w:rFonts w:ascii="Times New Roman" w:eastAsia="仿宋_GB2312" w:cs="Times New Roman" w:hAnsi="Times New Roman"/>
          <w:color w:val="auto"/>
          <w:kern w:val="2"/>
          <w:sz w:val="32"/>
          <w:szCs w:val="32"/>
          <w:lang w:val="en-US" w:eastAsia="zh-CN" w:bidi="ar-SA"/>
          <w:highlight w:val="auto"/>
        </w:rPr>
        <w:t>公务用车购置及运行维护费支出决算比2023年度减少0.11万元，下降7.74%。主要原因是公务用车使用次数相对减少。</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其中：公务用车购置支出</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万元。全年按规定更新购置公务用车</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辆，其中：轿车</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辆、金额</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万元，越野车</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辆、金额</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万元，载客汽车0辆、金额</w:t>
      </w:r>
      <w:r>
        <w:rPr>
          <w:rStyle w:val="25"/>
          <w:rFonts w:ascii="Times New Roman" w:eastAsia="仿宋" w:cs="Times New Roman" w:hAnsi="Times New Roman"/>
          <w:b w:val="0"/>
          <w:bCs w:val="0"/>
          <w:sz w:val="32"/>
          <w:szCs w:val="32"/>
          <w:lang w:val="en-US" w:eastAsia="zh-CN"/>
        </w:rPr>
        <w:t>0</w:t>
      </w:r>
      <w:r>
        <w:rPr>
          <w:rFonts w:ascii="Times New Roman" w:eastAsia="仿宋_GB2312" w:cs="Times New Roman" w:hAnsi="Times New Roman"/>
          <w:color w:val="auto"/>
          <w:kern w:val="2"/>
          <w:sz w:val="32"/>
          <w:szCs w:val="32"/>
          <w:lang w:val="en-US" w:eastAsia="zh-CN" w:bidi="ar-SA"/>
          <w:highlight w:val="auto"/>
        </w:rPr>
        <w:t>万元。截至2024年12月31日，单位共有公务用车2辆，其中：轿车2辆、越野车0辆、载客汽车0辆。</w:t>
      </w:r>
    </w:p>
    <w:p>
      <w:pPr>
        <w:spacing w:line="600" w:lineRule="exact"/>
        <w:ind w:firstLine="640"/>
        <w:rPr>
          <w:rFonts w:ascii="Times New Roman" w:eastAsia="仿宋_GB2312" w:cs="Times New Roman" w:hAnsi="Times New Roman"/>
          <w:sz w:val="32"/>
          <w:szCs w:val="32"/>
        </w:rPr>
      </w:pPr>
      <w:r>
        <w:rPr>
          <w:rFonts w:ascii="Times New Roman" w:eastAsia="仿宋_GB2312" w:cs="Times New Roman" w:hAnsi="Times New Roman"/>
          <w:color w:val="auto"/>
          <w:kern w:val="2"/>
          <w:sz w:val="32"/>
          <w:szCs w:val="32"/>
          <w:lang w:val="en-US" w:eastAsia="zh-CN" w:bidi="ar-SA"/>
          <w:highlight w:val="auto"/>
        </w:rPr>
        <w:t>公务用车运行维护费支出</w:t>
      </w:r>
      <w:r>
        <w:rPr>
          <w:rStyle w:val="25"/>
          <w:rFonts w:ascii="Times New Roman" w:eastAsia="仿宋" w:cs="Times New Roman" w:hAnsi="Times New Roman"/>
          <w:b w:val="0"/>
          <w:bCs w:val="0"/>
          <w:sz w:val="32"/>
          <w:szCs w:val="32"/>
          <w:lang w:val="en-US" w:eastAsia="zh-CN"/>
        </w:rPr>
        <w:t>1.31</w:t>
      </w:r>
      <w:r>
        <w:rPr>
          <w:rFonts w:ascii="Times New Roman" w:eastAsia="仿宋_GB2312" w:cs="Times New Roman" w:hAnsi="Times New Roman"/>
          <w:color w:val="auto"/>
          <w:kern w:val="2"/>
          <w:sz w:val="32"/>
          <w:szCs w:val="32"/>
          <w:lang w:val="en-US" w:eastAsia="zh-CN" w:bidi="ar-SA"/>
          <w:highlight w:val="auto"/>
        </w:rPr>
        <w:t>万元。主要用于</w:t>
      </w:r>
      <w:r>
        <w:rPr>
          <w:rFonts w:ascii="Times New Roman" w:eastAsia="仿宋_GB2312" w:cs="Times New Roman" w:hAnsi="Times New Roman"/>
          <w:sz w:val="32"/>
          <w:szCs w:val="32"/>
        </w:rPr>
        <w:t>主要用于行业资格考试、卫生统计等工作所需的公务用车燃料费、维修费、过路过桥费、保险费等支出。</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b/>
          <w:bCs/>
          <w:color w:val="auto"/>
          <w:kern w:val="2"/>
          <w:sz w:val="32"/>
          <w:szCs w:val="32"/>
          <w:lang w:val="en-US" w:eastAsia="zh-CN" w:bidi="ar-SA"/>
          <w:highlight w:val="auto"/>
        </w:rPr>
        <w:t>3.公务接待费支出0万元，完成预算0%。</w:t>
      </w:r>
      <w:r>
        <w:rPr>
          <w:rFonts w:ascii="Times New Roman" w:eastAsia="仿宋_GB2312" w:cs="Times New Roman" w:hAnsi="Times New Roman"/>
          <w:color w:val="auto"/>
          <w:kern w:val="2"/>
          <w:sz w:val="32"/>
          <w:szCs w:val="32"/>
          <w:lang w:val="en-US" w:eastAsia="zh-CN" w:bidi="ar-SA"/>
          <w:highlight w:val="auto"/>
        </w:rPr>
        <w:t>公务接待费支出决算与2023年持平。</w:t>
      </w:r>
      <w:bookmarkStart w:id="54" w:name="_Toc15377218"/>
      <w:bookmarkStart w:id="55" w:name="_Toc15396610"/>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b w:val="0"/>
          <w:bCs w:val="0"/>
          <w:lang w:eastAsia="zh-CN"/>
        </w:rPr>
      </w:pPr>
      <w:bookmarkStart w:id="56" w:name="_Toc6897"/>
      <w:r>
        <w:rPr>
          <w:rFonts w:ascii="黑体" w:eastAsia="黑体" w:cs="黑体"/>
          <w:b w:val="0"/>
          <w:bCs w:val="0"/>
          <w:lang w:eastAsia="zh-CN"/>
        </w:rPr>
        <w:t>八、政府性基金预算支出决算情况说明</w:t>
      </w:r>
      <w:bookmarkEnd w:id="54"/>
      <w:bookmarkEnd w:id="55"/>
      <w:bookmarkEnd w:id="56"/>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Style w:val="25"/>
          <w:rFonts w:ascii="Times New Roman" w:eastAsia="仿宋" w:cs="Times New Roman" w:hAnsi="Times New Roman"/>
          <w:b w:val="0"/>
          <w:bCs w:val="0"/>
          <w:sz w:val="32"/>
          <w:szCs w:val="32"/>
          <w:lang w:val="en-US" w:eastAsia="zh-CN"/>
        </w:rPr>
        <w:t>2024</w:t>
      </w:r>
      <w:r>
        <w:rPr>
          <w:rFonts w:ascii="Times New Roman" w:eastAsia="仿宋_GB2312" w:cs="Times New Roman" w:hAnsi="Times New Roman"/>
          <w:color w:val="auto"/>
          <w:kern w:val="2"/>
          <w:sz w:val="32"/>
          <w:szCs w:val="32"/>
          <w:lang w:val="en-US" w:eastAsia="zh-CN" w:bidi="ar-SA"/>
          <w:highlight w:val="auto"/>
        </w:rPr>
        <w:t>年度政府性基金预算财政拨款支出</w:t>
      </w:r>
      <w:r>
        <w:rPr>
          <w:rStyle w:val="25"/>
          <w:rFonts w:ascii="Times New Roman" w:eastAsia="仿宋" w:cs="Times New Roman" w:hAnsi="Times New Roman"/>
          <w:b w:val="0"/>
          <w:bCs w:val="0"/>
          <w:sz w:val="32"/>
          <w:szCs w:val="32"/>
          <w:lang w:val="en-US" w:eastAsia="zh-CN"/>
        </w:rPr>
        <w:t>76</w:t>
      </w:r>
      <w:r>
        <w:rPr>
          <w:rFonts w:ascii="Times New Roman" w:eastAsia="仿宋_GB2312" w:cs="Times New Roman" w:hAnsi="Times New Roman"/>
          <w:color w:val="auto"/>
          <w:kern w:val="2"/>
          <w:sz w:val="32"/>
          <w:szCs w:val="32"/>
          <w:lang w:val="en-US" w:eastAsia="zh-CN" w:bidi="ar-SA"/>
          <w:highlight w:val="auto"/>
        </w:rPr>
        <w:t>万元，占本年支出合计的</w:t>
      </w:r>
      <w:r>
        <w:rPr>
          <w:rStyle w:val="25"/>
          <w:rFonts w:ascii="Times New Roman" w:eastAsia="仿宋" w:cs="Times New Roman" w:hAnsi="Times New Roman"/>
          <w:b w:val="0"/>
          <w:bCs w:val="0"/>
          <w:sz w:val="32"/>
          <w:szCs w:val="32"/>
          <w:lang w:val="en-US" w:eastAsia="zh-CN"/>
        </w:rPr>
        <w:t>16.21%</w:t>
      </w:r>
      <w:r>
        <w:rPr>
          <w:rFonts w:ascii="Times New Roman" w:eastAsia="仿宋_GB2312" w:cs="Times New Roman" w:hAnsi="Times New Roman"/>
          <w:color w:val="auto"/>
          <w:kern w:val="2"/>
          <w:sz w:val="32"/>
          <w:szCs w:val="32"/>
          <w:lang w:val="en-US" w:eastAsia="zh-CN" w:bidi="ar-SA"/>
          <w:highlight w:val="auto"/>
        </w:rPr>
        <w:t>。与2023年度相比，政府性基金预算财政拨款支出增加76万元，增长100%。主要变动原因是</w:t>
      </w:r>
      <w:r>
        <w:rPr>
          <w:rFonts w:ascii="Times New Roman" w:eastAsia="仿宋_GB2312" w:cs="Times New Roman" w:hAnsi="Times New Roman"/>
          <w:sz w:val="32"/>
          <w:szCs w:val="32"/>
          <w:lang w:eastAsia="zh-CN"/>
        </w:rPr>
        <w:t>支付了部分以前年度项目欠款，</w:t>
      </w:r>
      <w:r>
        <w:rPr>
          <w:rFonts w:ascii="Times New Roman" w:eastAsia="仿宋_GB2312" w:cs="Times New Roman" w:hAnsi="Times New Roman"/>
          <w:sz w:val="32"/>
          <w:szCs w:val="32"/>
          <w:lang w:val="en-US" w:eastAsia="zh-CN"/>
        </w:rPr>
        <w:t>导致政府性基金预算支出增加。</w:t>
      </w:r>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b w:val="0"/>
          <w:bCs w:val="0"/>
          <w:lang w:eastAsia="zh-CN"/>
        </w:rPr>
      </w:pPr>
      <w:bookmarkStart w:id="57" w:name="_Toc15377219"/>
      <w:bookmarkStart w:id="58" w:name="_Toc31780"/>
      <w:bookmarkStart w:id="59" w:name="_Toc15396611"/>
      <w:r>
        <w:rPr>
          <w:rFonts w:ascii="黑体" w:eastAsia="黑体" w:cs="黑体"/>
          <w:b w:val="0"/>
          <w:bCs w:val="0"/>
          <w:lang w:eastAsia="zh-CN"/>
        </w:rPr>
        <w:t>九、国有资本经营预算支出决算情况说明</w:t>
      </w:r>
      <w:bookmarkEnd w:id="57"/>
      <w:bookmarkEnd w:id="58"/>
      <w:bookmarkEnd w:id="59"/>
    </w:p>
    <w:p>
      <w:pPr>
        <w:spacing w:line="600" w:lineRule="exact"/>
        <w:ind w:firstLine="640"/>
        <w:rPr>
          <w:rStyle w:val="25"/>
          <w:rFonts w:ascii="Times New Roman" w:eastAsia="仿宋" w:cs="Times New Roman" w:hAnsi="Times New Roman"/>
          <w:b w:val="0"/>
          <w:bCs w:val="0"/>
          <w:sz w:val="32"/>
          <w:szCs w:val="32"/>
          <w:lang w:val="en-US" w:eastAsia="zh-CN"/>
        </w:rPr>
      </w:pPr>
      <w:r>
        <w:rPr>
          <w:rStyle w:val="25"/>
          <w:rFonts w:ascii="Times New Roman" w:eastAsia="仿宋" w:cs="Times New Roman" w:hAnsi="Times New Roman"/>
          <w:b w:val="0"/>
          <w:bCs w:val="0"/>
          <w:sz w:val="32"/>
          <w:szCs w:val="32"/>
          <w:lang w:val="en-US" w:eastAsia="zh-CN"/>
        </w:rPr>
        <w:t>2024年度国有资本经营预算财政拨款支出0万元，占本年支出合计的0%，与2023年度持平</w:t>
      </w:r>
      <w:bookmarkStart w:id="60" w:name="_Toc15377221"/>
      <w:bookmarkStart w:id="61" w:name="_Toc15396612"/>
      <w:r>
        <w:rPr>
          <w:rStyle w:val="25"/>
          <w:rFonts w:ascii="Times New Roman" w:eastAsia="仿宋" w:cs="Times New Roman" w:hAnsi="Times New Roman"/>
          <w:b w:val="0"/>
          <w:bCs w:val="0"/>
          <w:sz w:val="32"/>
          <w:szCs w:val="32"/>
          <w:lang w:val="en-US" w:eastAsia="zh-CN"/>
        </w:rPr>
        <w:t>。</w:t>
      </w:r>
    </w:p>
    <w:p>
      <w:pPr>
        <w:pStyle w:val="2"/>
        <w:keepNext/>
        <w:keepLines/>
        <w:pageBreakBefore w:val="0"/>
        <w:widowControl w:val="0"/>
        <w:kinsoku/>
        <w:wordWrap/>
        <w:overflowPunct/>
        <w:topLinePunct w:val="0"/>
        <w:autoSpaceDE/>
        <w:autoSpaceDN/>
        <w:bidi w:val="0"/>
        <w:adjustRightInd/>
        <w:snapToGrid/>
        <w:spacing w:line="415" w:lineRule="auto"/>
        <w:ind w:firstLineChars="200" w:firstLine="640"/>
        <w:jc w:val="left"/>
        <w:textAlignment w:val="auto"/>
        <w:rPr>
          <w:rFonts w:ascii="黑体" w:eastAsia="黑体" w:cs="黑体"/>
          <w:b w:val="0"/>
          <w:bCs w:val="0"/>
          <w:lang w:eastAsia="zh-CN"/>
        </w:rPr>
      </w:pPr>
      <w:bookmarkStart w:id="62" w:name="_Toc14389"/>
      <w:r>
        <w:rPr>
          <w:rFonts w:ascii="黑体" w:eastAsia="黑体" w:cs="黑体"/>
          <w:b w:val="0"/>
          <w:bCs w:val="0"/>
          <w:lang w:eastAsia="zh-CN"/>
        </w:rPr>
        <w:t>十、其他重要事项的情况说明</w:t>
      </w:r>
      <w:bookmarkEnd w:id="60"/>
      <w:bookmarkEnd w:id="61"/>
      <w:bookmarkEnd w:id="62"/>
    </w:p>
    <w:p>
      <w:pPr>
        <w:spacing w:line="600" w:lineRule="exact"/>
        <w:ind w:firstLineChars="200" w:firstLine="640"/>
        <w:outlineLvl w:val="2"/>
        <w:rPr>
          <w:rFonts w:ascii="Times New Roman" w:eastAsia="楷体_GB2312" w:cs="Times New Roman" w:hAnsi="Times New Roman"/>
          <w:b/>
          <w:color w:val="auto"/>
          <w:sz w:val="32"/>
          <w:szCs w:val="32"/>
          <w:highlight w:val="auto"/>
        </w:rPr>
      </w:pPr>
      <w:bookmarkStart w:id="63" w:name="_Toc15377222"/>
      <w:r>
        <w:rPr>
          <w:rFonts w:ascii="Times New Roman" w:eastAsia="楷体_GB2312" w:cs="Times New Roman" w:hAnsi="Times New Roman"/>
          <w:b/>
          <w:color w:val="auto"/>
          <w:sz w:val="32"/>
          <w:szCs w:val="32"/>
          <w:highlight w:val="auto"/>
        </w:rPr>
        <w:t>（一）机关运行经费支出情况</w:t>
      </w:r>
      <w:bookmarkEnd w:id="63"/>
    </w:p>
    <w:p>
      <w:pPr>
        <w:spacing w:line="600" w:lineRule="exact"/>
        <w:ind w:firstLineChars="200" w:firstLine="640"/>
        <w:rPr>
          <w:rFonts w:ascii="Times New Roman" w:cs="Times New Roman" w:hAnsi="Times New Roman"/>
        </w:rPr>
      </w:pPr>
      <w:r>
        <w:rPr>
          <w:rFonts w:ascii="Times New Roman" w:eastAsia="仿宋_GB2312" w:cs="Times New Roman" w:hAnsi="Times New Roman"/>
          <w:sz w:val="32"/>
          <w:szCs w:val="32"/>
          <w:lang w:val="en-US" w:eastAsia="zh-CN"/>
        </w:rPr>
        <w:t>攀枝花</w:t>
      </w:r>
      <w:r>
        <w:rPr>
          <w:rFonts w:ascii="Times New Roman" w:eastAsia="仿宋_GB2312" w:cs="Times New Roman" w:hAnsi="Times New Roman"/>
          <w:sz w:val="32"/>
          <w:szCs w:val="32"/>
        </w:rPr>
        <w:t>市健康促进和卫生大数据中心为事业单位，按规定未使用机关运行的相关科目。</w:t>
      </w:r>
    </w:p>
    <w:p>
      <w:pPr>
        <w:spacing w:line="600" w:lineRule="exact"/>
        <w:ind w:firstLineChars="200" w:firstLine="640"/>
        <w:outlineLvl w:val="2"/>
        <w:rPr>
          <w:rFonts w:ascii="Times New Roman" w:eastAsia="楷体_GB2312" w:cs="Times New Roman" w:hAnsi="Times New Roman"/>
          <w:b/>
          <w:color w:val="auto"/>
          <w:sz w:val="32"/>
          <w:szCs w:val="32"/>
          <w:highlight w:val="auto"/>
        </w:rPr>
      </w:pPr>
      <w:bookmarkStart w:id="64" w:name="_Toc15377223"/>
      <w:r>
        <w:rPr>
          <w:rFonts w:ascii="Times New Roman" w:eastAsia="楷体_GB2312" w:cs="Times New Roman" w:hAnsi="Times New Roman"/>
          <w:b/>
          <w:color w:val="auto"/>
          <w:sz w:val="32"/>
          <w:szCs w:val="32"/>
          <w:highlight w:val="auto"/>
        </w:rPr>
        <w:t>（二）政府采购支出情况</w:t>
      </w:r>
      <w:bookmarkEnd w:id="64"/>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Style w:val="25"/>
          <w:rFonts w:ascii="Times New Roman" w:eastAsia="仿宋" w:cs="Times New Roman" w:hAnsi="Times New Roman"/>
          <w:b w:val="0"/>
          <w:bCs w:val="0"/>
          <w:sz w:val="32"/>
          <w:szCs w:val="32"/>
          <w:lang w:val="en-US" w:eastAsia="zh-CN"/>
        </w:rPr>
        <w:t>2024</w:t>
      </w:r>
      <w:r>
        <w:rPr>
          <w:rFonts w:ascii="Times New Roman" w:eastAsia="仿宋_GB2312" w:cs="Times New Roman" w:hAnsi="Times New Roman"/>
          <w:color w:val="auto"/>
          <w:kern w:val="2"/>
          <w:sz w:val="32"/>
          <w:szCs w:val="32"/>
          <w:lang w:val="en-US" w:eastAsia="zh-CN" w:bidi="ar-SA"/>
          <w:highlight w:val="auto"/>
        </w:rPr>
        <w:t>年度，</w:t>
      </w:r>
      <w:r>
        <w:rPr>
          <w:rFonts w:ascii="Times New Roman" w:eastAsia="仿宋_GB2312" w:cs="Times New Roman" w:hAnsi="Times New Roman"/>
          <w:sz w:val="32"/>
          <w:szCs w:val="32"/>
        </w:rPr>
        <w:t>攀枝花市健康促进和卫生大数据中心</w:t>
      </w:r>
      <w:r>
        <w:rPr>
          <w:rFonts w:ascii="Times New Roman" w:eastAsia="仿宋_GB2312" w:cs="Times New Roman" w:hAnsi="Times New Roman"/>
          <w:color w:val="auto"/>
          <w:kern w:val="2"/>
          <w:sz w:val="32"/>
          <w:szCs w:val="32"/>
          <w:lang w:val="en-US" w:eastAsia="zh-CN" w:bidi="ar-SA"/>
          <w:highlight w:val="auto"/>
        </w:rPr>
        <w:t>政府采购支出总额</w:t>
      </w:r>
      <w:r>
        <w:rPr>
          <w:rFonts w:ascii="Times New Roman" w:eastAsia="仿宋_GB2312" w:cs="Times New Roman" w:hAnsi="Times New Roman"/>
          <w:sz w:val="32"/>
          <w:szCs w:val="32"/>
        </w:rPr>
        <w:t>2.45</w:t>
      </w:r>
      <w:r>
        <w:rPr>
          <w:rFonts w:ascii="Times New Roman" w:eastAsia="仿宋_GB2312" w:cs="Times New Roman" w:hAnsi="Times New Roman"/>
          <w:color w:val="auto"/>
          <w:kern w:val="2"/>
          <w:sz w:val="32"/>
          <w:szCs w:val="32"/>
          <w:lang w:val="en-US" w:eastAsia="zh-CN" w:bidi="ar-SA"/>
          <w:highlight w:val="auto"/>
        </w:rPr>
        <w:t>万元，其中：政府采购货物支出</w:t>
      </w:r>
      <w:r>
        <w:rPr>
          <w:rFonts w:ascii="Times New Roman" w:eastAsia="仿宋_GB2312" w:cs="Times New Roman" w:hAnsi="Times New Roman"/>
          <w:sz w:val="32"/>
          <w:szCs w:val="32"/>
        </w:rPr>
        <w:t>0.72</w:t>
      </w:r>
      <w:r>
        <w:rPr>
          <w:rFonts w:ascii="Times New Roman" w:eastAsia="仿宋_GB2312" w:cs="Times New Roman" w:hAnsi="Times New Roman"/>
          <w:color w:val="auto"/>
          <w:kern w:val="2"/>
          <w:sz w:val="32"/>
          <w:szCs w:val="32"/>
          <w:lang w:val="en-US" w:eastAsia="zh-CN" w:bidi="ar-SA"/>
          <w:highlight w:val="auto"/>
        </w:rPr>
        <w:t>万元、政府采购工程支出</w:t>
      </w:r>
      <w:r>
        <w:rPr>
          <w:rFonts w:ascii="Times New Roman" w:eastAsia="仿宋_GB2312" w:cs="Times New Roman" w:hAnsi="Times New Roman"/>
          <w:sz w:val="32"/>
          <w:szCs w:val="32"/>
        </w:rPr>
        <w:t>0</w:t>
      </w:r>
      <w:r>
        <w:rPr>
          <w:rFonts w:ascii="Times New Roman" w:eastAsia="仿宋_GB2312" w:cs="Times New Roman" w:hAnsi="Times New Roman"/>
          <w:color w:val="auto"/>
          <w:kern w:val="2"/>
          <w:sz w:val="32"/>
          <w:szCs w:val="32"/>
          <w:lang w:val="en-US" w:eastAsia="zh-CN" w:bidi="ar-SA"/>
          <w:highlight w:val="auto"/>
        </w:rPr>
        <w:t>万元、政府采购服务支出</w:t>
      </w:r>
      <w:r>
        <w:rPr>
          <w:rFonts w:ascii="Times New Roman" w:eastAsia="仿宋_GB2312" w:cs="Times New Roman" w:hAnsi="Times New Roman"/>
          <w:sz w:val="32"/>
          <w:szCs w:val="32"/>
        </w:rPr>
        <w:t>1.73</w:t>
      </w:r>
      <w:r>
        <w:rPr>
          <w:rFonts w:ascii="Times New Roman" w:eastAsia="仿宋_GB2312" w:cs="Times New Roman" w:hAnsi="Times New Roman"/>
          <w:color w:val="auto"/>
          <w:kern w:val="2"/>
          <w:sz w:val="32"/>
          <w:szCs w:val="32"/>
          <w:lang w:val="en-US" w:eastAsia="zh-CN" w:bidi="ar-SA"/>
          <w:highlight w:val="auto"/>
        </w:rPr>
        <w:t>万元。主要用于采购打印机、扫描仪及公务用车燃油添加服务、维修维护服务、车辆财产保险服务。授予中小企业合同金额</w:t>
      </w:r>
      <w:r>
        <w:rPr>
          <w:rFonts w:ascii="Times New Roman" w:eastAsia="仿宋_GB2312" w:cs="Times New Roman" w:hAnsi="Times New Roman"/>
          <w:sz w:val="32"/>
          <w:szCs w:val="32"/>
        </w:rPr>
        <w:t>2.45</w:t>
      </w:r>
      <w:r>
        <w:rPr>
          <w:rFonts w:ascii="Times New Roman" w:eastAsia="仿宋_GB2312" w:cs="Times New Roman" w:hAnsi="Times New Roman"/>
          <w:color w:val="auto"/>
          <w:kern w:val="2"/>
          <w:sz w:val="32"/>
          <w:szCs w:val="32"/>
          <w:lang w:val="en-US" w:eastAsia="zh-CN" w:bidi="ar-SA"/>
          <w:highlight w:val="auto"/>
        </w:rPr>
        <w:t>万元，占政府采购支出总额的</w:t>
      </w:r>
      <w:r>
        <w:rPr>
          <w:rFonts w:ascii="Times New Roman" w:eastAsia="仿宋_GB2312" w:cs="Times New Roman" w:hAnsi="Times New Roman"/>
          <w:sz w:val="32"/>
          <w:szCs w:val="32"/>
        </w:rPr>
        <w:t>100</w:t>
      </w:r>
      <w:r>
        <w:rPr>
          <w:rFonts w:ascii="Times New Roman" w:eastAsia="仿宋_GB2312" w:cs="Times New Roman" w:hAnsi="Times New Roman"/>
          <w:color w:val="auto"/>
          <w:kern w:val="2"/>
          <w:sz w:val="32"/>
          <w:szCs w:val="32"/>
          <w:lang w:val="en-US" w:eastAsia="zh-CN" w:bidi="ar-SA"/>
          <w:highlight w:val="auto"/>
        </w:rPr>
        <w:t>%，其中：授予小微企业合同金额</w:t>
      </w:r>
      <w:r>
        <w:rPr>
          <w:rFonts w:ascii="Times New Roman" w:eastAsia="仿宋_GB2312" w:cs="Times New Roman" w:hAnsi="Times New Roman"/>
          <w:sz w:val="32"/>
          <w:szCs w:val="32"/>
        </w:rPr>
        <w:t>0.72</w:t>
      </w:r>
      <w:r>
        <w:rPr>
          <w:rFonts w:ascii="Times New Roman" w:eastAsia="仿宋_GB2312" w:cs="Times New Roman" w:hAnsi="Times New Roman"/>
          <w:color w:val="auto"/>
          <w:kern w:val="2"/>
          <w:sz w:val="32"/>
          <w:szCs w:val="32"/>
          <w:lang w:val="en-US" w:eastAsia="zh-CN" w:bidi="ar-SA"/>
          <w:highlight w:val="auto"/>
        </w:rPr>
        <w:t>万元，占政府采购支出总额的</w:t>
      </w:r>
      <w:r>
        <w:rPr>
          <w:rFonts w:ascii="Times New Roman" w:eastAsia="仿宋_GB2312" w:cs="Times New Roman" w:hAnsi="Times New Roman"/>
          <w:sz w:val="32"/>
          <w:szCs w:val="32"/>
        </w:rPr>
        <w:t>29.33</w:t>
      </w:r>
      <w:r>
        <w:rPr>
          <w:rFonts w:ascii="Times New Roman" w:eastAsia="仿宋_GB2312" w:cs="Times New Roman" w:hAnsi="Times New Roman"/>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Times New Roman" w:hAnsi="Times New Roman"/>
          <w:b/>
          <w:color w:val="auto"/>
          <w:sz w:val="32"/>
          <w:szCs w:val="32"/>
          <w:highlight w:val="auto"/>
        </w:rPr>
      </w:pPr>
      <w:bookmarkStart w:id="65" w:name="_Toc15377224"/>
      <w:r>
        <w:rPr>
          <w:rFonts w:ascii="Times New Roman" w:eastAsia="楷体_GB2312" w:cs="Times New Roman" w:hAnsi="Times New Roman"/>
          <w:b/>
          <w:color w:val="auto"/>
          <w:sz w:val="32"/>
          <w:szCs w:val="32"/>
          <w:highlight w:val="auto"/>
        </w:rPr>
        <w:t>（三）国有资产占有使用情况</w:t>
      </w:r>
      <w:bookmarkEnd w:id="65"/>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截至2024年12月31日，</w:t>
      </w:r>
      <w:r>
        <w:rPr>
          <w:rFonts w:ascii="Times New Roman" w:eastAsia="仿宋_GB2312" w:cs="Times New Roman" w:hAnsi="Times New Roman"/>
          <w:sz w:val="32"/>
          <w:szCs w:val="32"/>
        </w:rPr>
        <w:t>攀枝花市健康促进和卫生大数据中心</w:t>
      </w:r>
      <w:r>
        <w:rPr>
          <w:rFonts w:ascii="Times New Roman" w:eastAsia="仿宋_GB2312" w:cs="Times New Roman" w:hAnsi="Times New Roman"/>
          <w:color w:val="auto"/>
          <w:kern w:val="2"/>
          <w:sz w:val="32"/>
          <w:szCs w:val="32"/>
          <w:lang w:val="en-US" w:eastAsia="zh-CN" w:bidi="ar-SA"/>
          <w:highlight w:val="auto"/>
        </w:rPr>
        <w:t>共有车辆</w:t>
      </w:r>
      <w:r>
        <w:rPr>
          <w:rFonts w:ascii="Times New Roman" w:eastAsia="仿宋_GB2312" w:cs="Times New Roman" w:hAnsi="Times New Roman"/>
          <w:sz w:val="32"/>
          <w:szCs w:val="32"/>
        </w:rPr>
        <w:t>2</w:t>
      </w:r>
      <w:r>
        <w:rPr>
          <w:rFonts w:ascii="Times New Roman" w:eastAsia="仿宋_GB2312" w:cs="Times New Roman" w:hAnsi="Times New Roman"/>
          <w:color w:val="auto"/>
          <w:kern w:val="2"/>
          <w:sz w:val="32"/>
          <w:szCs w:val="32"/>
          <w:lang w:val="en-US" w:eastAsia="zh-CN" w:bidi="ar-SA"/>
          <w:highlight w:val="auto"/>
        </w:rPr>
        <w:t>辆，其中：主要负责人用车</w:t>
      </w:r>
      <w:r>
        <w:rPr>
          <w:rFonts w:ascii="Times New Roman" w:eastAsia="仿宋_GB2312" w:cs="Times New Roman" w:hAnsi="Times New Roman"/>
          <w:sz w:val="32"/>
          <w:szCs w:val="32"/>
        </w:rPr>
        <w:t>0</w:t>
      </w:r>
      <w:r>
        <w:rPr>
          <w:rFonts w:ascii="Times New Roman" w:eastAsia="仿宋_GB2312" w:cs="Times New Roman" w:hAnsi="Times New Roman"/>
          <w:color w:val="auto"/>
          <w:kern w:val="2"/>
          <w:sz w:val="32"/>
          <w:szCs w:val="32"/>
          <w:lang w:val="en-US" w:eastAsia="zh-CN" w:bidi="ar-SA"/>
          <w:highlight w:val="auto"/>
        </w:rPr>
        <w:t>辆、机要通信用车</w:t>
      </w:r>
      <w:r>
        <w:rPr>
          <w:rFonts w:ascii="Times New Roman" w:eastAsia="仿宋_GB2312" w:cs="Times New Roman" w:hAnsi="Times New Roman"/>
          <w:sz w:val="32"/>
          <w:szCs w:val="32"/>
        </w:rPr>
        <w:t>0</w:t>
      </w:r>
      <w:r>
        <w:rPr>
          <w:rFonts w:ascii="Times New Roman" w:eastAsia="仿宋_GB2312" w:cs="Times New Roman" w:hAnsi="Times New Roman"/>
          <w:color w:val="auto"/>
          <w:kern w:val="2"/>
          <w:sz w:val="32"/>
          <w:szCs w:val="32"/>
          <w:lang w:val="en-US" w:eastAsia="zh-CN" w:bidi="ar-SA"/>
          <w:highlight w:val="auto"/>
        </w:rPr>
        <w:t>辆、应急保障用车</w:t>
      </w:r>
      <w:r>
        <w:rPr>
          <w:rFonts w:ascii="Times New Roman" w:eastAsia="仿宋_GB2312" w:cs="Times New Roman" w:hAnsi="Times New Roman"/>
          <w:sz w:val="32"/>
          <w:szCs w:val="32"/>
        </w:rPr>
        <w:t>0</w:t>
      </w:r>
      <w:r>
        <w:rPr>
          <w:rFonts w:ascii="Times New Roman" w:eastAsia="仿宋_GB2312" w:cs="Times New Roman" w:hAnsi="Times New Roman"/>
          <w:color w:val="auto"/>
          <w:kern w:val="2"/>
          <w:sz w:val="32"/>
          <w:szCs w:val="32"/>
          <w:lang w:val="en-US" w:eastAsia="zh-CN" w:bidi="ar-SA"/>
          <w:highlight w:val="auto"/>
        </w:rPr>
        <w:t>辆、其他用车</w:t>
      </w:r>
      <w:r>
        <w:rPr>
          <w:rFonts w:ascii="Times New Roman" w:eastAsia="仿宋_GB2312" w:cs="Times New Roman" w:hAnsi="Times New Roman"/>
          <w:sz w:val="32"/>
          <w:szCs w:val="32"/>
        </w:rPr>
        <w:t>2</w:t>
      </w:r>
      <w:r>
        <w:rPr>
          <w:rFonts w:ascii="Times New Roman" w:eastAsia="仿宋_GB2312" w:cs="Times New Roman" w:hAnsi="Times New Roman"/>
          <w:color w:val="auto"/>
          <w:kern w:val="2"/>
          <w:sz w:val="32"/>
          <w:szCs w:val="32"/>
          <w:lang w:val="en-US" w:eastAsia="zh-CN" w:bidi="ar-SA"/>
          <w:highlight w:val="auto"/>
        </w:rPr>
        <w:t>辆，其他用车主要是用于</w:t>
      </w:r>
      <w:r>
        <w:rPr>
          <w:rFonts w:ascii="Times New Roman" w:eastAsia="仿宋_GB2312" w:cs="Times New Roman" w:hAnsi="Times New Roman"/>
          <w:sz w:val="32"/>
          <w:szCs w:val="32"/>
        </w:rPr>
        <w:t>单位开展日常工作使用。</w:t>
      </w:r>
      <w:r>
        <w:rPr>
          <w:rFonts w:ascii="Times New Roman" w:eastAsia="仿宋_GB2312" w:cs="Times New Roman" w:hAnsi="Times New Roman"/>
          <w:color w:val="auto"/>
          <w:kern w:val="2"/>
          <w:sz w:val="32"/>
          <w:szCs w:val="32"/>
          <w:lang w:val="en-US" w:eastAsia="zh-CN" w:bidi="ar-SA"/>
          <w:highlight w:val="auto"/>
        </w:rPr>
        <w:t>单价100万元（含）以上设备（不含车辆）</w:t>
      </w:r>
      <w:r>
        <w:rPr>
          <w:rFonts w:ascii="Times New Roman" w:eastAsia="仿宋_GB2312" w:cs="Times New Roman" w:hAnsi="Times New Roman"/>
          <w:sz w:val="32"/>
          <w:szCs w:val="32"/>
        </w:rPr>
        <w:t>0</w:t>
      </w:r>
      <w:r>
        <w:rPr>
          <w:rFonts w:ascii="Times New Roman" w:eastAsia="仿宋_GB2312" w:cs="Times New Roman" w:hAnsi="Times New Roman"/>
          <w:color w:val="auto"/>
          <w:kern w:val="2"/>
          <w:sz w:val="32"/>
          <w:szCs w:val="32"/>
          <w:lang w:val="en-US" w:eastAsia="zh-CN" w:bidi="ar-SA"/>
          <w:highlight w:val="auto"/>
        </w:rPr>
        <w:t>台（套）。</w:t>
      </w:r>
    </w:p>
    <w:p>
      <w:pPr>
        <w:spacing w:line="600" w:lineRule="exact"/>
        <w:ind w:firstLineChars="200" w:firstLine="640"/>
        <w:outlineLvl w:val="2"/>
        <w:rPr>
          <w:rFonts w:ascii="Times New Roman" w:eastAsia="楷体_GB2312" w:cs="Times New Roman" w:hAnsi="Times New Roman"/>
          <w:b/>
          <w:color w:val="auto"/>
          <w:sz w:val="32"/>
          <w:szCs w:val="32"/>
          <w:highlight w:val="auto"/>
        </w:rPr>
      </w:pPr>
      <w:r>
        <w:rPr>
          <w:rFonts w:ascii="Times New Roman" w:eastAsia="楷体_GB2312" w:cs="Times New Roman" w:hAnsi="Times New Roman"/>
          <w:b/>
          <w:color w:val="auto"/>
          <w:sz w:val="32"/>
          <w:szCs w:val="32"/>
          <w:highlight w:val="auto"/>
        </w:rPr>
        <w:t>（四）预算绩效管理情况</w:t>
      </w:r>
    </w:p>
    <w:p>
      <w:pPr>
        <w:spacing w:line="600" w:lineRule="exact"/>
        <w:ind w:firstLine="640"/>
        <w:rPr>
          <w:rFonts w:ascii="Times New Roman" w:eastAsia="仿宋_GB2312" w:cs="Times New Roman" w:hAnsi="Times New Roman" w:hint="eastAsia"/>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根据预算绩效管理要求，</w:t>
      </w:r>
      <w:r>
        <w:rPr>
          <w:rFonts w:eastAsia="仿宋_GB2312" w:cs="Times New Roman" w:hint="eastAsia"/>
          <w:color w:val="auto"/>
          <w:kern w:val="2"/>
          <w:sz w:val="32"/>
          <w:szCs w:val="32"/>
          <w:lang w:val="en-US" w:eastAsia="zh-CN" w:bidi="ar-SA"/>
          <w:highlight w:val="auto"/>
        </w:rPr>
        <w:t>本单位</w:t>
      </w:r>
      <w:r>
        <w:rPr>
          <w:rFonts w:ascii="Times New Roman" w:eastAsia="仿宋_GB2312" w:cs="Times New Roman" w:hAnsi="Times New Roman"/>
          <w:color w:val="auto"/>
          <w:kern w:val="2"/>
          <w:sz w:val="32"/>
          <w:szCs w:val="32"/>
          <w:lang w:val="en-US" w:eastAsia="zh-CN" w:bidi="ar-SA"/>
          <w:highlight w:val="auto"/>
        </w:rPr>
        <w:t>在2024年度预算编制阶段，组织对攀枝花市人口健康信息平台（一期）建设及运行配套项目等</w:t>
      </w:r>
      <w:r>
        <w:rPr>
          <w:rFonts w:eastAsia="仿宋_GB2312" w:cs="Times New Roman" w:hint="eastAsia"/>
          <w:color w:val="auto"/>
          <w:kern w:val="2"/>
          <w:sz w:val="32"/>
          <w:szCs w:val="32"/>
          <w:lang w:val="en-US" w:eastAsia="zh-CN" w:bidi="ar-SA"/>
          <w:highlight w:val="auto"/>
        </w:rPr>
        <w:t>6</w:t>
      </w:r>
      <w:r>
        <w:rPr>
          <w:rFonts w:ascii="Times New Roman" w:eastAsia="仿宋_GB2312" w:cs="Times New Roman" w:hAnsi="Times New Roman"/>
          <w:color w:val="auto"/>
          <w:kern w:val="2"/>
          <w:sz w:val="32"/>
          <w:szCs w:val="32"/>
          <w:lang w:val="en-US" w:eastAsia="zh-CN" w:bidi="ar-SA"/>
          <w:highlight w:val="auto"/>
        </w:rPr>
        <w:t>个项目开展了预算事前绩效评估，对</w:t>
      </w:r>
      <w:r>
        <w:rPr>
          <w:rFonts w:eastAsia="仿宋_GB2312" w:cs="Times New Roman" w:hint="eastAsia"/>
          <w:color w:val="auto"/>
          <w:kern w:val="2"/>
          <w:sz w:val="32"/>
          <w:szCs w:val="32"/>
          <w:lang w:val="en-US" w:eastAsia="zh-CN" w:bidi="ar-SA"/>
          <w:highlight w:val="auto"/>
        </w:rPr>
        <w:t>6</w:t>
      </w:r>
      <w:r>
        <w:rPr>
          <w:rFonts w:ascii="Times New Roman" w:eastAsia="仿宋_GB2312" w:cs="Times New Roman" w:hAnsi="Times New Roman"/>
          <w:color w:val="auto"/>
          <w:kern w:val="2"/>
          <w:sz w:val="32"/>
          <w:szCs w:val="32"/>
          <w:lang w:val="en-US" w:eastAsia="zh-CN" w:bidi="ar-SA"/>
          <w:highlight w:val="auto"/>
        </w:rPr>
        <w:t>个项目编制了绩效目标，预算执行过程中，选取</w:t>
      </w:r>
      <w:r>
        <w:rPr>
          <w:rFonts w:eastAsia="仿宋_GB2312" w:cs="Times New Roman" w:hint="eastAsia"/>
          <w:color w:val="auto"/>
          <w:kern w:val="2"/>
          <w:sz w:val="32"/>
          <w:szCs w:val="32"/>
          <w:lang w:val="en-US" w:eastAsia="zh-CN" w:bidi="ar-SA"/>
          <w:highlight w:val="auto"/>
        </w:rPr>
        <w:t>6</w:t>
      </w:r>
      <w:r>
        <w:rPr>
          <w:rFonts w:ascii="Times New Roman" w:eastAsia="仿宋_GB2312" w:cs="Times New Roman" w:hAnsi="Times New Roman"/>
          <w:color w:val="auto"/>
          <w:kern w:val="2"/>
          <w:sz w:val="32"/>
          <w:szCs w:val="32"/>
          <w:lang w:val="en-US" w:eastAsia="zh-CN" w:bidi="ar-SA"/>
          <w:highlight w:val="auto"/>
        </w:rPr>
        <w:t>个项目开展绩效监控。</w:t>
      </w:r>
      <w:r>
        <w:rPr>
          <w:rFonts w:ascii="仿宋_GB2312" w:eastAsia="仿宋_GB2312" w:hint="eastAsia"/>
          <w:sz w:val="32"/>
          <w:szCs w:val="32"/>
        </w:rPr>
        <w:t>绩效自评表详见第四部分附件</w:t>
      </w:r>
      <w:r>
        <w:rPr>
          <w:rFonts w:ascii="仿宋_GB2312" w:eastAsia="仿宋_GB2312" w:hint="eastAsia"/>
          <w:sz w:val="32"/>
          <w:szCs w:val="32"/>
          <w:lang w:eastAsia="zh-CN"/>
        </w:rPr>
        <w:t>。</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组织对2024年度一般公共预算、政府性基金预算全面开展绩效自评，形成</w:t>
      </w:r>
      <w:r>
        <w:rPr>
          <w:rFonts w:eastAsia="仿宋_GB2312" w:cs="Times New Roman" w:hint="eastAsia"/>
          <w:color w:val="auto"/>
          <w:kern w:val="2"/>
          <w:sz w:val="32"/>
          <w:szCs w:val="32"/>
          <w:lang w:val="en-US" w:eastAsia="zh-CN" w:bidi="ar-SA"/>
          <w:highlight w:val="auto"/>
        </w:rPr>
        <w:t>攀枝花市健康促进和卫生大数据中心单位</w:t>
      </w:r>
      <w:r>
        <w:rPr>
          <w:rFonts w:ascii="Times New Roman" w:eastAsia="仿宋_GB2312" w:cs="Times New Roman" w:hAnsi="Times New Roman"/>
          <w:color w:val="auto"/>
          <w:kern w:val="2"/>
          <w:sz w:val="32"/>
          <w:szCs w:val="32"/>
          <w:lang w:val="en-US" w:eastAsia="zh-CN" w:bidi="ar-SA"/>
          <w:highlight w:val="auto"/>
        </w:rPr>
        <w:t>整体（含</w:t>
      </w:r>
      <w:r>
        <w:rPr>
          <w:rFonts w:eastAsia="仿宋_GB2312" w:cs="Times New Roman" w:hint="eastAsia"/>
          <w:color w:val="auto"/>
          <w:kern w:val="2"/>
          <w:sz w:val="32"/>
          <w:szCs w:val="32"/>
          <w:lang w:val="en-US" w:eastAsia="zh-CN" w:bidi="ar-SA"/>
          <w:highlight w:val="auto"/>
        </w:rPr>
        <w:t>单位</w:t>
      </w:r>
      <w:r>
        <w:rPr>
          <w:rFonts w:ascii="Times New Roman" w:eastAsia="仿宋_GB2312" w:cs="Times New Roman" w:hAnsi="Times New Roman"/>
          <w:color w:val="auto"/>
          <w:kern w:val="2"/>
          <w:sz w:val="32"/>
          <w:szCs w:val="32"/>
          <w:lang w:val="en-US" w:eastAsia="zh-CN" w:bidi="ar-SA"/>
          <w:highlight w:val="auto"/>
        </w:rPr>
        <w:t>预算项目）绩效自评报告、医疗服务与保障能力提升等专项预算项目绩效自评报告，其中，</w:t>
      </w:r>
      <w:r>
        <w:rPr>
          <w:rFonts w:eastAsia="仿宋_GB2312" w:cs="Times New Roman" w:hint="eastAsia"/>
          <w:color w:val="auto"/>
          <w:kern w:val="2"/>
          <w:sz w:val="32"/>
          <w:szCs w:val="32"/>
          <w:lang w:val="en-US" w:eastAsia="zh-CN" w:bidi="ar-SA"/>
          <w:highlight w:val="auto"/>
        </w:rPr>
        <w:t>单位</w:t>
      </w:r>
      <w:r>
        <w:rPr>
          <w:rFonts w:ascii="Times New Roman" w:eastAsia="仿宋_GB2312" w:cs="Times New Roman" w:hAnsi="Times New Roman"/>
          <w:color w:val="auto"/>
          <w:kern w:val="2"/>
          <w:sz w:val="32"/>
          <w:szCs w:val="32"/>
          <w:lang w:val="en-US" w:eastAsia="zh-CN" w:bidi="ar-SA"/>
          <w:highlight w:val="auto"/>
        </w:rPr>
        <w:t>整体（含</w:t>
      </w:r>
      <w:r>
        <w:rPr>
          <w:rFonts w:eastAsia="仿宋_GB2312" w:cs="Times New Roman" w:hint="eastAsia"/>
          <w:color w:val="auto"/>
          <w:kern w:val="2"/>
          <w:sz w:val="32"/>
          <w:szCs w:val="32"/>
          <w:lang w:val="en-US" w:eastAsia="zh-CN" w:bidi="ar-SA"/>
          <w:highlight w:val="auto"/>
        </w:rPr>
        <w:t>单位</w:t>
      </w:r>
      <w:r>
        <w:rPr>
          <w:rFonts w:ascii="Times New Roman" w:eastAsia="仿宋_GB2312" w:cs="Times New Roman" w:hAnsi="Times New Roman"/>
          <w:color w:val="auto"/>
          <w:kern w:val="2"/>
          <w:sz w:val="32"/>
          <w:szCs w:val="32"/>
          <w:lang w:val="en-US" w:eastAsia="zh-CN" w:bidi="ar-SA"/>
          <w:highlight w:val="auto"/>
        </w:rPr>
        <w:t>预算项目）绩效自评得分为</w:t>
      </w:r>
      <w:r>
        <w:rPr>
          <w:rFonts w:eastAsia="仿宋_GB2312" w:cs="Times New Roman" w:hint="eastAsia"/>
          <w:color w:val="auto"/>
          <w:kern w:val="2"/>
          <w:sz w:val="32"/>
          <w:szCs w:val="32"/>
          <w:lang w:val="en-US" w:eastAsia="zh-CN" w:bidi="ar-SA"/>
          <w:highlight w:val="auto"/>
        </w:rPr>
        <w:t>94</w:t>
      </w:r>
      <w:r>
        <w:rPr>
          <w:rFonts w:ascii="Times New Roman" w:eastAsia="仿宋_GB2312" w:cs="Times New Roman" w:hAnsi="Times New Roman"/>
          <w:color w:val="auto"/>
          <w:kern w:val="2"/>
          <w:sz w:val="32"/>
          <w:szCs w:val="32"/>
          <w:lang w:val="en-US" w:eastAsia="zh-CN" w:bidi="ar-SA"/>
          <w:highlight w:val="auto"/>
        </w:rPr>
        <w:t>分，医疗服务与保障能力提升</w:t>
      </w:r>
      <w:r>
        <w:rPr>
          <w:rFonts w:eastAsia="仿宋_GB2312" w:cs="Times New Roman" w:hint="eastAsia"/>
          <w:color w:val="auto"/>
          <w:kern w:val="2"/>
          <w:sz w:val="32"/>
          <w:szCs w:val="32"/>
          <w:lang w:val="en-US" w:eastAsia="zh-CN" w:bidi="ar-SA"/>
          <w:highlight w:val="auto"/>
        </w:rPr>
        <w:t>等</w:t>
      </w:r>
      <w:r>
        <w:rPr>
          <w:rFonts w:ascii="Times New Roman" w:eastAsia="仿宋_GB2312" w:cs="Times New Roman" w:hAnsi="Times New Roman"/>
          <w:color w:val="auto"/>
          <w:kern w:val="2"/>
          <w:sz w:val="32"/>
          <w:szCs w:val="32"/>
          <w:lang w:val="en-US" w:eastAsia="zh-CN" w:bidi="ar-SA"/>
          <w:highlight w:val="auto"/>
        </w:rPr>
        <w:t>专项预算项目绩效自评得分为</w:t>
      </w:r>
      <w:r>
        <w:rPr>
          <w:rFonts w:eastAsia="仿宋_GB2312" w:cs="Times New Roman" w:hint="eastAsia"/>
          <w:color w:val="auto"/>
          <w:kern w:val="2"/>
          <w:sz w:val="32"/>
          <w:szCs w:val="32"/>
          <w:lang w:val="en-US" w:eastAsia="zh-CN" w:bidi="ar-SA"/>
          <w:highlight w:val="auto"/>
        </w:rPr>
        <w:t>98</w:t>
      </w:r>
      <w:r>
        <w:rPr>
          <w:rFonts w:ascii="Times New Roman" w:eastAsia="仿宋_GB2312" w:cs="Times New Roman" w:hAnsi="Times New Roman"/>
          <w:color w:val="auto"/>
          <w:kern w:val="2"/>
          <w:sz w:val="32"/>
          <w:szCs w:val="32"/>
          <w:lang w:val="en-US" w:eastAsia="zh-CN" w:bidi="ar-SA"/>
          <w:highlight w:val="auto"/>
        </w:rPr>
        <w:t>分。</w:t>
      </w:r>
    </w:p>
    <w:p>
      <w:pPr>
        <w:pStyle w:val="1"/>
        <w:bidi w:val="0"/>
        <w:jc w:val="center"/>
        <w:rPr>
          <w:lang w:val="en-US" w:eastAsia="zh-CN"/>
        </w:rPr>
      </w:pPr>
    </w:p>
    <w:p>
      <w:pPr>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5"/>
        <w:rPr>
          <w:lang w:val="en-US" w:eastAsia="zh-CN"/>
        </w:rPr>
      </w:pPr>
    </w:p>
    <w:p>
      <w:pPr>
        <w:pStyle w:val="1"/>
        <w:bidi w:val="0"/>
        <w:jc w:val="center"/>
      </w:pPr>
      <w:bookmarkStart w:id="66" w:name="_Toc32056"/>
      <w:bookmarkStart w:id="67" w:name="_Toc15396613"/>
      <w:bookmarkStart w:id="68" w:name="_Toc15377225"/>
      <w:r>
        <w:t>第</w:t>
      </w:r>
      <w:r>
        <w:rPr>
          <w:lang w:eastAsia="zh-CN"/>
        </w:rPr>
        <w:t>三</w:t>
      </w:r>
      <w:r>
        <w:t>部分</w:t>
      </w:r>
      <w:r>
        <w:rPr>
          <w:lang w:val="en-US" w:eastAsia="zh-CN"/>
        </w:rPr>
        <w:t xml:space="preserve">  </w:t>
      </w:r>
      <w:r>
        <w:t>名词解释</w:t>
      </w:r>
      <w:bookmarkEnd w:id="66"/>
      <w:bookmarkEnd w:id="67"/>
      <w:bookmarkEnd w:id="68"/>
    </w:p>
    <w:p>
      <w:pPr>
        <w:spacing w:line="600" w:lineRule="exact"/>
        <w:jc w:val="left"/>
        <w:rPr>
          <w:rFonts w:ascii="Times New Roman" w:cs="Times New Roman" w:hAnsi="Times New Roman"/>
          <w:b/>
          <w:color w:val="auto"/>
          <w:sz w:val="44"/>
          <w:szCs w:val="44"/>
          <w:highlight w:val="auto"/>
        </w:rPr>
      </w:pP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1.财政拨款收入：指单位从同级财政单位取得的财政预算资金。</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2.事业收入：指事业单位开展专业业务活动及辅助活动取得的收入。</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3.经营收入：指事业单位在专业业务活动及其辅助活动之外开展非独立核算经营活动取得的收入。</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 xml:space="preserve">4.其他收入：指单位取得的除上述收入以外的各项收入。 </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 xml:space="preserve">5.使用非财政拨款结余（含专用结余）：指事业单位使用以前年度积累的非财政拨款结余弥补当年收支差额的金额。 </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 xml:space="preserve">6.年初结转和结余：指以前年度尚未完成、结转到本年按有关规定继续使用的资金。 </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7.结余分配：指事业单位按照会计制度规定缴纳的所得税、提取的专用结余以及转入非财政拨款结余的金额等。</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8.年末结转和结余：指单位按有关规定结转到下年或以后年度继续使用的资金。</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9.社会保障和就业（类）行政事业单位养老支出（款）事业单位离退休（项）: 指事业单位开支的离退休经费。</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10.社会保障和就业（类）行政事业单位养老支出（款）机关事业单位基本养老保险缴费支出（项）:指机关事业单位实施养老保险制度由单位缴纳的基本养老保险支出。</w:t>
      </w:r>
    </w:p>
    <w:p>
      <w:pPr>
        <w:pStyle w:val="31"/>
        <w:spacing w:line="560" w:lineRule="exact"/>
        <w:ind w:firstLineChars="200" w:firstLine="640"/>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11.</w:t>
      </w:r>
      <w:r>
        <w:rPr>
          <w:rFonts w:ascii="Times New Roman" w:eastAsia="仿宋_GB2312" w:cs="Times New Roman" w:hAnsi="Times New Roman"/>
          <w:color w:val="auto"/>
          <w:sz w:val="32"/>
          <w:szCs w:val="32"/>
        </w:rPr>
        <w:t>社会保障和就业（类）</w:t>
      </w:r>
      <w:r>
        <w:rPr>
          <w:rFonts w:ascii="Times New Roman" w:eastAsia="仿宋_GB2312" w:cs="Times New Roman" w:hAnsi="Times New Roman"/>
          <w:color w:val="auto"/>
          <w:sz w:val="32"/>
          <w:szCs w:val="32"/>
          <w:lang w:val="en-US" w:eastAsia="zh-CN"/>
        </w:rPr>
        <w:t>抚恤（款）死亡抚恤（项）指反映按规定用于烈士和牺牲、病故人员家属的一次性和定期抚恤金、丧葬补助费以及烈士褒扬金。</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color w:val="auto"/>
          <w:sz w:val="32"/>
          <w:szCs w:val="32"/>
          <w:lang w:val="en-US" w:eastAsia="zh-CN"/>
        </w:rPr>
        <w:t>2</w:t>
      </w:r>
      <w:r>
        <w:rPr>
          <w:rFonts w:ascii="Times New Roman" w:eastAsia="仿宋_GB2312" w:cs="Times New Roman" w:hAnsi="Times New Roman"/>
          <w:color w:val="auto"/>
          <w:sz w:val="32"/>
          <w:szCs w:val="32"/>
        </w:rPr>
        <w:t>.卫生健康（类）公立医院（款）其他公立医院支出（项）:指其他用于公立医院方面的支出。</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hint="eastAsia"/>
          <w:color w:val="auto"/>
          <w:sz w:val="32"/>
          <w:szCs w:val="32"/>
          <w:lang w:val="en-US" w:eastAsia="zh-CN"/>
        </w:rPr>
        <w:t>3</w:t>
      </w:r>
      <w:r>
        <w:rPr>
          <w:rFonts w:ascii="Times New Roman" w:eastAsia="仿宋_GB2312" w:cs="Times New Roman" w:hAnsi="Times New Roman"/>
          <w:color w:val="auto"/>
          <w:sz w:val="32"/>
          <w:szCs w:val="32"/>
        </w:rPr>
        <w:t>.卫生健康（类）公共卫生（款）基本公共卫生服务（项）:指基本公共卫生服务支出。</w:t>
      </w:r>
    </w:p>
    <w:p>
      <w:pPr>
        <w:pStyle w:val="31"/>
        <w:spacing w:line="560" w:lineRule="exact"/>
        <w:ind w:firstLineChars="200" w:firstLine="640"/>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rPr>
        <w:t>1</w:t>
      </w:r>
      <w:r>
        <w:rPr>
          <w:rFonts w:ascii="Times New Roman" w:eastAsia="仿宋_GB2312" w:cs="Times New Roman" w:hAnsi="Times New Roman" w:hint="eastAsia"/>
          <w:color w:val="auto"/>
          <w:sz w:val="32"/>
          <w:szCs w:val="32"/>
          <w:lang w:val="en-US" w:eastAsia="zh-CN"/>
        </w:rPr>
        <w:t>4</w:t>
      </w:r>
      <w:r>
        <w:rPr>
          <w:rFonts w:ascii="Times New Roman" w:eastAsia="仿宋_GB2312" w:cs="Times New Roman" w:hAnsi="Times New Roman"/>
          <w:color w:val="auto"/>
          <w:sz w:val="32"/>
          <w:szCs w:val="32"/>
        </w:rPr>
        <w:t>.卫生健康（类）其他卫生健康支出（款）其他卫生健康支出（项）:</w:t>
      </w:r>
      <w:r>
        <w:rPr>
          <w:rFonts w:ascii="Times New Roman" w:eastAsia="仿宋_GB2312" w:cs="Times New Roman" w:hAnsi="Times New Roman"/>
          <w:color w:val="auto"/>
          <w:sz w:val="32"/>
          <w:szCs w:val="32"/>
          <w:lang w:val="en-US" w:eastAsia="zh-CN"/>
        </w:rPr>
        <w:t>指</w:t>
      </w:r>
      <w:r>
        <w:rPr>
          <w:rFonts w:ascii="Times New Roman" w:eastAsia="仿宋_GB2312" w:cs="Times New Roman" w:hAnsi="Times New Roman"/>
          <w:color w:val="auto"/>
          <w:sz w:val="32"/>
          <w:szCs w:val="32"/>
        </w:rPr>
        <w:t>其他用于卫生健康方面的支出</w:t>
      </w:r>
      <w:r>
        <w:rPr>
          <w:rFonts w:ascii="Times New Roman" w:eastAsia="仿宋_GB2312" w:cs="Times New Roman" w:hAnsi="Times New Roman"/>
          <w:color w:val="auto"/>
          <w:sz w:val="32"/>
          <w:szCs w:val="32"/>
          <w:lang w:eastAsia="zh-CN"/>
        </w:rPr>
        <w:t>。</w:t>
      </w:r>
    </w:p>
    <w:p>
      <w:pPr>
        <w:pStyle w:val="31"/>
        <w:spacing w:line="560" w:lineRule="exact"/>
        <w:ind w:firstLineChars="200" w:firstLine="640"/>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1</w:t>
      </w:r>
      <w:r>
        <w:rPr>
          <w:rFonts w:ascii="Times New Roman" w:eastAsia="仿宋_GB2312" w:cs="Times New Roman" w:hAnsi="Times New Roman" w:hint="eastAsia"/>
          <w:color w:val="auto"/>
          <w:sz w:val="32"/>
          <w:szCs w:val="32"/>
          <w:lang w:val="en-US" w:eastAsia="zh-CN"/>
        </w:rPr>
        <w:t>5</w:t>
      </w: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color w:val="auto"/>
          <w:sz w:val="32"/>
          <w:szCs w:val="32"/>
        </w:rPr>
        <w:t>卫生健康（类）行政事业单位医疗（款）事业单位医疗（项）:</w:t>
      </w:r>
      <w:r>
        <w:rPr>
          <w:rFonts w:ascii="Times New Roman" w:eastAsia="仿宋_GB2312" w:cs="Times New Roman" w:hAnsi="Times New Roman"/>
          <w:color w:val="auto"/>
          <w:sz w:val="32"/>
          <w:szCs w:val="32"/>
          <w:lang w:val="en-US" w:eastAsia="zh-CN"/>
        </w:rPr>
        <w:t>指反映财政部门安排的事业单位基本医疗保险缴费经费、未参加医疗保险的事业单位的公费医疗经费，按国家规定享受离休人员待遇的医疗经费。</w:t>
      </w:r>
    </w:p>
    <w:p>
      <w:pPr>
        <w:pStyle w:val="31"/>
        <w:spacing w:line="560" w:lineRule="exact"/>
        <w:ind w:firstLineChars="200" w:firstLine="640"/>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1</w:t>
      </w:r>
      <w:r>
        <w:rPr>
          <w:rFonts w:ascii="Times New Roman" w:eastAsia="仿宋_GB2312" w:cs="Times New Roman" w:hAnsi="Times New Roman" w:hint="eastAsia"/>
          <w:color w:val="auto"/>
          <w:sz w:val="32"/>
          <w:szCs w:val="32"/>
          <w:lang w:val="en-US" w:eastAsia="zh-CN"/>
        </w:rPr>
        <w:t>6</w:t>
      </w: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color w:val="auto"/>
          <w:sz w:val="32"/>
          <w:szCs w:val="32"/>
        </w:rPr>
        <w:t>卫生健康（类）行政事业单位医疗（款）公务员医疗补助（项）:</w:t>
      </w:r>
      <w:r>
        <w:rPr>
          <w:rFonts w:ascii="Times New Roman" w:eastAsia="仿宋_GB2312" w:cs="Times New Roman" w:hAnsi="Times New Roman"/>
          <w:color w:val="auto"/>
          <w:sz w:val="32"/>
          <w:szCs w:val="32"/>
          <w:lang w:val="en-US" w:eastAsia="zh-CN"/>
        </w:rPr>
        <w:t>指</w:t>
      </w:r>
      <w:r>
        <w:rPr>
          <w:rFonts w:ascii="Times New Roman" w:eastAsia="仿宋_GB2312" w:cs="Times New Roman" w:hAnsi="Times New Roman" w:hint="eastAsia"/>
          <w:color w:val="auto"/>
          <w:sz w:val="32"/>
          <w:szCs w:val="32"/>
          <w:lang w:val="en-US" w:eastAsia="zh-CN"/>
        </w:rPr>
        <w:t>反映财政部门安排的公务员医疗补助经费。</w:t>
      </w:r>
    </w:p>
    <w:p>
      <w:pPr>
        <w:pStyle w:val="31"/>
        <w:spacing w:line="560" w:lineRule="exact"/>
        <w:ind w:firstLineChars="200" w:firstLine="640"/>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1</w:t>
      </w:r>
      <w:r>
        <w:rPr>
          <w:rFonts w:ascii="Times New Roman" w:eastAsia="仿宋_GB2312" w:cs="Times New Roman" w:hAnsi="Times New Roman" w:hint="eastAsia"/>
          <w:color w:val="auto"/>
          <w:sz w:val="32"/>
          <w:szCs w:val="32"/>
          <w:lang w:val="en-US" w:eastAsia="zh-CN"/>
        </w:rPr>
        <w:t>7</w:t>
      </w:r>
      <w:r>
        <w:rPr>
          <w:rFonts w:ascii="Times New Roman" w:eastAsia="仿宋_GB2312" w:cs="Times New Roman" w:hAnsi="Times New Roman"/>
          <w:color w:val="auto"/>
          <w:sz w:val="32"/>
          <w:szCs w:val="32"/>
          <w:lang w:val="en-US" w:eastAsia="zh-CN"/>
        </w:rPr>
        <w:t>.</w:t>
      </w:r>
      <w:r>
        <w:rPr>
          <w:rFonts w:ascii="Times New Roman" w:eastAsia="仿宋_GB2312" w:cs="Times New Roman" w:hAnsi="Times New Roman"/>
          <w:color w:val="auto"/>
          <w:sz w:val="32"/>
          <w:szCs w:val="32"/>
        </w:rPr>
        <w:t>卫生健康（类）行政事业单位医疗（款）其他行政事业单位医疗支出（项）:</w:t>
      </w:r>
      <w:r>
        <w:rPr>
          <w:rFonts w:ascii="Times New Roman" w:eastAsia="仿宋_GB2312" w:cs="Times New Roman" w:hAnsi="Times New Roman" w:hint="eastAsia"/>
          <w:color w:val="auto"/>
          <w:sz w:val="32"/>
          <w:szCs w:val="32"/>
          <w:lang w:val="en-US" w:eastAsia="zh-CN"/>
        </w:rPr>
        <w:t>指反映除上述项目以外的其他用于行政事业单位医疗方面的支出。</w:t>
      </w:r>
    </w:p>
    <w:p>
      <w:pPr>
        <w:pStyle w:val="31"/>
        <w:spacing w:line="560" w:lineRule="exact"/>
        <w:ind w:firstLineChars="200" w:firstLine="640"/>
        <w:rPr>
          <w:rFonts w:ascii="Times New Roman" w:cs="Times New Roman" w:hAnsi="Times New Roman"/>
          <w:lang w:val="en-US" w:eastAsia="zh-CN"/>
        </w:rPr>
      </w:pPr>
      <w:r>
        <w:rPr>
          <w:rFonts w:ascii="Times New Roman" w:eastAsia="仿宋_GB2312" w:cs="Times New Roman" w:hAnsi="Times New Roman"/>
          <w:color w:val="auto"/>
          <w:sz w:val="32"/>
          <w:szCs w:val="32"/>
        </w:rPr>
        <w:t>1</w:t>
      </w:r>
      <w:r>
        <w:rPr>
          <w:rFonts w:ascii="Times New Roman" w:eastAsia="仿宋_GB2312" w:cs="Times New Roman" w:hAnsi="Times New Roman" w:hint="eastAsia"/>
          <w:color w:val="auto"/>
          <w:sz w:val="32"/>
          <w:szCs w:val="32"/>
          <w:lang w:val="en-US" w:eastAsia="zh-CN"/>
        </w:rPr>
        <w:t>8</w:t>
      </w:r>
      <w:r>
        <w:rPr>
          <w:rFonts w:ascii="Times New Roman" w:eastAsia="仿宋_GB2312" w:cs="Times New Roman" w:hAnsi="Times New Roman"/>
          <w:color w:val="auto"/>
          <w:sz w:val="32"/>
          <w:szCs w:val="32"/>
        </w:rPr>
        <w:t>.住房保障支出（类）住房改革支出（款）住房公积金（项）：指行政事业单位按人力资源和社会保障部、财政部规定的基本工资和津贴补贴以及规定比例为职工缴纳的住房公积金。</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eastAsia="仿宋_GB2312" w:cs="Times New Roman" w:hint="eastAsia"/>
          <w:color w:val="auto"/>
          <w:kern w:val="2"/>
          <w:sz w:val="32"/>
          <w:szCs w:val="32"/>
          <w:lang w:val="en-US" w:eastAsia="zh-CN" w:bidi="ar-SA"/>
          <w:highlight w:val="auto"/>
        </w:rPr>
        <w:t>19</w:t>
      </w:r>
      <w:r>
        <w:rPr>
          <w:rFonts w:ascii="Times New Roman" w:eastAsia="仿宋_GB2312" w:cs="Times New Roman" w:hAnsi="Times New Roman"/>
          <w:color w:val="auto"/>
          <w:kern w:val="2"/>
          <w:sz w:val="32"/>
          <w:szCs w:val="32"/>
          <w:lang w:val="en-US" w:eastAsia="zh-CN" w:bidi="ar-SA"/>
          <w:highlight w:val="auto"/>
        </w:rPr>
        <w:t>.基本支出：指为保障机构正常运转、完成日常工作任务而发生的人员支出和公用支出。</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2</w:t>
      </w:r>
      <w:r>
        <w:rPr>
          <w:rFonts w:eastAsia="仿宋_GB2312" w:cs="Times New Roman" w:hint="eastAsia"/>
          <w:color w:val="auto"/>
          <w:kern w:val="2"/>
          <w:sz w:val="32"/>
          <w:szCs w:val="32"/>
          <w:lang w:val="en-US" w:eastAsia="zh-CN" w:bidi="ar-SA"/>
          <w:highlight w:val="auto"/>
        </w:rPr>
        <w:t>0</w:t>
      </w:r>
      <w:r>
        <w:rPr>
          <w:rFonts w:ascii="Times New Roman" w:eastAsia="仿宋_GB2312" w:cs="Times New Roman" w:hAnsi="Times New Roman"/>
          <w:color w:val="auto"/>
          <w:kern w:val="2"/>
          <w:sz w:val="32"/>
          <w:szCs w:val="32"/>
          <w:lang w:val="en-US" w:eastAsia="zh-CN" w:bidi="ar-SA"/>
          <w:highlight w:val="auto"/>
        </w:rPr>
        <w:t xml:space="preserve">.项目支出：指在基本支出之外为完成特定行政任务和事业发展目标所发生的支出。 </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en-US" w:eastAsia="zh-CN" w:bidi="ar-SA"/>
          <w:highlight w:val="auto"/>
        </w:rPr>
        <w:t>2</w:t>
      </w:r>
      <w:r>
        <w:rPr>
          <w:rFonts w:eastAsia="仿宋_GB2312" w:cs="Times New Roman" w:hint="eastAsia"/>
          <w:color w:val="auto"/>
          <w:kern w:val="2"/>
          <w:sz w:val="32"/>
          <w:szCs w:val="32"/>
          <w:lang w:val="en-US" w:eastAsia="zh-CN" w:bidi="ar-SA"/>
          <w:highlight w:val="auto"/>
        </w:rPr>
        <w:t>1</w:t>
      </w:r>
      <w:r>
        <w:rPr>
          <w:rFonts w:ascii="Times New Roman" w:eastAsia="仿宋_GB2312" w:cs="Times New Roman" w:hAnsi="Times New Roman"/>
          <w:color w:val="auto"/>
          <w:kern w:val="2"/>
          <w:sz w:val="32"/>
          <w:szCs w:val="32"/>
          <w:lang w:val="en-US" w:eastAsia="zh-CN" w:bidi="ar-SA"/>
          <w:highlight w:val="auto"/>
        </w:rPr>
        <w:t>.经营支出：指事业单位在专业业务活动及其辅助活动之外开展非独立核算经营活动发生的支出。</w:t>
      </w:r>
    </w:p>
    <w:p>
      <w:pPr>
        <w:spacing w:line="600" w:lineRule="exact"/>
        <w:ind w:firstLine="640"/>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hint="eastAsia"/>
          <w:color w:val="auto"/>
          <w:kern w:val="2"/>
          <w:sz w:val="32"/>
          <w:szCs w:val="32"/>
          <w:lang w:val="en-US" w:eastAsia="zh-CN" w:bidi="ar-SA"/>
          <w:highlight w:val="auto"/>
        </w:rPr>
        <w:t>2</w:t>
      </w:r>
      <w:r>
        <w:rPr>
          <w:rFonts w:eastAsia="仿宋_GB2312" w:cs="Times New Roman" w:hint="eastAsia"/>
          <w:color w:val="auto"/>
          <w:kern w:val="2"/>
          <w:sz w:val="32"/>
          <w:szCs w:val="32"/>
          <w:lang w:val="en-US" w:eastAsia="zh-CN" w:bidi="ar-SA"/>
          <w:highlight w:val="auto"/>
        </w:rPr>
        <w:t>2</w:t>
      </w:r>
      <w:r>
        <w:rPr>
          <w:rFonts w:ascii="Times New Roman" w:eastAsia="仿宋_GB2312" w:cs="Times New Roman" w:hAnsi="Times New Roman"/>
          <w:color w:val="auto"/>
          <w:kern w:val="2"/>
          <w:sz w:val="32"/>
          <w:szCs w:val="32"/>
          <w:lang w:val="en-US" w:eastAsia="zh-CN" w:bidi="ar-SA"/>
          <w:highlight w:val="auto"/>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
        <w:bidi w:val="0"/>
        <w:jc w:val="center"/>
        <w:rPr>
          <w:rFonts w:ascii="Times New Roman" w:eastAsia="黑体" w:cs="Times New Roman" w:hAnsi="Times New Roman"/>
          <w:color w:val="FF0000"/>
          <w:szCs w:val="32"/>
          <w:highlight w:val="auto"/>
        </w:rPr>
      </w:pPr>
      <w:bookmarkStart w:id="69" w:name="_Toc15377226"/>
      <w:r>
        <w:rPr>
          <w:rFonts w:ascii="Times New Roman" w:eastAsia="仿宋_GB2312" w:cs="Times New Roman" w:hAnsi="Times New Roman"/>
          <w:color w:val="auto"/>
          <w:kern w:val="2"/>
          <w:szCs w:val="32"/>
          <w:lang w:val="en-US" w:eastAsia="zh-CN" w:bidi="ar-SA"/>
          <w:highlight w:val="auto"/>
        </w:rPr>
        <w:br w:type="page"/>
      </w:r>
      <w:bookmarkStart w:id="70" w:name="_Toc14841"/>
      <w:bookmarkStart w:id="71" w:name="_Toc15396614"/>
      <w:r>
        <w:t>第四部分</w:t>
      </w:r>
      <w:r>
        <w:rPr>
          <w:lang w:val="en-US" w:eastAsia="zh-CN"/>
        </w:rPr>
        <w:t xml:space="preserve"> </w:t>
      </w:r>
      <w:r>
        <w:t xml:space="preserve"> 附件</w:t>
      </w:r>
      <w:bookmarkEnd w:id="70"/>
      <w:bookmarkEnd w:id="71"/>
    </w:p>
    <w:p>
      <w:pPr>
        <w:pStyle w:val="15"/>
        <w:rPr>
          <w:rFonts w:ascii="Times New Roman" w:eastAsia="黑体" w:cs="Times New Roman" w:hAnsi="Times New Roman"/>
          <w:color w:val="FF0000"/>
          <w:sz w:val="32"/>
          <w:szCs w:val="32"/>
          <w:highlight w:val="auto"/>
        </w:rPr>
      </w:pPr>
    </w:p>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ascii="仿宋" w:eastAsia="仿宋" w:cs="仿宋"/>
          <w:b w:val="0"/>
          <w:bCs w:val="0"/>
          <w:sz w:val="32"/>
          <w:szCs w:val="32"/>
          <w:lang w:val="en-US" w:eastAsia="zh-CN"/>
        </w:rPr>
      </w:pPr>
      <w:bookmarkStart w:id="72" w:name="_Toc14854"/>
      <w:bookmarkStart w:id="73" w:name="_Toc1187887814"/>
      <w:bookmarkStart w:id="74" w:name="_Toc959723477"/>
      <w:r>
        <w:rPr>
          <w:rFonts w:ascii="仿宋" w:eastAsia="仿宋" w:cs="仿宋" w:hint="eastAsia"/>
          <w:b w:val="0"/>
          <w:bCs w:val="0"/>
          <w:sz w:val="32"/>
          <w:szCs w:val="32"/>
        </w:rPr>
        <w:t>部门预算项目支出绩效自评表（202</w:t>
      </w:r>
      <w:r>
        <w:rPr>
          <w:rFonts w:ascii="仿宋" w:eastAsia="仿宋" w:cs="仿宋" w:hint="eastAsia"/>
          <w:b w:val="0"/>
          <w:bCs w:val="0"/>
          <w:sz w:val="32"/>
          <w:szCs w:val="32"/>
          <w:lang w:val="en-US" w:eastAsia="zh-CN"/>
        </w:rPr>
        <w:t>4</w:t>
      </w:r>
      <w:r>
        <w:rPr>
          <w:rFonts w:ascii="仿宋" w:eastAsia="仿宋" w:cs="仿宋" w:hint="eastAsia"/>
          <w:b w:val="0"/>
          <w:bCs w:val="0"/>
          <w:sz w:val="32"/>
          <w:szCs w:val="32"/>
        </w:rPr>
        <w:t>年度）</w:t>
      </w:r>
      <w:bookmarkEnd w:id="72"/>
      <w:bookmarkEnd w:id="73"/>
      <w:bookmarkEnd w:id="74"/>
      <w:r>
        <w:rPr>
          <w:rFonts w:ascii="仿宋" w:eastAsia="仿宋" w:cs="仿宋" w:hint="eastAsia"/>
          <w:b w:val="0"/>
          <w:bCs w:val="0"/>
          <w:sz w:val="32"/>
          <w:szCs w:val="32"/>
          <w:lang w:val="en-US" w:eastAsia="zh-CN"/>
        </w:rPr>
        <w:t>见附件3。</w:t>
      </w: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5"/>
        <w:rPr>
          <w:rFonts w:ascii="Times New Roman" w:eastAsia="黑体" w:cs="Times New Roman" w:hAnsi="Times New Roman"/>
          <w:color w:val="FF0000"/>
          <w:sz w:val="32"/>
          <w:szCs w:val="32"/>
          <w:highlight w:val="auto"/>
        </w:rPr>
      </w:pPr>
    </w:p>
    <w:p>
      <w:pPr>
        <w:pStyle w:val="1"/>
        <w:bidi w:val="0"/>
        <w:jc w:val="center"/>
      </w:pPr>
      <w:bookmarkStart w:id="75" w:name="_Toc15396618"/>
    </w:p>
    <w:p>
      <w:pPr>
        <w:pStyle w:val="1"/>
        <w:bidi w:val="0"/>
        <w:jc w:val="center"/>
        <w:rPr>
          <w:rFonts w:ascii="Times New Roman" w:eastAsia="仿宋_GB2312" w:cs="Times New Roman" w:hAnsi="Times New Roman"/>
          <w:color w:val="auto"/>
          <w:sz w:val="32"/>
          <w:szCs w:val="32"/>
          <w:highlight w:val="auto"/>
        </w:rPr>
      </w:pPr>
      <w:bookmarkStart w:id="76" w:name="_Toc18911"/>
      <w:r>
        <w:t>第五部分 附表</w:t>
      </w:r>
      <w:bookmarkStart w:id="77" w:name="_Toc15396619"/>
      <w:bookmarkEnd w:id="69"/>
      <w:bookmarkEnd w:id="75"/>
      <w:bookmarkEnd w:id="76"/>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78" w:name="_Toc4484"/>
      <w:r>
        <w:rPr>
          <w:rFonts w:ascii="仿宋" w:eastAsia="仿宋" w:cs="仿宋" w:hint="eastAsia"/>
          <w:b w:val="0"/>
          <w:bCs w:val="0"/>
          <w:sz w:val="32"/>
          <w:szCs w:val="32"/>
        </w:rPr>
        <w:t>一、收入支出决算总表</w:t>
      </w:r>
      <w:bookmarkEnd w:id="77"/>
      <w:bookmarkEnd w:id="78"/>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79" w:name="_Toc15396620"/>
      <w:bookmarkStart w:id="80" w:name="_Toc8054"/>
      <w:r>
        <w:rPr>
          <w:rFonts w:ascii="仿宋" w:eastAsia="仿宋" w:cs="仿宋" w:hint="eastAsia"/>
          <w:b w:val="0"/>
          <w:bCs w:val="0"/>
          <w:sz w:val="32"/>
          <w:szCs w:val="32"/>
        </w:rPr>
        <w:t>二、收入决算表</w:t>
      </w:r>
      <w:bookmarkEnd w:id="79"/>
      <w:bookmarkEnd w:id="80"/>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81" w:name="_Toc10160"/>
      <w:bookmarkStart w:id="82" w:name="_Toc15396621"/>
      <w:r>
        <w:rPr>
          <w:rFonts w:ascii="仿宋" w:eastAsia="仿宋" w:cs="仿宋" w:hint="eastAsia"/>
          <w:b w:val="0"/>
          <w:bCs w:val="0"/>
          <w:sz w:val="32"/>
          <w:szCs w:val="32"/>
        </w:rPr>
        <w:t>三、支出决算表</w:t>
      </w:r>
      <w:bookmarkEnd w:id="81"/>
      <w:bookmarkEnd w:id="82"/>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83" w:name="_Toc5828"/>
      <w:bookmarkStart w:id="84" w:name="_Toc15396622"/>
      <w:r>
        <w:rPr>
          <w:rFonts w:ascii="仿宋" w:eastAsia="仿宋" w:cs="仿宋" w:hint="eastAsia"/>
          <w:b w:val="0"/>
          <w:bCs w:val="0"/>
          <w:sz w:val="32"/>
          <w:szCs w:val="32"/>
        </w:rPr>
        <w:t>四、财政拨款收入支出决算总表</w:t>
      </w:r>
      <w:bookmarkEnd w:id="83"/>
      <w:bookmarkEnd w:id="84"/>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85" w:name="_Toc15396623"/>
      <w:bookmarkStart w:id="86" w:name="_Toc6253"/>
      <w:r>
        <w:rPr>
          <w:rFonts w:ascii="仿宋" w:eastAsia="仿宋" w:cs="仿宋" w:hint="eastAsia"/>
          <w:b w:val="0"/>
          <w:bCs w:val="0"/>
          <w:sz w:val="32"/>
          <w:szCs w:val="32"/>
        </w:rPr>
        <w:t>五、财政拨款支出决算明细表</w:t>
      </w:r>
      <w:bookmarkStart w:id="87" w:name="_Toc15396624"/>
      <w:bookmarkEnd w:id="85"/>
      <w:bookmarkEnd w:id="86"/>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88" w:name="_Toc13364"/>
      <w:r>
        <w:rPr>
          <w:rFonts w:ascii="仿宋" w:eastAsia="仿宋" w:cs="仿宋" w:hint="eastAsia"/>
          <w:b w:val="0"/>
          <w:bCs w:val="0"/>
          <w:sz w:val="32"/>
          <w:szCs w:val="32"/>
        </w:rPr>
        <w:t>六、一般公共预算财政拨款支出决算表</w:t>
      </w:r>
      <w:bookmarkEnd w:id="87"/>
      <w:bookmarkEnd w:id="88"/>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89" w:name="_Toc5705"/>
      <w:bookmarkStart w:id="90" w:name="_Toc15396625"/>
      <w:r>
        <w:rPr>
          <w:rFonts w:ascii="仿宋" w:eastAsia="仿宋" w:cs="仿宋" w:hint="eastAsia"/>
          <w:b w:val="0"/>
          <w:bCs w:val="0"/>
          <w:sz w:val="32"/>
          <w:szCs w:val="32"/>
        </w:rPr>
        <w:t>七、一般公共预算财政拨款支出决算明细表</w:t>
      </w:r>
      <w:bookmarkEnd w:id="89"/>
      <w:bookmarkEnd w:id="90"/>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91" w:name="_Toc18622"/>
      <w:bookmarkStart w:id="92" w:name="_Toc15396626"/>
      <w:r>
        <w:rPr>
          <w:rFonts w:ascii="仿宋" w:eastAsia="仿宋" w:cs="仿宋" w:hint="eastAsia"/>
          <w:b w:val="0"/>
          <w:bCs w:val="0"/>
          <w:sz w:val="32"/>
          <w:szCs w:val="32"/>
        </w:rPr>
        <w:t>八、一般公共预算财政拨款基本支出决算表</w:t>
      </w:r>
      <w:bookmarkEnd w:id="91"/>
      <w:bookmarkEnd w:id="92"/>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93" w:name="_Toc31859"/>
      <w:bookmarkStart w:id="94" w:name="_Toc15396627"/>
      <w:r>
        <w:rPr>
          <w:rFonts w:ascii="仿宋" w:eastAsia="仿宋" w:cs="仿宋" w:hint="eastAsia"/>
          <w:b w:val="0"/>
          <w:bCs w:val="0"/>
          <w:sz w:val="32"/>
          <w:szCs w:val="32"/>
        </w:rPr>
        <w:t>九、一般公共预算财政拨款项目支出决算表</w:t>
      </w:r>
      <w:bookmarkEnd w:id="93"/>
      <w:bookmarkEnd w:id="94"/>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95" w:name="_Toc15396628"/>
      <w:bookmarkStart w:id="96" w:name="_Toc16518"/>
      <w:r>
        <w:rPr>
          <w:rFonts w:ascii="仿宋" w:eastAsia="仿宋" w:cs="仿宋" w:hint="eastAsia"/>
          <w:b w:val="0"/>
          <w:bCs w:val="0"/>
          <w:sz w:val="32"/>
          <w:szCs w:val="32"/>
        </w:rPr>
        <w:t>十、</w:t>
      </w:r>
      <w:bookmarkEnd w:id="95"/>
      <w:r>
        <w:rPr>
          <w:rFonts w:ascii="仿宋" w:eastAsia="仿宋" w:cs="仿宋" w:hint="eastAsia"/>
          <w:b w:val="0"/>
          <w:bCs w:val="0"/>
          <w:sz w:val="32"/>
          <w:szCs w:val="32"/>
        </w:rPr>
        <w:t>政府性基金预算财政拨款收入支出决算表</w:t>
      </w:r>
      <w:bookmarkStart w:id="97" w:name="_Toc15396629"/>
      <w:bookmarkEnd w:id="96"/>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98" w:name="_Toc21869"/>
      <w:r>
        <w:rPr>
          <w:rFonts w:ascii="仿宋" w:eastAsia="仿宋" w:cs="仿宋" w:hint="eastAsia"/>
          <w:b w:val="0"/>
          <w:bCs w:val="0"/>
          <w:sz w:val="32"/>
          <w:szCs w:val="32"/>
        </w:rPr>
        <w:t>十一、</w:t>
      </w:r>
      <w:bookmarkEnd w:id="97"/>
      <w:r>
        <w:rPr>
          <w:rFonts w:ascii="仿宋" w:eastAsia="仿宋" w:cs="仿宋" w:hint="eastAsia"/>
          <w:b w:val="0"/>
          <w:bCs w:val="0"/>
          <w:sz w:val="32"/>
          <w:szCs w:val="32"/>
        </w:rPr>
        <w:t>国有资本经营预算</w:t>
      </w:r>
      <w:r>
        <w:rPr>
          <w:rFonts w:ascii="仿宋" w:eastAsia="仿宋" w:cs="仿宋" w:hint="eastAsia"/>
          <w:b w:val="0"/>
          <w:bCs w:val="0"/>
          <w:sz w:val="32"/>
          <w:szCs w:val="32"/>
          <w:lang w:eastAsia="zh-CN"/>
        </w:rPr>
        <w:t>财政拨款收入</w:t>
      </w:r>
      <w:r>
        <w:rPr>
          <w:rFonts w:ascii="仿宋" w:eastAsia="仿宋" w:cs="仿宋" w:hint="eastAsia"/>
          <w:b w:val="0"/>
          <w:bCs w:val="0"/>
          <w:sz w:val="32"/>
          <w:szCs w:val="32"/>
        </w:rPr>
        <w:t>支出决算表</w:t>
      </w:r>
      <w:r>
        <w:rPr>
          <w:rFonts w:ascii="仿宋" w:eastAsia="仿宋" w:cs="仿宋" w:hint="eastAsia"/>
          <w:b w:val="0"/>
          <w:bCs w:val="0"/>
          <w:sz w:val="32"/>
          <w:szCs w:val="32"/>
          <w:lang w:eastAsia="zh-CN"/>
        </w:rPr>
        <w:t>（</w:t>
      </w:r>
      <w:r>
        <w:rPr>
          <w:rFonts w:ascii="仿宋" w:eastAsia="仿宋" w:cs="仿宋" w:hint="eastAsia"/>
          <w:b w:val="0"/>
          <w:bCs w:val="0"/>
          <w:sz w:val="32"/>
          <w:szCs w:val="32"/>
          <w:lang w:val="en-US" w:eastAsia="zh-CN"/>
        </w:rPr>
        <w:t>此表无数据</w:t>
      </w:r>
      <w:r>
        <w:rPr>
          <w:rFonts w:ascii="仿宋" w:eastAsia="仿宋" w:cs="仿宋" w:hint="eastAsia"/>
          <w:b w:val="0"/>
          <w:bCs w:val="0"/>
          <w:sz w:val="32"/>
          <w:szCs w:val="32"/>
          <w:lang w:eastAsia="zh-CN"/>
        </w:rPr>
        <w:t>）</w:t>
      </w:r>
      <w:bookmarkEnd w:id="98"/>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仿宋" w:eastAsia="仿宋" w:cs="仿宋" w:hint="eastAsia"/>
          <w:b w:val="0"/>
          <w:bCs w:val="0"/>
          <w:sz w:val="32"/>
          <w:szCs w:val="32"/>
        </w:rPr>
      </w:pPr>
      <w:bookmarkStart w:id="99" w:name="_Toc15396630"/>
      <w:bookmarkStart w:id="100" w:name="_Toc14150"/>
      <w:r>
        <w:rPr>
          <w:rFonts w:ascii="仿宋" w:eastAsia="仿宋" w:cs="仿宋" w:hint="eastAsia"/>
          <w:b w:val="0"/>
          <w:bCs w:val="0"/>
          <w:sz w:val="32"/>
          <w:szCs w:val="32"/>
        </w:rPr>
        <w:t>十二、</w:t>
      </w:r>
      <w:bookmarkEnd w:id="99"/>
      <w:r>
        <w:rPr>
          <w:rFonts w:ascii="仿宋" w:eastAsia="仿宋" w:cs="仿宋" w:hint="eastAsia"/>
          <w:b w:val="0"/>
          <w:bCs w:val="0"/>
          <w:sz w:val="32"/>
          <w:szCs w:val="32"/>
          <w:lang w:eastAsia="zh-CN"/>
        </w:rPr>
        <w:t>国有资本经营预算财政拨款支出决算表（</w:t>
      </w:r>
      <w:r>
        <w:rPr>
          <w:rFonts w:ascii="仿宋" w:eastAsia="仿宋" w:cs="仿宋" w:hint="eastAsia"/>
          <w:b w:val="0"/>
          <w:bCs w:val="0"/>
          <w:sz w:val="32"/>
          <w:szCs w:val="32"/>
          <w:lang w:val="en-US" w:eastAsia="zh-CN"/>
        </w:rPr>
        <w:t>此表无数据</w:t>
      </w:r>
      <w:r>
        <w:rPr>
          <w:rFonts w:ascii="仿宋" w:eastAsia="仿宋" w:cs="仿宋" w:hint="eastAsia"/>
          <w:b w:val="0"/>
          <w:bCs w:val="0"/>
          <w:sz w:val="32"/>
          <w:szCs w:val="32"/>
          <w:lang w:eastAsia="zh-CN"/>
        </w:rPr>
        <w:t>）</w:t>
      </w:r>
      <w:bookmarkEnd w:id="100"/>
    </w:p>
    <w:p>
      <w:pPr>
        <w:pStyle w:val="2"/>
        <w:keepNext/>
        <w:keepLines/>
        <w:pageBreakBefore w:val="0"/>
        <w:widowControl w:val="0"/>
        <w:kinsoku/>
        <w:wordWrap/>
        <w:overflowPunct/>
        <w:topLinePunct w:val="0"/>
        <w:autoSpaceDE/>
        <w:autoSpaceDN/>
        <w:bidi w:val="0"/>
        <w:adjustRightInd/>
        <w:snapToGrid/>
        <w:spacing w:line="600" w:lineRule="exact"/>
        <w:textAlignment w:val="auto"/>
        <w:rPr>
          <w:lang w:eastAsia="zh-CN"/>
        </w:rPr>
      </w:pPr>
      <w:bookmarkStart w:id="101" w:name="_Toc15396631"/>
      <w:bookmarkStart w:id="102" w:name="_Toc9277"/>
      <w:r>
        <w:rPr>
          <w:rFonts w:ascii="仿宋" w:eastAsia="仿宋" w:cs="仿宋" w:hint="eastAsia"/>
          <w:b w:val="0"/>
          <w:bCs w:val="0"/>
        </w:rPr>
        <w:t>十三、</w:t>
      </w:r>
      <w:bookmarkEnd w:id="101"/>
      <w:r>
        <w:rPr>
          <w:rFonts w:ascii="仿宋" w:eastAsia="仿宋" w:cs="仿宋" w:hint="eastAsia"/>
          <w:b w:val="0"/>
          <w:bCs w:val="0"/>
          <w:lang w:eastAsia="zh-CN"/>
        </w:rPr>
        <w:t>财政拨款“三公”经费支出决算表</w:t>
      </w:r>
      <w:bookmarkEnd w:id="102"/>
    </w:p>
    <w:sectPr>
      <w:footerReference w:type="default" r:id="rId6"/>
      <w:pgSz w:w="11906" w:h="16838"/>
      <w:pgMar w:top="1440" w:right="1800" w:bottom="1440" w:left="1800" w:header="851" w:footer="992" w:gutter="0"/>
      <w:pgNumType w:fmt="numberInDash" w:start="1"/>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E0002EFF" w:usb1="C000785B" w:usb2="00000009" w:usb3="00000000" w:csb0="400001FF" w:csb1="FFFF0000"/>
  </w:font>
  <w:font w:name="方正小标宋简体">
    <w:altName w:val="黑体"/>
    <w:panose1 w:val="03000509000000000000"/>
    <w:charset w:val="86"/>
    <w:family w:val="script"/>
    <w:pitch w:val="variable"/>
    <w:sig w:usb0="00000000" w:usb1="00000000" w:usb2="00000000" w:usb3="00000000" w:csb0="00040000" w:csb1="0000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仿宋_GB2312">
    <w:altName w:val="宋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楷体_GB2312">
    <w:altName w:val="楷体"/>
    <w:panose1 w:val="02010609030101010101"/>
    <w:charset w:val="86"/>
    <w:family w:val="auto"/>
    <w:pitch w:val="variable"/>
    <w:sig w:usb0="00000000" w:usb1="00000000" w:usb2="00000000" w:usb3="00000000" w:csb0="00040000" w:csb1="0000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
    <w:altName w:val="Arial"/>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p>
  <w:p>
    <w:pPr>
      <w:pStyle w:val="20"/>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34" behindDoc="0" locked="0" layoutInCell="1" hidden="0" allowOverlap="1">
              <wp:simplePos x="0" y="0"/>
              <wp:positionH relativeFrom="margin">
                <wp:align>center</wp:align>
              </wp:positionH>
              <wp:positionV relativeFrom="paragraph">
                <wp:posOffset>0</wp:posOffset>
              </wp:positionV>
              <wp:extent cx="179565" cy="139560"/>
              <wp:effectExtent l="0" t="0" r="0" b="0"/>
              <wp:wrapNone/>
              <wp:docPr id="1" name="文本框 4"/>
              <wp:cNvGraphicFramePr>
                <a:graphicFrameLocks noChangeAspect="0"/>
              </wp:cNvGraphicFramePr>
              <a:graphic>
                <a:graphicData uri="http://schemas.microsoft.com/office/word/2010/wordprocessingShape">
                  <wps:wsp>
                    <wps:cNvSpPr/>
                    <wps:spPr>
                      <a:xfrm rot="0">
                        <a:off x="0" y="0"/>
                        <a:ext cx="179565" cy="139560"/>
                      </a:xfrm>
                      <a:prstGeom prst="rect"/>
                      <a:noFill/>
                      <a:ln w="6350" cmpd="sng" cap="flat">
                        <a:noFill/>
                        <a:prstDash val="solid"/>
                        <a:round/>
                      </a:ln>
                    </wps:spPr>
                    <wps:txbx id="2">
                      <w:txbxContent>
                        <w:p>
                          <w:pPr>
                            <w:pStyle w:val="20"/>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type="#_x0000_t202" id="文本框 4 3" o:spid="_x0000_s3" filled="f" stroked="f" strokeweight="0.5pt" style="position:absolute;margin-left:0.0pt;margin-top:0.0pt;width:14.139006pt;height:10.988999pt;z-index:34;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36" behindDoc="0" locked="0" layoutInCell="1" hidden="0" allowOverlap="1">
              <wp:simplePos x="0" y="0"/>
              <wp:positionH relativeFrom="margin">
                <wp:align>center</wp:align>
              </wp:positionH>
              <wp:positionV relativeFrom="paragraph">
                <wp:posOffset>0</wp:posOffset>
              </wp:positionV>
              <wp:extent cx="237515" cy="139560"/>
              <wp:effectExtent l="0" t="0" r="0" b="0"/>
              <wp:wrapNone/>
              <wp:docPr id="4" name="文本框 6"/>
              <wp:cNvGraphicFramePr>
                <a:graphicFrameLocks noChangeAspect="0"/>
              </wp:cNvGraphicFramePr>
              <a:graphic>
                <a:graphicData uri="http://schemas.microsoft.com/office/word/2010/wordprocessingShape">
                  <wps:wsp>
                    <wps:cNvSpPr/>
                    <wps:spPr>
                      <a:xfrm rot="0">
                        <a:off x="0" y="0"/>
                        <a:ext cx="237515" cy="139560"/>
                      </a:xfrm>
                      <a:prstGeom prst="rect"/>
                      <a:noFill/>
                      <a:ln w="6350" cmpd="sng" cap="flat">
                        <a:noFill/>
                        <a:prstDash val="solid"/>
                        <a:round/>
                      </a:ln>
                    </wps:spPr>
                    <wps:txbx id="5">
                      <w:txbxContent>
                        <w:p>
                          <w:pPr>
                            <w:pStyle w:val="20"/>
                            <w:tabs>
                              <w:tab w:val="center" w:pos="4153"/>
                              <w:tab w:val="right" w:pos="8306"/>
                            </w:tabs>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type="#_x0000_t202" id="文本框 6 6" o:spid="_x0000_s6" filled="f" stroked="f" strokeweight="0.5pt" style="position:absolute;margin-left:0.0pt;margin-top:0.0pt;width:18.701994pt;height:10.988999pt;z-index:36;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- 2 -</w:t>
                    </w:r>
                    <w:r>
                      <w:fldChar w:fldCharType="end"/>
                    </w:r>
                  </w:p>
                </w:txbxContent>
              </v:textbox>
            </v:shape>
          </w:pict>
        </mc:Fallback>
      </mc:AlternateContent>
    </w:r>
  </w:p>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286FAD4"/>
    <w:multiLevelType w:val="singleLevel"/>
    <w:tmpl w:val="2286FAD4"/>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mbria" w:eastAsia="宋体" w:cs="Times New Roman" w:hAnsi="Cambria"/>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sz w:val="28"/>
      <w:szCs w:val="28"/>
    </w:rPr>
  </w:style>
  <w:style w:type="paragraph" w:styleId="23">
    <w:name w:val="footnote text"/>
    <w:basedOn w:val="0"/>
    <w:next w:val="17"/>
    <w:pPr>
      <w:snapToGrid w:val="0"/>
      <w:jc w:val="left"/>
    </w:pPr>
    <w:rPr>
      <w:sz w:val="18"/>
      <w:szCs w:val="18"/>
    </w:rPr>
  </w:style>
  <w:style w:type="paragraph" w:styleId="24">
    <w:name w:val="toc 2"/>
    <w:basedOn w:val="0"/>
    <w:next w:val="0"/>
    <w:pPr>
      <w:tabs>
        <w:tab w:val="right" w:leader="dot" w:pos="8296"/>
      </w:tabs>
      <w:ind w:leftChars="200" w:left="200"/>
    </w:pPr>
  </w:style>
  <w:style w:type="character" w:styleId="25">
    <w:name w:val="Strong"/>
    <w:basedOn w:val="10"/>
    <w:rPr>
      <w:b/>
    </w:rPr>
  </w:style>
  <w:style w:type="character" w:styleId="26">
    <w:name w:val="Hyperlink"/>
    <w:basedOn w:val="10"/>
    <w:rPr>
      <w:color w:val="0000FF"/>
      <w:u w:val="single"/>
    </w:rPr>
  </w:style>
  <w:style w:type="paragraph" w:customStyle="1" w:styleId="27">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4">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四号正文"/>
    <w:basedOn w:val="0"/>
    <w:pPr>
      <w:spacing w:line="360" w:lineRule="auto"/>
    </w:pPr>
    <w:rPr>
      <w:rFonts w:ascii="??" w:eastAsia="宋体" w:hAnsi="??"/>
      <w:color w:val="000000"/>
      <w:kern w:val="0"/>
      <w:sz w:val="28"/>
      <w:szCs w:val="21"/>
      <w:lang w:val="zh-CN"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收入（万元）</c:v>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0"/>
            <c:dLbl>
              <c:idx val="0"/>
              <c:layout>
                <c:manualLayout>
                  <c:x val="-0.003615329"/>
                  <c:y val="0.031282585"/>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1"/>
              <c:showCatName val="0"/>
              <c:showSerName val="0"/>
              <c:showPercent val="0"/>
              <c:showBubbleSize val="0"/>
            </c:dLbl>
            <c:dLbl>
              <c:idx val="1"/>
              <c:layout>
                <c:manualLayout>
                  <c:x val="0.0"/>
                  <c:y val="0.007820646"/>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2023年</c:v>
              </c:pt>
              <c:pt idx="1">
                <c:v>2024年</c:v>
              </c:pt>
            </c:strLit>
          </c:cat>
          <c:val>
            <c:numRef>
              <c:f/>
              <c:numCache>
                <c:formatCode>General</c:formatCode>
                <c:ptCount val="4"/>
                <c:pt idx="0">
                  <c:v>298.72</c:v>
                </c:pt>
                <c:pt idx="1">
                  <c:v>468.58</c:v>
                </c:pt>
              </c:numCache>
            </c:numRef>
          </c:val>
        </c:ser>
        <c:ser>
          <c:idx val="1"/>
          <c:order val="1"/>
          <c:tx>
            <c:v>支出（万元）</c:v>
          </c:tx>
          <c:spPr>
            <a:solidFill>
              <a:srgbClr val="C0504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0"/>
            <c:dLbl>
              <c:idx val="0"/>
              <c:layout>
                <c:manualLayout>
                  <c:x val="0.010845987"/>
                  <c:y val="0.031282585"/>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1"/>
              <c:showCatName val="0"/>
              <c:showSerName val="0"/>
              <c:showPercent val="0"/>
              <c:showBubbleSize val="0"/>
            </c:dLbl>
            <c:dLbl>
              <c:idx val="1"/>
              <c:layout>
                <c:manualLayout>
                  <c:x val="0.012653652"/>
                  <c:y val="0.007820646"/>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2023年</c:v>
              </c:pt>
              <c:pt idx="1">
                <c:v>2024年</c:v>
              </c:pt>
            </c:strLit>
          </c:cat>
          <c:val>
            <c:numRef>
              <c:f/>
              <c:numCache>
                <c:formatCode>General</c:formatCode>
                <c:ptCount val="4"/>
                <c:pt idx="0">
                  <c:v>298.72</c:v>
                </c:pt>
                <c:pt idx="1">
                  <c:v>468.58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404040"/>
                </a:solidFill>
                <a:latin typeface="Times New Roman"/>
                <a:ea typeface="宋体"/>
                <a:cs typeface="Lucida Sans"/>
              </a:rPr>
              <a:t>2024</a:t>
            </a:r>
            <a:r>
              <a:rPr lang="zh-CN" sz="1400" b="1" i="0" u="none" strike="noStrike" baseline="0">
                <a:solidFill>
                  <a:srgbClr val="404040"/>
                </a:solidFill>
                <a:latin typeface="Times New Roman"/>
                <a:ea typeface="宋体"/>
                <a:cs typeface="Lucida Sans"/>
              </a:rPr>
              <a:t>年收入决算情况</a:t>
            </a:r>
          </a:p>
        </c:rich>
      </c:tx>
      <c:layout>
        <c:manualLayout>
          <c:xMode val="edge"/>
          <c:yMode val="edge"/>
          <c:x val="0.32563496"/>
          <c:y val="0.031070195"/>
        </c:manualLayout>
      </c:layout>
      <c:overlay val="0"/>
      <c:spPr>
        <a:noFill/>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manualLayout>
          <c:layoutTarget val="inner"/>
          <c:xMode val="edge"/>
          <c:yMode val="edge"/>
          <c:x val="0.038820896"/>
          <c:y val="0.16985041"/>
          <c:w val="0.94209766"/>
          <c:h val="0.66904485"/>
        </c:manualLayout>
      </c:layout>
      <c:pie3DChart>
        <c:varyColors val="1"/>
        <c:ser>
          <c:idx val="0"/>
          <c:order val="0"/>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3"/>
              <c:pt idx="0">
                <c:v>一般公共预算财政拨款收入（万元）</c:v>
              </c:pt>
              <c:pt idx="2">
                <c:v>政府性基金预算财政拨款收入（万元）</c:v>
              </c:pt>
            </c:strLit>
          </c:cat>
          <c:val>
            <c:numRef>
              <c:f/>
              <c:numCache>
                <c:formatCode>General</c:formatCode>
                <c:ptCount val="3"/>
                <c:pt idx="0">
                  <c:v>392.58</c:v>
                </c:pt>
                <c:pt idx="2">
                  <c:v>76.0</c:v>
                </c:pt>
              </c:numCache>
            </c:numRef>
          </c:val>
        </c:ser>
        <c:gapDepth val="150"/>
        <c:firstSliceAng val="0"/>
      </c:pie3DChart>
      <c:spPr>
        <a:noFill/>
        <a:ln>
          <a:noFill/>
        </a:ln>
      </c:spPr>
    </c:plotArea>
    <c:legend>
      <c:legendPos val="t"/>
      <c:layout>
        <c:manualLayout>
          <c:xMode val="edge"/>
          <c:yMode val="edge"/>
          <c:x val="0.070404"/>
          <c:y val="0.88147295"/>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1"/>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333333"/>
                </a:solidFill>
                <a:latin typeface="Calibri"/>
                <a:ea typeface="Calibri"/>
                <a:cs typeface="Lucida Sans"/>
              </a:rPr>
              <a:t>2024</a:t>
            </a:r>
            <a:r>
              <a:rPr lang="zh-CN" sz="1400" b="1" i="0" u="none" strike="noStrike" baseline="0">
                <a:solidFill>
                  <a:srgbClr val="333333"/>
                </a:solidFill>
                <a:latin typeface="宋体"/>
                <a:ea typeface="宋体"/>
                <a:cs typeface="Lucida Sans"/>
              </a:rPr>
              <a:t>年支出决算情况</a:t>
            </a:r>
          </a:p>
        </c:rich>
      </c:tx>
      <c:layout/>
      <c:overlay val="0"/>
      <c:spPr>
        <a:noFill/>
        <a:ln>
          <a:noFill/>
        </a:ln>
      </c:spPr>
    </c:title>
    <c:autoTitleDeleted val="1"/>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noFill/>
        <a:ln>
          <a:noFill/>
        </a:ln>
      </c:spPr>
    </c:backWall>
    <c:plotArea>
      <c:layout/>
      <c:pie3DChart>
        <c:varyColors val="1"/>
        <c:ser>
          <c:idx val="0"/>
          <c:order val="0"/>
          <c:tx>
            <c:v>金额（万元）</c:v>
          </c:tx>
          <c:spPr>
            <a:solidFill>
              <a:srgbClr val="4F81BD"/>
            </a:solidFill>
          </c:spPr>
          <c:dPt>
            <c:idx val="0"/>
            <c:bubble3D val="0"/>
            <c:explosion val="0"/>
            <c:spPr>
              <a:solidFill>
                <a:srgbClr val="4F81BD"/>
              </a:solidFill>
              <a:ln w="25400">
                <a:solidFill>
                  <a:srgbClr val="FFFFFF"/>
                </a:solidFill>
                <a:prstDash val="solid"/>
              </a:ln>
            </c:spPr>
          </c:dPt>
          <c:dPt>
            <c:idx val="1"/>
            <c:bubble3D val="0"/>
            <c:explosion val="0"/>
            <c:spPr>
              <a:solidFill>
                <a:srgbClr val="C0504D"/>
              </a:solidFill>
              <a:ln w="25400">
                <a:solidFill>
                  <a:srgbClr val="FFFFFF"/>
                </a:solidFill>
                <a:prstDash val="solid"/>
              </a:ln>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基本支出（万元）</c:v>
              </c:pt>
              <c:pt idx="1">
                <c:v>项目支出（万元）</c:v>
              </c:pt>
            </c:strLit>
          </c:cat>
          <c:val>
            <c:numRef>
              <c:f/>
              <c:numCache>
                <c:formatCode>General</c:formatCode>
                <c:ptCount val="2"/>
                <c:pt idx="0">
                  <c:v>287.0</c:v>
                </c:pt>
                <c:pt idx="1">
                  <c:v>181.58</c:v>
                </c:pt>
              </c:numCache>
            </c:numRef>
          </c:val>
        </c:ser>
        <c:gapDepth val="150"/>
        <c:firstSliceAng val="0"/>
      </c:pie3D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2023年</c:v>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4"/>
              <c:pt idx="0">
                <c:v>财政拨款收入（万元）</c:v>
              </c:pt>
              <c:pt idx="1">
                <c:v>财政拨款支出（万元）</c:v>
              </c:pt>
            </c:strLit>
          </c:cat>
          <c:val>
            <c:numRef>
              <c:f/>
              <c:numCache>
                <c:formatCode>General</c:formatCode>
                <c:ptCount val="4"/>
                <c:pt idx="0">
                  <c:v>298.72</c:v>
                </c:pt>
                <c:pt idx="1">
                  <c:v>298.72</c:v>
                </c:pt>
              </c:numCache>
            </c:numRef>
          </c:val>
        </c:ser>
        <c:ser>
          <c:idx val="1"/>
          <c:order val="1"/>
          <c:tx>
            <c:v>2024年</c:v>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4"/>
              <c:pt idx="0">
                <c:v>财政拨款收入（万元）</c:v>
              </c:pt>
              <c:pt idx="1">
                <c:v>财政拨款支出（万元）</c:v>
              </c:pt>
            </c:strLit>
          </c:cat>
          <c:val>
            <c:numRef>
              <c:f/>
              <c:numCache>
                <c:formatCode>General</c:formatCode>
                <c:ptCount val="4"/>
                <c:pt idx="0">
                  <c:v>468.58</c:v>
                </c:pt>
                <c:pt idx="1">
                  <c:v>468.58</c:v>
                </c:pt>
              </c:numCache>
            </c:numRef>
          </c:val>
        </c:ser>
        <c:ser>
          <c:idx val="2"/>
          <c:order val="2"/>
          <c:spPr>
            <a:solidFill>
              <a:srgbClr val="9BBB59"/>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Lit>
              <c:ptCount val="4"/>
              <c:pt idx="0">
                <c:v>财政拨款收入（万元）</c:v>
              </c:pt>
              <c:pt idx="1">
                <c:v>财政拨款支出（万元）</c:v>
              </c:pt>
            </c:strLit>
          </c:cat>
          <c:val>
            <c:numRef>
              <c:f/>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54822916"/>
          <c:y val="0.8530093"/>
          <c:w val="0.148125"/>
          <c:h val="0.090277776"/>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2"/>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一般公共预算财政拨款支出（万元）</c:v>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2"/>
              <c:pt idx="0">
                <c:v>2023年</c:v>
              </c:pt>
              <c:pt idx="1">
                <c:v>2024年</c:v>
              </c:pt>
            </c:strLit>
          </c:cat>
          <c:val>
            <c:numRef>
              <c:f/>
              <c:numCache>
                <c:formatCode>General</c:formatCode>
                <c:ptCount val="2"/>
                <c:pt idx="0">
                  <c:v>298.72</c:v>
                </c:pt>
                <c:pt idx="1">
                  <c:v>392.58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0" i="0" u="none" strike="noStrike" baseline="0">
                <a:solidFill>
                  <a:srgbClr val="333333"/>
                </a:solidFill>
                <a:latin typeface="Calibri"/>
                <a:ea typeface="Calibri"/>
                <a:cs typeface="Lucida Sans"/>
              </a:rPr>
              <a:t>2024</a:t>
            </a:r>
            <a:r>
              <a:rPr lang="zh-CN" sz="1400" b="0" i="0" u="none" strike="noStrike" baseline="0">
                <a:solidFill>
                  <a:srgbClr val="333333"/>
                </a:solidFill>
                <a:latin typeface="宋体"/>
                <a:ea typeface="宋体"/>
                <a:cs typeface="Lucida Sans"/>
              </a:rPr>
              <a:t>年</a:t>
            </a:r>
            <a:r>
              <a:rPr lang="zh-CN" sz="1400" b="0" i="0" u="none" strike="noStrike" baseline="0">
                <a:solidFill>
                  <a:srgbClr val="333333"/>
                </a:solidFill>
                <a:latin typeface="宋体"/>
                <a:ea typeface="宋体"/>
                <a:cs typeface="Lucida Sans"/>
              </a:rPr>
              <a:t>一般公共预算财政拨款支出(万元）</a:t>
            </a:r>
          </a:p>
        </c:rich>
      </c:tx>
      <c:layout>
        <c:manualLayout>
          <c:xMode val="edge"/>
          <c:yMode val="edge"/>
          <c:x val="0.10300594"/>
          <c:y val="0.007843138"/>
        </c:manualLayout>
      </c:layout>
      <c:overlay val="0"/>
      <c:spPr>
        <a:noFill/>
        <a:ln>
          <a:noFill/>
        </a:ln>
      </c:spPr>
    </c:title>
    <c:autoTitleDeleted val="1"/>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noFill/>
        <a:ln>
          <a:noFill/>
        </a:ln>
      </c:spPr>
    </c:backWall>
    <c:plotArea>
      <c:layout>
        <c:manualLayout>
          <c:layoutTarget val="inner"/>
          <c:xMode val="edge"/>
          <c:yMode val="edge"/>
          <c:x val="0.099938735"/>
          <c:y val="0.32393727"/>
          <c:w val="0.80586636"/>
          <c:h val="0.47186404"/>
        </c:manualLayout>
      </c:layout>
      <c:pie3DChart>
        <c:varyColors val="1"/>
        <c:ser>
          <c:idx val="0"/>
          <c:order val="0"/>
          <c:tx>
            <c:v>一般公共预算财政拨款支出(万元）</c:v>
          </c:tx>
          <c:spPr>
            <a:solidFill>
              <a:srgbClr val="4F81BD"/>
            </a:solidFill>
          </c:spPr>
          <c:dPt>
            <c:idx val="0"/>
            <c:bubble3D val="0"/>
            <c:explosion val="0"/>
            <c:spPr>
              <a:solidFill>
                <a:srgbClr val="4F81BD"/>
              </a:solidFill>
              <a:ln w="25400">
                <a:solidFill>
                  <a:srgbClr val="FFFFFF"/>
                </a:solidFill>
                <a:prstDash val="solid"/>
              </a:ln>
            </c:spPr>
          </c:dPt>
          <c:dPt>
            <c:idx val="1"/>
            <c:bubble3D val="0"/>
            <c:explosion val="0"/>
            <c:spPr>
              <a:solidFill>
                <a:srgbClr val="C0504D"/>
              </a:solidFill>
              <a:ln w="25400">
                <a:solidFill>
                  <a:srgbClr val="FFFFFF"/>
                </a:solidFill>
                <a:prstDash val="solid"/>
              </a:ln>
            </c:spPr>
          </c:dPt>
          <c:dPt>
            <c:idx val="2"/>
            <c:bubble3D val="0"/>
            <c:explosion val="0"/>
            <c:spPr>
              <a:solidFill>
                <a:srgbClr val="9BBB59"/>
              </a:solidFill>
              <a:ln w="2540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3"/>
              <c:pt idx="0">
                <c:v>社会保障和就业支出</c:v>
              </c:pt>
              <c:pt idx="1">
                <c:v>卫生健康支出</c:v>
              </c:pt>
              <c:pt idx="2">
                <c:v>住房保障支出</c:v>
              </c:pt>
            </c:strLit>
          </c:cat>
          <c:val>
            <c:numRef>
              <c:f/>
              <c:numCache>
                <c:formatCode>General</c:formatCode>
                <c:ptCount val="3"/>
                <c:pt idx="0">
                  <c:v>56.35</c:v>
                </c:pt>
                <c:pt idx="1">
                  <c:v>317.35</c:v>
                </c:pt>
                <c:pt idx="2">
                  <c:v>18.88</c:v>
                </c:pt>
              </c:numCache>
            </c:numRef>
          </c:val>
        </c:ser>
        <c:gapDepth val="150"/>
        <c:firstSliceAng val="0"/>
      </c:pie3D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noFill/>
        <a:ln>
          <a:noFill/>
        </a:ln>
      </c:spPr>
    </c:backWall>
    <c:plotArea>
      <c:layout/>
      <c:pie3DChart>
        <c:varyColors val="1"/>
        <c:ser>
          <c:idx val="0"/>
          <c:order val="0"/>
          <c:tx>
            <c:v>2024年“三公”经费财政拨款支出（万元）</c:v>
          </c:tx>
          <c:spPr>
            <a:solidFill>
              <a:srgbClr val="4F81BD"/>
            </a:solidFill>
          </c:spPr>
          <c:dPt>
            <c:idx val="0"/>
            <c:bubble3D val="0"/>
            <c:explosion val="0"/>
            <c:spPr>
              <a:solidFill>
                <a:srgbClr val="4F81BD"/>
              </a:solidFill>
              <a:ln w="25400">
                <a:solidFill>
                  <a:srgbClr val="FFFFFF"/>
                </a:solidFill>
                <a:prstDash val="solid"/>
              </a:ln>
            </c:spPr>
          </c:dPt>
          <c:dPt>
            <c:idx val="1"/>
            <c:bubble3D val="0"/>
            <c:explosion val="0"/>
            <c:spPr>
              <a:solidFill>
                <a:srgbClr val="C0504D"/>
              </a:solidFill>
              <a:ln w="25400">
                <a:solidFill>
                  <a:srgbClr val="FFFFFF"/>
                </a:solidFill>
                <a:prstDash val="solid"/>
              </a:ln>
            </c:spPr>
          </c:dPt>
          <c:dPt>
            <c:idx val="2"/>
            <c:bubble3D val="0"/>
            <c:explosion val="0"/>
            <c:spPr>
              <a:solidFill>
                <a:srgbClr val="9BBB59"/>
              </a:solidFill>
              <a:ln w="25400">
                <a:solidFill>
                  <a:srgbClr val="FFFFFF"/>
                </a:solidFill>
                <a:prstDash val="solid"/>
              </a:ln>
            </c:spPr>
          </c:dPt>
          <c:dPt>
            <c:idx val="3"/>
            <c:bubble3D val="0"/>
            <c:explosion val="0"/>
            <c:spPr>
              <a:solidFill>
                <a:srgbClr val="8064A2"/>
              </a:solidFill>
              <a:ln w="2540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4"/>
              <c:pt idx="0">
                <c:v>因公出国（境）费支出</c:v>
              </c:pt>
              <c:pt idx="1">
                <c:v>公务用车购置及运行维护费支出</c:v>
              </c:pt>
              <c:pt idx="2">
                <c:v>公务接待费支出</c:v>
              </c:pt>
            </c:strLit>
          </c:cat>
          <c:val>
            <c:numRef>
              <c:f/>
              <c:numCache>
                <c:formatCode>General</c:formatCode>
                <c:ptCount val="4"/>
                <c:pt idx="1">
                  <c:v>1.31</c:v>
                </c:pt>
              </c:numCache>
            </c:numRef>
          </c:val>
        </c:ser>
        <c:gapDepth val="150"/>
        <c:firstSliceAng val="0"/>
      </c:pie3D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3"/>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TotalTime>
  <Application>Yozo_Office27021597764231179</Application>
  <Pages>19</Pages>
  <Words>5228</Words>
  <Characters>5745</Characters>
  <Lines>332</Lines>
  <Paragraphs>139</Paragraphs>
  <CharactersWithSpaces>5880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2025-08-06T17:34:00Z</cp:lastPrinted>
  <dcterms:created xsi:type="dcterms:W3CDTF">2020-08-09T09:49:00Z</dcterms:created>
  <dcterms:modified xsi:type="dcterms:W3CDTF">2025-09-11T07:45:39Z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eyJoZGlkIjoiYWYxZDIxY2U1NTU1ZjRlZGNmYzg1MTM3ZDE3MTQzM2UiLCJ1c2VySWQiOiIxNjg0ODA1MDIxIn0=</vt:lpwstr>
  </property>
</Properties>
</file>