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Times New Roman" w:eastAsia="方正小标宋简体" w:cs="Times New Roman" w:hAnsi="Times New Roman"/>
          <w:szCs w:val="21"/>
        </w:rPr>
      </w:pPr>
      <w:bookmarkStart w:id="0" w:name="_Toc15306267"/>
    </w:p>
    <w:p>
      <w:pPr>
        <w:spacing w:line="600" w:lineRule="exact"/>
        <w:jc w:val="center"/>
        <w:outlineLvl w:val="0"/>
        <w:rPr>
          <w:rFonts w:ascii="Times New Roman" w:eastAsia="方正小标宋简体" w:cs="Times New Roman" w:hAnsi="Times New Roman"/>
          <w:sz w:val="72"/>
          <w:szCs w:val="72"/>
        </w:rPr>
      </w:pPr>
    </w:p>
    <w:p>
      <w:pPr>
        <w:spacing w:line="600" w:lineRule="exact"/>
        <w:jc w:val="center"/>
        <w:outlineLvl w:val="0"/>
        <w:rPr>
          <w:rFonts w:ascii="Times New Roman" w:eastAsia="方正小标宋简体" w:cs="Times New Roman" w:hAnsi="Times New Roman"/>
          <w:sz w:val="72"/>
          <w:szCs w:val="72"/>
        </w:rPr>
      </w:pPr>
    </w:p>
    <w:p>
      <w:pPr>
        <w:adjustRightInd w:val="0"/>
        <w:snapToGrid w:val="0"/>
        <w:spacing w:line="360" w:lineRule="auto"/>
        <w:jc w:val="center"/>
        <w:outlineLvl w:val="0"/>
        <w:rPr>
          <w:rFonts w:ascii="Times New Roman" w:eastAsia="方正小标宋简体" w:cs="Times New Roman" w:hAnsi="Times New Roman"/>
          <w:sz w:val="72"/>
          <w:szCs w:val="72"/>
        </w:rPr>
      </w:pPr>
      <w:bookmarkStart w:id="1" w:name="_Toc15377193"/>
      <w:bookmarkStart w:id="2" w:name="_Toc15396475"/>
      <w:bookmarkStart w:id="3" w:name="_Toc15396597"/>
      <w:bookmarkStart w:id="4" w:name="_Toc15377425"/>
      <w:bookmarkStart w:id="5" w:name="_Toc15378441"/>
      <w:r>
        <w:rPr>
          <w:rFonts w:ascii="Times New Roman" w:eastAsia="方正小标宋简体" w:cs="Times New Roman" w:hAnsi="Times New Roman"/>
          <w:sz w:val="72"/>
          <w:szCs w:val="72"/>
        </w:rPr>
        <w:t>2022年度</w:t>
      </w:r>
      <w:bookmarkEnd w:id="1"/>
      <w:bookmarkEnd w:id="2"/>
      <w:bookmarkEnd w:id="3"/>
      <w:bookmarkEnd w:id="4"/>
      <w:bookmarkEnd w:id="5"/>
    </w:p>
    <w:p>
      <w:pPr>
        <w:adjustRightInd w:val="0"/>
        <w:snapToGrid w:val="0"/>
        <w:spacing w:line="360" w:lineRule="auto"/>
        <w:jc w:val="center"/>
        <w:outlineLvl w:val="0"/>
        <w:rPr>
          <w:rFonts w:ascii="Times New Roman" w:eastAsia="方正小标宋简体" w:cs="Times New Roman" w:hAnsi="Times New Roman"/>
          <w:sz w:val="72"/>
          <w:szCs w:val="72"/>
        </w:rPr>
      </w:pPr>
      <w:bookmarkStart w:id="6" w:name="_Toc15378442"/>
      <w:bookmarkStart w:id="7" w:name="_Toc15396598"/>
      <w:bookmarkStart w:id="8" w:name="_Toc15377194"/>
      <w:bookmarkStart w:id="9" w:name="_Toc15396476"/>
      <w:bookmarkStart w:id="10" w:name="_Toc15377426"/>
      <w:r>
        <w:rPr>
          <w:rFonts w:ascii="Times New Roman" w:eastAsia="方正小标宋简体" w:cs="Times New Roman" w:hAnsi="Times New Roman"/>
          <w:sz w:val="72"/>
          <w:szCs w:val="72"/>
        </w:rPr>
        <w:t>攀枝花</w:t>
      </w:r>
      <w:bookmarkStart w:id="11" w:name="_Toc15306268"/>
      <w:bookmarkEnd w:id="0"/>
      <w:r>
        <w:rPr>
          <w:rFonts w:ascii="Times New Roman" w:eastAsia="方正小标宋简体" w:cs="Times New Roman" w:hAnsi="Times New Roman"/>
          <w:sz w:val="72"/>
          <w:szCs w:val="72"/>
          <w:lang w:eastAsia="zh-CN"/>
        </w:rPr>
        <w:t>市紧急医学救援中心</w:t>
      </w:r>
      <w:r>
        <w:rPr>
          <w:rFonts w:ascii="Times New Roman" w:eastAsia="方正小标宋简体" w:cs="Times New Roman" w:hAnsi="Times New Roman"/>
          <w:sz w:val="72"/>
          <w:szCs w:val="72"/>
        </w:rPr>
        <w:t>单位决算</w:t>
      </w:r>
      <w:bookmarkEnd w:id="6"/>
      <w:bookmarkEnd w:id="7"/>
      <w:bookmarkEnd w:id="8"/>
      <w:bookmarkEnd w:id="9"/>
      <w:bookmarkEnd w:id="10"/>
      <w:bookmarkEnd w:id="11"/>
    </w:p>
    <w:p>
      <w:pPr>
        <w:widowControl/>
        <w:jc w:val="center"/>
        <w:rPr>
          <w:rFonts w:ascii="Times New Roman" w:eastAsia="黑体" w:cs="Times New Roman" w:hAnsi="Times New Roman"/>
          <w:sz w:val="48"/>
          <w:szCs w:val="48"/>
        </w:rPr>
      </w:pPr>
      <w:r>
        <w:rPr>
          <w:rFonts w:ascii="Times New Roman" w:eastAsia="方正小标宋简体" w:cs="Times New Roman" w:hAnsi="Times New Roman"/>
          <w:sz w:val="36"/>
          <w:szCs w:val="36"/>
        </w:rPr>
        <w:br w:type="page"/>
      </w:r>
      <w:r>
        <w:rPr>
          <w:rFonts w:ascii="Times New Roman" w:eastAsia="黑体" w:cs="Times New Roman" w:hAnsi="Times New Roman"/>
          <w:sz w:val="48"/>
          <w:szCs w:val="48"/>
        </w:rPr>
        <w:t>目录</w:t>
      </w:r>
    </w:p>
    <w:p>
      <w:pPr>
        <w:widowControl/>
        <w:jc w:val="center"/>
        <w:rPr>
          <w:rFonts w:ascii="Times New Roman" w:eastAsia="黑体" w:cs="Times New Roman" w:hAnsi="Times New Roman"/>
          <w:sz w:val="28"/>
          <w:szCs w:val="28"/>
        </w:rPr>
      </w:pPr>
    </w:p>
    <w:p>
      <w:pPr>
        <w:pStyle w:val="20"/>
        <w:tabs>
          <w:tab w:val="right" w:leader="dot" w:pos="8296"/>
        </w:tabs>
        <w:rPr>
          <w:rFonts w:ascii="Times New Roman" w:cs="Times New Roman" w:hAnsi="Times New Roman"/>
        </w:rPr>
      </w:pPr>
      <w:r>
        <w:rPr>
          <w:rFonts w:ascii="Times New Roman" w:cs="Times New Roman" w:hAnsi="Times New Roman"/>
        </w:rPr>
        <w:t>公开时间：2023年</w:t>
      </w:r>
      <w:r>
        <w:rPr>
          <w:rFonts w:ascii="Times New Roman" w:cs="Times New Roman" w:hAnsi="Times New Roman"/>
          <w:lang w:val="en-US" w:eastAsia="zh-CN"/>
        </w:rPr>
        <w:t>9</w:t>
      </w:r>
      <w:r>
        <w:rPr>
          <w:rFonts w:ascii="Times New Roman" w:cs="Times New Roman" w:hAnsi="Times New Roman"/>
        </w:rPr>
        <w:t>月</w:t>
      </w:r>
      <w:r>
        <w:rPr>
          <w:rFonts w:ascii="Times New Roman" w:cs="Times New Roman" w:hAnsi="Times New Roman"/>
          <w:lang w:val="en-US" w:eastAsia="zh-CN"/>
        </w:rPr>
        <w:t>1</w:t>
      </w:r>
      <w:r>
        <w:rPr>
          <w:rFonts w:ascii="Times New Roman" w:cs="Times New Roman" w:hAnsi="Times New Roman" w:hint="eastAsia"/>
          <w:lang w:val="en-US" w:eastAsia="zh-CN"/>
        </w:rPr>
        <w:t>4</w:t>
      </w:r>
      <w:r>
        <w:rPr>
          <w:rFonts w:ascii="Times New Roman" w:cs="Times New Roman" w:hAnsi="Times New Roman"/>
        </w:rPr>
        <w:t>日</w:t>
      </w:r>
    </w:p>
    <w:p>
      <w:pPr>
        <w:rPr>
          <w:rFonts w:ascii="Times New Roman" w:cs="Times New Roman" w:hAnsi="Times New Roman"/>
        </w:rPr>
      </w:pPr>
    </w:p>
    <w:p>
      <w:pPr>
        <w:pStyle w:val="20"/>
        <w:tabs>
          <w:tab w:val="right" w:leader="dot" w:pos="8296"/>
        </w:tabs>
        <w:adjustRightInd w:val="0"/>
        <w:snapToGrid w:val="0"/>
        <w:spacing w:before="0" w:line="440" w:lineRule="exact"/>
        <w:jc w:val="left"/>
        <w:rPr>
          <w:rFonts w:ascii="Times New Roman" w:eastAsia="仿宋" w:cs="Times New Roman" w:hAnsi="Times New Roman"/>
          <w:sz w:val="24"/>
          <w:szCs w:val="24"/>
          <w:lang w:val="en-US" w:eastAsia="zh-CN"/>
        </w:rPr>
      </w:pPr>
      <w:r>
        <w:rPr>
          <w:rFonts w:ascii="Times New Roman" w:eastAsia="宋体" w:cs="Times New Roman" w:hAnsi="Times New Roman"/>
          <w:kern w:val="2"/>
          <w:sz w:val="24"/>
          <w:szCs w:val="24"/>
          <w:lang w:val="en-US" w:eastAsia="zh-CN" w:bidi="ar-SA"/>
        </w:rPr>
        <w:t>第一部分 单位概况</w:t>
      </w:r>
      <w:r>
        <w:rPr>
          <w:rFonts w:ascii="Times New Roman" w:cs="Times New Roman" w:hAnsi="Times New Roman"/>
          <w:sz w:val="24"/>
          <w:szCs w:val="24"/>
        </w:rPr>
        <w:tab/>
      </w:r>
      <w:r>
        <w:rPr>
          <w:rFonts w:ascii="Times New Roman" w:cs="Times New Roman" w:hAnsi="Times New Roman"/>
          <w:sz w:val="24"/>
          <w:szCs w:val="24"/>
          <w:lang w:val="en-US" w:eastAsia="zh-CN"/>
        </w:rPr>
        <w:t>4</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一、主要职责</w:t>
        <w:tab/>
      </w:r>
      <w:r>
        <w:rPr>
          <w:rFonts w:ascii="Times New Roman" w:cs="Times New Roman" w:hAnsi="Times New Roman"/>
          <w:sz w:val="24"/>
          <w:lang w:val="en-US" w:eastAsia="zh-CN"/>
        </w:rPr>
        <w:t>4</w:t>
      </w:r>
    </w:p>
    <w:p>
      <w:pPr>
        <w:pStyle w:val="21"/>
        <w:tabs>
          <w:tab w:val="right" w:leader="dot" w:pos="8296"/>
        </w:tabs>
        <w:adjustRightInd w:val="0"/>
        <w:snapToGrid w:val="0"/>
        <w:spacing w:line="440" w:lineRule="exact"/>
        <w:jc w:val="left"/>
        <w:rPr>
          <w:rFonts w:ascii="Times New Roman" w:cs="Times New Roman" w:hAnsi="Times New Roman"/>
        </w:rPr>
      </w:pPr>
      <w:r>
        <w:rPr>
          <w:rFonts w:ascii="Times New Roman" w:cs="Times New Roman" w:hAnsi="Times New Roman"/>
          <w:sz w:val="24"/>
        </w:rPr>
        <w:t>二、机构设置</w:t>
        <w:tab/>
      </w:r>
      <w:r>
        <w:rPr>
          <w:rFonts w:ascii="Times New Roman" w:cs="Times New Roman" w:hAnsi="Times New Roman"/>
          <w:sz w:val="24"/>
          <w:lang w:val="en-US" w:eastAsia="zh-CN"/>
        </w:rPr>
        <w:t>4</w:t>
      </w:r>
    </w:p>
    <w:p>
      <w:pPr>
        <w:pStyle w:val="20"/>
        <w:tabs>
          <w:tab w:val="right" w:leader="dot" w:pos="8296"/>
        </w:tabs>
        <w:adjustRightInd w:val="0"/>
        <w:snapToGrid w:val="0"/>
        <w:spacing w:before="0" w:line="440" w:lineRule="exact"/>
        <w:jc w:val="left"/>
        <w:rPr>
          <w:rFonts w:ascii="Times New Roman" w:cs="Times New Roman" w:hAnsi="Times New Roman"/>
          <w:sz w:val="24"/>
          <w:szCs w:val="24"/>
        </w:rPr>
      </w:pPr>
      <w:r>
        <w:rPr>
          <w:rFonts w:ascii="Times New Roman" w:eastAsia="宋体" w:cs="Times New Roman" w:hAnsi="Times New Roman"/>
          <w:kern w:val="2"/>
          <w:sz w:val="24"/>
          <w:szCs w:val="24"/>
          <w:lang w:val="en-US" w:eastAsia="zh-CN" w:bidi="ar-SA"/>
        </w:rPr>
        <w:t>第二部分 2022年度单位决算情况说明</w:t>
      </w:r>
      <w:r>
        <w:rPr>
          <w:rFonts w:ascii="Times New Roman" w:cs="Times New Roman" w:hAnsi="Times New Roman"/>
          <w:sz w:val="24"/>
        </w:rPr>
        <w:tab/>
      </w:r>
      <w:r>
        <w:rPr>
          <w:rFonts w:ascii="Times New Roman" w:cs="Times New Roman" w:hAnsi="Times New Roman"/>
          <w:sz w:val="24"/>
          <w:lang w:val="en-US" w:eastAsia="zh-CN"/>
        </w:rPr>
        <w:t>4</w:t>
      </w:r>
    </w:p>
    <w:p>
      <w:pPr>
        <w:pStyle w:val="21"/>
        <w:tabs>
          <w:tab w:val="right" w:leader="dot" w:pos="8296"/>
        </w:tabs>
        <w:adjustRightInd w:val="0"/>
        <w:snapToGrid w:val="0"/>
        <w:spacing w:line="440" w:lineRule="exact"/>
        <w:jc w:val="left"/>
        <w:rPr>
          <w:rFonts w:ascii="Times New Roman" w:cs="Times New Roman" w:hAnsi="Times New Roman"/>
          <w:sz w:val="24"/>
          <w:lang w:val="en-US" w:eastAsia="zh-CN"/>
        </w:rPr>
      </w:pPr>
      <w:r>
        <w:rPr>
          <w:rFonts w:ascii="Times New Roman" w:cs="Times New Roman" w:hAnsi="Times New Roman"/>
          <w:sz w:val="24"/>
        </w:rPr>
        <w:t>一、收入支出决算总体情况说明</w:t>
        <w:tab/>
      </w:r>
      <w:r>
        <w:rPr>
          <w:rFonts w:ascii="Times New Roman" w:cs="Times New Roman" w:hAnsi="Times New Roman"/>
          <w:sz w:val="24"/>
          <w:lang w:val="en-US" w:eastAsia="zh-CN"/>
        </w:rPr>
        <w:t>4</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二、收入决算情况说明</w:t>
        <w:tab/>
      </w:r>
      <w:r>
        <w:rPr>
          <w:rFonts w:ascii="Times New Roman" w:cs="Times New Roman" w:hAnsi="Times New Roman"/>
          <w:sz w:val="24"/>
          <w:lang w:val="en-US" w:eastAsia="zh-CN"/>
        </w:rPr>
        <w:t>5</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三、支出决算情况说明</w:t>
        <w:tab/>
      </w:r>
      <w:r>
        <w:rPr>
          <w:rFonts w:ascii="Times New Roman" w:cs="Times New Roman" w:hAnsi="Times New Roman"/>
          <w:sz w:val="24"/>
          <w:lang w:val="en-US" w:eastAsia="zh-CN"/>
        </w:rPr>
        <w:t>5</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四、财政拨款收入支出决算总体情况说明</w:t>
        <w:tab/>
      </w:r>
      <w:r>
        <w:rPr>
          <w:rFonts w:ascii="Times New Roman" w:cs="Times New Roman" w:hAnsi="Times New Roman"/>
          <w:sz w:val="24"/>
          <w:lang w:val="en-US" w:eastAsia="zh-CN"/>
        </w:rPr>
        <w:t>6</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五、一般公共预算财政拨款支出决算情况说明</w:t>
        <w:tab/>
      </w:r>
      <w:r>
        <w:rPr>
          <w:rFonts w:ascii="Times New Roman" w:cs="Times New Roman" w:hAnsi="Times New Roman"/>
          <w:sz w:val="24"/>
          <w:lang w:val="en-US" w:eastAsia="zh-CN"/>
        </w:rPr>
        <w:t>7</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六、一般公共预算财政拨款基本支出决算情况说明</w:t>
        <w:tab/>
      </w:r>
      <w:r>
        <w:rPr>
          <w:rFonts w:ascii="Times New Roman" w:cs="Times New Roman" w:hAnsi="Times New Roman"/>
          <w:sz w:val="24"/>
          <w:lang w:val="en-US" w:eastAsia="zh-CN"/>
        </w:rPr>
        <w:t>9</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七、财政拨款“三公”经费支出决算情况说明</w:t>
        <w:tab/>
      </w:r>
      <w:r>
        <w:rPr>
          <w:rFonts w:ascii="Times New Roman" w:cs="Times New Roman" w:hAnsi="Times New Roman"/>
          <w:sz w:val="24"/>
          <w:lang w:val="en-US" w:eastAsia="zh-CN"/>
        </w:rPr>
        <w:t>10</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八、政府性基金预算支出决算情况说明</w:t>
        <w:tab/>
      </w:r>
      <w:r>
        <w:rPr>
          <w:rFonts w:ascii="Times New Roman" w:cs="Times New Roman" w:hAnsi="Times New Roman"/>
          <w:sz w:val="24"/>
          <w:lang w:val="en-US" w:eastAsia="zh-CN"/>
        </w:rPr>
        <w:t>11</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九、国有资本经营预算支出决算情况说明</w:t>
        <w:tab/>
      </w:r>
      <w:r>
        <w:rPr>
          <w:rFonts w:ascii="Times New Roman" w:cs="Times New Roman" w:hAnsi="Times New Roman"/>
          <w:sz w:val="24"/>
          <w:lang w:val="en-US" w:eastAsia="zh-CN"/>
        </w:rPr>
        <w:t>11</w:t>
      </w:r>
    </w:p>
    <w:p>
      <w:pPr>
        <w:pStyle w:val="21"/>
        <w:tabs>
          <w:tab w:val="right" w:leader="dot" w:pos="8296"/>
        </w:tabs>
        <w:adjustRightInd w:val="0"/>
        <w:snapToGrid w:val="0"/>
        <w:spacing w:line="440" w:lineRule="exact"/>
        <w:jc w:val="left"/>
        <w:rPr>
          <w:rFonts w:ascii="Times New Roman" w:eastAsia="宋体" w:cs="Times New Roman" w:hAnsi="Times New Roman"/>
          <w:sz w:val="24"/>
          <w:lang w:val="en-US" w:eastAsia="zh-CN"/>
        </w:rPr>
      </w:pPr>
      <w:r>
        <w:rPr>
          <w:rFonts w:ascii="Times New Roman" w:cs="Times New Roman" w:hAnsi="Times New Roman"/>
          <w:sz w:val="24"/>
        </w:rPr>
        <w:t>十、其他重要事项的情况说明</w:t>
        <w:tab/>
      </w:r>
      <w:r>
        <w:rPr>
          <w:rFonts w:ascii="Times New Roman" w:cs="Times New Roman" w:hAnsi="Times New Roman"/>
          <w:sz w:val="24"/>
          <w:lang w:val="en-US" w:eastAsia="zh-CN"/>
        </w:rPr>
        <w:t>11</w:t>
      </w:r>
    </w:p>
    <w:p>
      <w:pPr>
        <w:pStyle w:val="20"/>
        <w:tabs>
          <w:tab w:val="right" w:leader="dot" w:pos="8296"/>
        </w:tabs>
        <w:adjustRightInd w:val="0"/>
        <w:snapToGrid w:val="0"/>
        <w:spacing w:before="0" w:line="440" w:lineRule="exact"/>
        <w:jc w:val="left"/>
        <w:rPr>
          <w:rFonts w:ascii="Times New Roman" w:eastAsia="宋体" w:cs="Times New Roman" w:hAnsi="Times New Roman"/>
          <w:kern w:val="2"/>
          <w:sz w:val="24"/>
          <w:szCs w:val="24"/>
          <w:lang w:val="en-US" w:eastAsia="zh-CN" w:bidi="ar-SA"/>
        </w:rPr>
      </w:pPr>
      <w:r>
        <w:rPr>
          <w:rFonts w:ascii="Times New Roman" w:eastAsia="宋体" w:cs="Times New Roman" w:hAnsi="Times New Roman"/>
          <w:kern w:val="2"/>
          <w:sz w:val="24"/>
          <w:szCs w:val="24"/>
          <w:lang w:val="en-US" w:eastAsia="zh-CN" w:bidi="ar-SA"/>
        </w:rPr>
        <w:t>第三部分 名词解释</w:t>
        <w:tab/>
        <w:t>13</w:t>
      </w:r>
    </w:p>
    <w:p>
      <w:pPr>
        <w:pStyle w:val="20"/>
        <w:tabs>
          <w:tab w:val="right" w:leader="dot" w:pos="8296"/>
        </w:tabs>
        <w:adjustRightInd w:val="0"/>
        <w:snapToGrid w:val="0"/>
        <w:spacing w:before="0" w:line="440" w:lineRule="exact"/>
        <w:jc w:val="left"/>
        <w:rPr>
          <w:rFonts w:ascii="Times New Roman" w:eastAsia="宋体" w:cs="Times New Roman" w:hAnsi="Times New Roman"/>
          <w:kern w:val="2"/>
          <w:sz w:val="24"/>
          <w:szCs w:val="24"/>
          <w:lang w:val="en-US" w:eastAsia="zh-CN" w:bidi="ar-SA"/>
        </w:rPr>
      </w:pPr>
      <w:r>
        <w:rPr>
          <w:rFonts w:ascii="Times New Roman" w:eastAsia="宋体" w:cs="Times New Roman" w:hAnsi="Times New Roman"/>
          <w:kern w:val="2"/>
          <w:sz w:val="24"/>
          <w:szCs w:val="24"/>
          <w:lang w:val="en-US" w:eastAsia="zh-CN" w:bidi="ar-SA"/>
        </w:rPr>
        <w:t>第四部分 附件</w:t>
        <w:tab/>
        <w:t>15</w:t>
      </w:r>
    </w:p>
    <w:p>
      <w:pPr>
        <w:pStyle w:val="20"/>
        <w:tabs>
          <w:tab w:val="right" w:leader="dot" w:pos="8296"/>
        </w:tabs>
        <w:adjustRightInd w:val="0"/>
        <w:snapToGrid w:val="0"/>
        <w:spacing w:before="0" w:line="440" w:lineRule="exact"/>
        <w:jc w:val="left"/>
        <w:rPr>
          <w:rFonts w:ascii="Times New Roman" w:eastAsia="仿宋" w:cs="Times New Roman" w:hAnsi="Times New Roman"/>
          <w:sz w:val="24"/>
          <w:szCs w:val="24"/>
          <w:lang w:val="en-US" w:eastAsia="zh-CN"/>
        </w:rPr>
      </w:pPr>
      <w:r>
        <w:rPr>
          <w:rFonts w:ascii="Times New Roman" w:eastAsia="宋体" w:cs="Times New Roman" w:hAnsi="Times New Roman"/>
          <w:kern w:val="2"/>
          <w:sz w:val="24"/>
          <w:szCs w:val="24"/>
          <w:lang w:val="en-US" w:eastAsia="zh-CN" w:bidi="ar-SA"/>
        </w:rPr>
        <w:t>第五部分 附表</w:t>
      </w:r>
      <w:r>
        <w:rPr>
          <w:rFonts w:ascii="Times New Roman" w:cs="Times New Roman" w:hAnsi="Times New Roman"/>
          <w:sz w:val="24"/>
        </w:rPr>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一、收入支出决算总表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二、收入决算表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三、支出决算表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四、财政拨款收入支出决算总表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五、财政拨款支出决算明细表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六、一般公共预算财政拨款支出决算表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七、一般公共预算财政拨款支出决算明细表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八、一般公共预算财政拨款基本支出决算明细表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九、一般公共预算财政拨款项目支出决算表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十、政府性基金预算财政拨款收入支出决算表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十一、国有资本经营预算财政拨款收入支出决算表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十二、国有资本经营预算财政拨款支出决算表</w:t>
        <w:tab/>
      </w:r>
      <w:r>
        <w:rPr>
          <w:rFonts w:ascii="Times New Roman" w:cs="Times New Roman" w:hAnsi="Times New Roman"/>
          <w:sz w:val="24"/>
          <w:lang w:val="en-US" w:eastAsia="zh-CN"/>
        </w:rPr>
        <w:t>16</w:t>
      </w:r>
    </w:p>
    <w:p>
      <w:pPr>
        <w:pStyle w:val="21"/>
        <w:tabs>
          <w:tab w:val="right" w:leader="dot" w:pos="8296"/>
        </w:tabs>
        <w:adjustRightInd w:val="0"/>
        <w:snapToGrid w:val="0"/>
        <w:spacing w:line="440" w:lineRule="exact"/>
        <w:jc w:val="left"/>
        <w:rPr>
          <w:rFonts w:ascii="Times New Roman" w:cs="Times New Roman" w:hAnsi="Times New Roman"/>
          <w:sz w:val="24"/>
        </w:rPr>
      </w:pPr>
      <w:r>
        <w:rPr>
          <w:rFonts w:ascii="Times New Roman" w:cs="Times New Roman" w:hAnsi="Times New Roman"/>
          <w:sz w:val="24"/>
        </w:rPr>
        <w:t>十三、财政拨款“三公”经费支出决算表</w:t>
        <w:tab/>
      </w:r>
      <w:r>
        <w:rPr>
          <w:rFonts w:ascii="Times New Roman" w:cs="Times New Roman" w:hAnsi="Times New Roman"/>
          <w:sz w:val="24"/>
          <w:lang w:val="en-US" w:eastAsia="zh-CN"/>
        </w:rPr>
        <w:t>16</w:t>
      </w:r>
    </w:p>
    <w:p>
      <w:pPr>
        <w:widowControl/>
        <w:spacing w:line="440" w:lineRule="exact"/>
        <w:jc w:val="left"/>
        <w:rPr>
          <w:rFonts w:ascii="Times New Roman" w:eastAsia="仿宋" w:cs="Times New Roman" w:hAnsi="Times New Roman"/>
          <w:bCs/>
          <w:kern w:val="44"/>
          <w:sz w:val="24"/>
        </w:rPr>
      </w:pPr>
      <w:bookmarkStart w:id="12" w:name="_Toc15377196"/>
      <w:bookmarkStart w:id="13" w:name="_Toc15396599"/>
      <w:r>
        <w:rPr>
          <w:rFonts w:ascii="Times New Roman" w:eastAsia="仿宋" w:cs="Times New Roman" w:hAnsi="Times New Roman"/>
          <w:b/>
          <w:sz w:val="24"/>
        </w:rPr>
        <w:br w:type="page"/>
      </w:r>
    </w:p>
    <w:p>
      <w:pPr>
        <w:pStyle w:val="1"/>
        <w:jc w:val="center"/>
        <w:rPr>
          <w:rStyle w:val="1Char"/>
          <w:rFonts w:ascii="Times New Roman" w:eastAsia="黑体" w:cs="Times New Roman" w:hAnsi="Times New Roman"/>
          <w:b/>
          <w:bCs w:val="0"/>
        </w:rPr>
      </w:pPr>
      <w:r>
        <w:rPr>
          <w:rFonts w:ascii="Times New Roman" w:eastAsia="黑体" w:cs="Times New Roman" w:hAnsi="Times New Roman"/>
          <w:b w:val="0"/>
        </w:rPr>
        <w:t>第一部分 单位</w:t>
      </w:r>
      <w:r>
        <w:rPr>
          <w:rStyle w:val="1Char"/>
          <w:rFonts w:ascii="Times New Roman" w:eastAsia="黑体" w:cs="Times New Roman" w:hAnsi="Times New Roman"/>
          <w:b w:val="0"/>
          <w:bCs w:val="0"/>
        </w:rPr>
        <w:t>概况</w:t>
      </w:r>
      <w:bookmarkEnd w:id="12"/>
      <w:bookmarkEnd w:id="13"/>
    </w:p>
    <w:p>
      <w:pPr>
        <w:widowControl/>
        <w:jc w:val="left"/>
        <w:rPr>
          <w:rFonts w:ascii="Times New Roman" w:eastAsia="黑体" w:cs="Times New Roman" w:hAnsi="Times New Roman"/>
          <w:sz w:val="32"/>
          <w:szCs w:val="32"/>
        </w:rPr>
      </w:pPr>
    </w:p>
    <w:p>
      <w:pPr>
        <w:pStyle w:val="2"/>
        <w:numPr>
          <w:ilvl w:val="0"/>
          <w:numId w:val="1"/>
        </w:numPr>
        <w:rPr>
          <w:rStyle w:val="2Char"/>
          <w:rFonts w:ascii="Times New Roman" w:eastAsia="黑体" w:cs="Times New Roman" w:hAnsi="Times New Roman"/>
          <w:b w:val="0"/>
          <w:bCs w:val="0"/>
        </w:rPr>
      </w:pPr>
      <w:bookmarkStart w:id="14" w:name="_Toc15396600"/>
      <w:bookmarkStart w:id="15" w:name="_Toc15377197"/>
      <w:r>
        <w:rPr>
          <w:rStyle w:val="2Char"/>
          <w:rFonts w:ascii="Times New Roman" w:eastAsia="黑体" w:cs="Times New Roman" w:hAnsi="Times New Roman"/>
          <w:b w:val="0"/>
          <w:bCs w:val="0"/>
        </w:rPr>
        <w:t>主要职责</w:t>
      </w:r>
    </w:p>
    <w:p>
      <w:pPr>
        <w:spacing w:line="600" w:lineRule="exact"/>
        <w:ind w:firstLineChars="200" w:firstLine="640"/>
        <w:rPr>
          <w:rFonts w:ascii="Times New Roman" w:eastAsia="仿宋" w:cs="Times New Roman" w:hAnsi="Times New Roman"/>
          <w:sz w:val="32"/>
          <w:szCs w:val="32"/>
          <w:lang w:eastAsia="zh-CN"/>
        </w:rPr>
      </w:pPr>
      <w:r>
        <w:rPr>
          <w:rFonts w:ascii="Times New Roman" w:eastAsia="仿宋" w:cs="Times New Roman" w:hAnsi="Times New Roman"/>
          <w:sz w:val="32"/>
          <w:szCs w:val="32"/>
          <w:lang w:eastAsia="zh-CN"/>
        </w:rPr>
        <w:t>承担日常院前急救和突发公共事件医疗救援的指挥调度；负责传染病人转运协调和危重病人转诊；开展院前急救培训；负责全市救护车的统一规范管理和医疗救援物资储备的日常管理；开展急诊急救质量控制等工作。</w:t>
      </w:r>
    </w:p>
    <w:p>
      <w:pPr>
        <w:pStyle w:val="2"/>
        <w:rPr>
          <w:rFonts w:ascii="Times New Roman" w:eastAsia="黑体" w:cs="Times New Roman" w:hAnsi="Times New Roman"/>
          <w:b w:val="0"/>
        </w:rPr>
      </w:pPr>
      <w:r>
        <w:rPr>
          <w:rFonts w:ascii="Times New Roman" w:eastAsia="黑体" w:cs="Times New Roman" w:hAnsi="Times New Roman"/>
          <w:b w:val="0"/>
        </w:rPr>
        <w:t>二、机构设置</w:t>
      </w:r>
    </w:p>
    <w:p>
      <w:pPr>
        <w:spacing w:line="600" w:lineRule="exact"/>
        <w:ind w:firstLineChars="200" w:firstLine="640"/>
        <w:rPr>
          <w:rFonts w:ascii="Times New Roman" w:eastAsia="仿宋" w:cs="Times New Roman" w:hAnsi="Times New Roman"/>
          <w:sz w:val="32"/>
          <w:szCs w:val="32"/>
        </w:rPr>
      </w:pPr>
      <w:bookmarkEnd w:id="14"/>
      <w:bookmarkEnd w:id="15"/>
      <w:r>
        <w:rPr>
          <w:rFonts w:ascii="Times New Roman" w:eastAsia="仿宋" w:cs="Times New Roman" w:hAnsi="Times New Roman"/>
          <w:sz w:val="32"/>
          <w:szCs w:val="32"/>
          <w:lang w:eastAsia="zh-CN"/>
        </w:rPr>
        <w:t>攀枝花市紧急医学救援中心</w:t>
      </w:r>
      <w:r>
        <w:rPr>
          <w:rFonts w:ascii="Times New Roman" w:eastAsia="仿宋" w:cs="Times New Roman" w:hAnsi="Times New Roman"/>
          <w:sz w:val="32"/>
          <w:szCs w:val="32"/>
        </w:rPr>
        <w:t>为公益一类事业单位</w:t>
      </w:r>
      <w:r>
        <w:rPr>
          <w:rFonts w:ascii="Times New Roman" w:eastAsia="仿宋" w:cs="Times New Roman" w:hAnsi="Times New Roman"/>
          <w:sz w:val="32"/>
          <w:szCs w:val="32"/>
          <w:lang w:eastAsia="zh-CN"/>
        </w:rPr>
        <w:t>，</w:t>
      </w:r>
      <w:r>
        <w:rPr>
          <w:rFonts w:ascii="Times New Roman" w:eastAsia="仿宋" w:cs="Times New Roman" w:hAnsi="Times New Roman"/>
          <w:sz w:val="32"/>
          <w:szCs w:val="32"/>
          <w:lang w:val="en-US" w:eastAsia="zh-CN"/>
        </w:rPr>
        <w:t>2022年无变化。</w:t>
      </w:r>
    </w:p>
    <w:p>
      <w:pPr>
        <w:pStyle w:val="1"/>
        <w:ind w:right="440"/>
        <w:jc w:val="center"/>
        <w:rPr>
          <w:rFonts w:ascii="Times New Roman" w:eastAsia="黑体" w:cs="Times New Roman" w:hAnsi="Times New Roman"/>
          <w:b w:val="0"/>
        </w:rPr>
      </w:pPr>
      <w:bookmarkStart w:id="16" w:name="_Toc15396602"/>
      <w:bookmarkStart w:id="17" w:name="_Toc15377204"/>
    </w:p>
    <w:p>
      <w:pPr>
        <w:pStyle w:val="1"/>
        <w:ind w:right="440"/>
        <w:jc w:val="center"/>
        <w:rPr>
          <w:rStyle w:val="1Char"/>
          <w:rFonts w:ascii="Times New Roman" w:eastAsia="黑体" w:cs="Times New Roman" w:hAnsi="Times New Roman"/>
          <w:b w:val="0"/>
          <w:bCs/>
        </w:rPr>
      </w:pPr>
      <w:r>
        <w:rPr>
          <w:rFonts w:ascii="Times New Roman" w:eastAsia="黑体" w:cs="Times New Roman" w:hAnsi="Times New Roman"/>
          <w:b w:val="0"/>
        </w:rPr>
        <w:t>第二部分 2022年度</w:t>
      </w:r>
      <w:r>
        <w:rPr>
          <w:rStyle w:val="1Char"/>
          <w:rFonts w:ascii="Times New Roman" w:eastAsia="黑体" w:cs="Times New Roman" w:hAnsi="Times New Roman"/>
          <w:b w:val="0"/>
          <w:bCs/>
        </w:rPr>
        <w:t>单位决算情况说明</w:t>
      </w:r>
      <w:bookmarkEnd w:id="16"/>
      <w:bookmarkEnd w:id="17"/>
    </w:p>
    <w:p>
      <w:pPr>
        <w:rPr>
          <w:rFonts w:ascii="Times New Roman" w:cs="Times New Roman" w:hAnsi="Times New Roman"/>
        </w:rPr>
      </w:pPr>
    </w:p>
    <w:p>
      <w:pPr>
        <w:pStyle w:val="28"/>
        <w:spacing w:line="600" w:lineRule="exact"/>
        <w:ind w:left="640"/>
        <w:outlineLvl w:val="1"/>
        <w:rPr>
          <w:rStyle w:val="2Char"/>
          <w:rFonts w:ascii="Times New Roman" w:eastAsia="黑体" w:cs="Times New Roman" w:hAnsi="Times New Roman"/>
          <w:b w:val="0"/>
        </w:rPr>
      </w:pPr>
      <w:bookmarkStart w:id="18" w:name="_Toc15396603"/>
      <w:bookmarkStart w:id="19" w:name="_Toc15377205"/>
      <w:r>
        <w:rPr>
          <w:rFonts w:ascii="Times New Roman" w:eastAsia="黑体" w:cs="Times New Roman" w:hAnsi="Times New Roman"/>
          <w:sz w:val="32"/>
          <w:szCs w:val="32"/>
          <w:lang w:val="en-US" w:eastAsia="zh-CN"/>
        </w:rPr>
        <w:t>一、</w:t>
      </w:r>
      <w:r>
        <w:rPr>
          <w:rFonts w:ascii="Times New Roman" w:eastAsia="黑体" w:cs="Times New Roman" w:hAnsi="Times New Roman"/>
          <w:sz w:val="32"/>
          <w:szCs w:val="32"/>
        </w:rPr>
        <w:t>收</w:t>
      </w:r>
      <w:r>
        <w:rPr>
          <w:rStyle w:val="2Char"/>
          <w:rFonts w:ascii="Times New Roman" w:eastAsia="黑体" w:cs="Times New Roman" w:hAnsi="Times New Roman"/>
          <w:b w:val="0"/>
        </w:rPr>
        <w:t>入支出决算总体情况说明</w:t>
      </w:r>
      <w:bookmarkEnd w:id="18"/>
      <w:bookmarkEnd w:id="19"/>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2022年度收、支总计</w:t>
      </w:r>
      <w:r>
        <w:rPr>
          <w:rFonts w:ascii="Times New Roman" w:eastAsia="仿宋" w:cs="Times New Roman" w:hAnsi="Times New Roman"/>
          <w:sz w:val="32"/>
          <w:szCs w:val="32"/>
          <w:lang w:val="en-US" w:eastAsia="zh-CN"/>
        </w:rPr>
        <w:t>252.24</w:t>
      </w:r>
      <w:r>
        <w:rPr>
          <w:rFonts w:ascii="Times New Roman" w:eastAsia="仿宋" w:cs="Times New Roman" w:hAnsi="Times New Roman"/>
          <w:sz w:val="32"/>
          <w:szCs w:val="32"/>
        </w:rPr>
        <w:t>万元。与2021年相比，收、支总计各增加</w:t>
      </w:r>
      <w:r>
        <w:rPr>
          <w:rFonts w:ascii="Times New Roman" w:eastAsia="仿宋" w:cs="Times New Roman" w:hAnsi="Times New Roman"/>
          <w:sz w:val="32"/>
          <w:szCs w:val="32"/>
          <w:lang w:val="en-US" w:eastAsia="zh-CN"/>
        </w:rPr>
        <w:t>27.39</w:t>
      </w:r>
      <w:r>
        <w:rPr>
          <w:rFonts w:ascii="Times New Roman" w:eastAsia="仿宋" w:cs="Times New Roman" w:hAnsi="Times New Roman"/>
          <w:sz w:val="32"/>
          <w:szCs w:val="32"/>
        </w:rPr>
        <w:t>万元，增长</w:t>
      </w:r>
      <w:r>
        <w:rPr>
          <w:rFonts w:ascii="Times New Roman" w:eastAsia="仿宋" w:cs="Times New Roman" w:hAnsi="Times New Roman"/>
          <w:sz w:val="32"/>
          <w:szCs w:val="32"/>
          <w:lang w:val="en-US" w:eastAsia="zh-CN"/>
        </w:rPr>
        <w:t>12.18</w:t>
      </w:r>
      <w:r>
        <w:rPr>
          <w:rFonts w:ascii="Times New Roman" w:eastAsia="仿宋" w:cs="Times New Roman" w:hAnsi="Times New Roman"/>
          <w:sz w:val="32"/>
          <w:szCs w:val="32"/>
        </w:rPr>
        <w:t>%。主要变动原因是</w:t>
      </w:r>
      <w:r>
        <w:rPr>
          <w:rFonts w:ascii="Times New Roman" w:eastAsia="仿宋" w:cs="Times New Roman" w:hAnsi="Times New Roman"/>
          <w:sz w:val="32"/>
          <w:szCs w:val="32"/>
          <w:lang w:val="en-US" w:eastAsia="zh-CN"/>
        </w:rPr>
        <w:t>人员增加，人员经费及公用经费增加</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（图1：收、支决算总计变动情况图）</w:t>
      </w:r>
    </w:p>
    <w:p>
      <w:pPr>
        <w:spacing w:line="600" w:lineRule="exact"/>
        <w:ind w:firstLineChars="200" w:firstLine="640"/>
        <w:rPr>
          <w:rStyle w:val="2Char"/>
          <w:rFonts w:ascii="Times New Roman" w:eastAsia="黑体" w:cs="Times New Roman" w:hAnsi="Times New Roman"/>
          <w:b w:val="0"/>
        </w:rPr>
      </w:pPr>
      <w:r>
        <w:rPr>
          <w:rStyle w:val="2Char"/>
          <w:rFonts w:ascii="Times New Roman" w:eastAsia="黑体" w:cs="Times New Roman" w:hAnsi="Times New Roman"/>
          <w:b w:val="0"/>
          <w:lang w:eastAsia="zh-CN"/>
        </w:rPr>
      </w:r>
      <w:bookmarkStart w:id="20" w:name="_Toc15377206"/>
      <w:bookmarkStart w:id="21" w:name="_Toc15396604"/>
      <w:r>
        <w:rPr>
          <w:rStyle w:val="2Char"/>
          <w:rFonts w:ascii="Times New Roman" w:eastAsia="黑体" w:cs="Times New Roman" w:hAnsi="Times New Roman"/>
          <w:b w:val="0"/>
          <w:lang w:val="en-US" w:eastAsia="zh-CN"/>
        </w:rPr>
        <w:t>二、</w:t>
      </w:r>
      <w:r>
        <w:rPr>
          <w:rFonts w:ascii="Times New Roman" w:eastAsia="黑体" w:cs="Times New Roman" w:hAnsi="Times New Roman"/>
          <w:sz w:val="32"/>
          <w:szCs w:val="32"/>
        </w:rPr>
        <w:t>收</w:t>
      </w:r>
      <w:r>
        <w:rPr>
          <w:rStyle w:val="2Char"/>
          <w:rFonts w:ascii="Times New Roman" w:eastAsia="黑体" w:cs="Times New Roman" w:hAnsi="Times New Roman"/>
          <w:b w:val="0"/>
        </w:rPr>
        <w:t>入决算情况说明</w:t>
      </w:r>
      <w:bookmarkEnd w:id="20"/>
      <w:bookmarkEnd w:id="21"/>
    </w:p>
    <w:p>
      <w:pPr>
        <w:spacing w:line="600" w:lineRule="exact"/>
        <w:ind w:firstLineChars="200" w:firstLine="640"/>
        <w:outlineLvl w:val="1"/>
        <w:rPr>
          <w:rFonts w:ascii="Times New Roman" w:eastAsia="仿宋" w:cs="Times New Roman" w:hAnsi="Times New Roman"/>
          <w:sz w:val="32"/>
          <w:szCs w:val="32"/>
        </w:rPr>
      </w:pPr>
      <w:r>
        <w:rPr>
          <w:rFonts w:ascii="Times New Roman" w:eastAsia="仿宋" w:cs="Times New Roman" w:hAnsi="Times New Roman"/>
          <w:sz w:val="32"/>
          <w:szCs w:val="32"/>
        </w:rPr>
        <w:t>2022年本年收入合计</w:t>
      </w:r>
      <w:r>
        <w:rPr>
          <w:rFonts w:ascii="Times New Roman" w:eastAsia="仿宋" w:cs="Times New Roman" w:hAnsi="Times New Roman"/>
          <w:sz w:val="32"/>
          <w:szCs w:val="32"/>
          <w:lang w:val="en-US" w:eastAsia="zh-CN"/>
        </w:rPr>
        <w:t>229.93</w:t>
      </w:r>
      <w:r>
        <w:rPr>
          <w:rFonts w:ascii="Times New Roman" w:eastAsia="仿宋" w:cs="Times New Roman" w:hAnsi="Times New Roman"/>
          <w:sz w:val="32"/>
          <w:szCs w:val="32"/>
        </w:rPr>
        <w:t>万元，其中：一般公共预算财政拨款收入</w:t>
      </w:r>
      <w:r>
        <w:rPr>
          <w:rFonts w:ascii="Times New Roman" w:eastAsia="仿宋" w:cs="Times New Roman" w:hAnsi="Times New Roman"/>
          <w:sz w:val="32"/>
          <w:szCs w:val="32"/>
          <w:lang w:val="en-US" w:eastAsia="zh-CN"/>
        </w:rPr>
        <w:t>229.93</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100</w:t>
      </w:r>
      <w:r>
        <w:rPr>
          <w:rFonts w:ascii="Times New Roman" w:eastAsia="仿宋" w:cs="Times New Roman" w:hAnsi="Times New Roman"/>
          <w:sz w:val="32"/>
          <w:szCs w:val="32"/>
        </w:rPr>
        <w:t>%；政府性基金预算财政拨款收入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%；国有资本经营预算财政拨款收入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%；上级补助收入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%；事业收入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%；经营收入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%；附属单位上缴收入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%；其他收入</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（图2：收入决算结构图）</w:t>
      </w:r>
    </w:p>
    <w:p>
      <w:pPr>
        <w:spacing w:line="600" w:lineRule="exact"/>
        <w:ind w:firstLineChars="200" w:firstLine="640"/>
        <w:rPr>
          <w:rStyle w:val="2Char"/>
          <w:rFonts w:ascii="Times New Roman" w:eastAsia="黑体" w:cs="Times New Roman" w:hAnsi="Times New Roman"/>
          <w:b w:val="0"/>
        </w:rPr>
      </w:pPr>
      <w:r>
        <w:rPr>
          <w:rFonts w:ascii="Times New Roman" w:eastAsia="仿宋_GB2312" w:cs="Times New Roman" w:hAnsi="Times New Roman"/>
          <w:sz w:val="32"/>
          <w:szCs w:val="32"/>
          <w:lang w:eastAsia="zh-CN"/>
        </w:rPr>
      </w:r>
      <w:bookmarkStart w:id="22" w:name="_Toc15377207"/>
      <w:bookmarkStart w:id="23" w:name="_Toc15396605"/>
      <w:r>
        <w:rPr>
          <w:rFonts w:ascii="Times New Roman" w:eastAsia="黑体" w:cs="Times New Roman" w:hAnsi="Times New Roman"/>
          <w:sz w:val="32"/>
          <w:szCs w:val="32"/>
          <w:lang w:val="en-US" w:eastAsia="zh-CN"/>
        </w:rPr>
        <w:t>三、</w:t>
      </w:r>
      <w:r>
        <w:rPr>
          <w:rFonts w:ascii="Times New Roman" w:eastAsia="黑体" w:cs="Times New Roman" w:hAnsi="Times New Roman"/>
          <w:sz w:val="32"/>
          <w:szCs w:val="32"/>
        </w:rPr>
        <w:t>支</w:t>
      </w:r>
      <w:r>
        <w:rPr>
          <w:rStyle w:val="2Char"/>
          <w:rFonts w:ascii="Times New Roman" w:eastAsia="黑体" w:cs="Times New Roman" w:hAnsi="Times New Roman"/>
          <w:b w:val="0"/>
        </w:rPr>
        <w:t>出决算情况说明</w:t>
      </w:r>
      <w:bookmarkEnd w:id="22"/>
      <w:bookmarkEnd w:id="23"/>
    </w:p>
    <w:p>
      <w:pPr>
        <w:spacing w:line="600" w:lineRule="exact"/>
        <w:ind w:firstLineChars="200" w:firstLine="640"/>
        <w:outlineLvl w:val="1"/>
        <w:rPr>
          <w:rFonts w:ascii="Times New Roman" w:eastAsia="仿宋" w:cs="Times New Roman" w:hAnsi="Times New Roman"/>
          <w:sz w:val="32"/>
          <w:szCs w:val="32"/>
        </w:rPr>
      </w:pPr>
      <w:r>
        <w:rPr>
          <w:rFonts w:ascii="Times New Roman" w:eastAsia="仿宋" w:cs="Times New Roman" w:hAnsi="Times New Roman"/>
          <w:sz w:val="32"/>
          <w:szCs w:val="32"/>
        </w:rPr>
        <w:t>2022年本年支出合计</w:t>
      </w:r>
      <w:r>
        <w:rPr>
          <w:rFonts w:ascii="Times New Roman" w:eastAsia="仿宋" w:cs="Times New Roman" w:hAnsi="Times New Roman"/>
          <w:sz w:val="32"/>
          <w:szCs w:val="32"/>
          <w:lang w:val="en-US" w:eastAsia="zh-CN"/>
        </w:rPr>
        <w:t>252.24</w:t>
      </w:r>
      <w:r>
        <w:rPr>
          <w:rFonts w:ascii="Times New Roman" w:eastAsia="仿宋" w:cs="Times New Roman" w:hAnsi="Times New Roman"/>
          <w:sz w:val="32"/>
          <w:szCs w:val="32"/>
        </w:rPr>
        <w:t>万元，其中：基本支出</w:t>
      </w:r>
      <w:r>
        <w:rPr>
          <w:rFonts w:ascii="Times New Roman" w:eastAsia="仿宋" w:cs="Times New Roman" w:hAnsi="Times New Roman"/>
          <w:sz w:val="32"/>
          <w:szCs w:val="32"/>
          <w:lang w:val="en-US" w:eastAsia="zh-CN"/>
        </w:rPr>
        <w:t>197.07</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78.13</w:t>
      </w:r>
      <w:r>
        <w:rPr>
          <w:rFonts w:ascii="Times New Roman" w:eastAsia="仿宋" w:cs="Times New Roman" w:hAnsi="Times New Roman"/>
          <w:sz w:val="32"/>
          <w:szCs w:val="32"/>
        </w:rPr>
        <w:t>%；项目支出</w:t>
      </w:r>
      <w:r>
        <w:rPr>
          <w:rFonts w:ascii="Times New Roman" w:eastAsia="仿宋" w:cs="Times New Roman" w:hAnsi="Times New Roman"/>
          <w:sz w:val="32"/>
          <w:szCs w:val="32"/>
          <w:lang w:val="en-US" w:eastAsia="zh-CN"/>
        </w:rPr>
        <w:t>55.17</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21.87</w:t>
      </w:r>
      <w:r>
        <w:rPr>
          <w:rFonts w:ascii="Times New Roman" w:eastAsia="仿宋" w:cs="Times New Roman" w:hAnsi="Times New Roman"/>
          <w:sz w:val="32"/>
          <w:szCs w:val="32"/>
        </w:rPr>
        <w:t>%；上缴上级支出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%；经营支出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%；对附属单位补助支出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（图3：支出决算结构图）</w:t>
      </w:r>
    </w:p>
    <w:p>
      <w:pPr>
        <w:spacing w:line="600" w:lineRule="exact"/>
        <w:ind w:firstLineChars="200" w:firstLine="640"/>
        <w:rPr>
          <w:rStyle w:val="2Char"/>
          <w:rFonts w:ascii="Times New Roman" w:eastAsia="黑体" w:cs="Times New Roman" w:hAnsi="Times New Roman"/>
          <w:b w:val="0"/>
        </w:rPr>
      </w:pPr>
      <w:r>
        <w:rPr>
          <w:rFonts w:ascii="Times New Roman" w:eastAsia="仿宋_GB2312" w:cs="Times New Roman" w:hAnsi="Times New Roman"/>
          <w:sz w:val="32"/>
          <w:szCs w:val="32"/>
          <w:lang w:eastAsia="zh-CN"/>
        </w:rPr>
      </w:r>
      <w:bookmarkStart w:id="24" w:name="_Toc15396606"/>
      <w:bookmarkStart w:id="25" w:name="_Toc15377208"/>
      <w:r>
        <w:rPr>
          <w:rFonts w:ascii="Times New Roman" w:eastAsia="黑体" w:cs="Times New Roman" w:hAnsi="Times New Roman"/>
          <w:sz w:val="32"/>
          <w:szCs w:val="32"/>
        </w:rPr>
        <w:t>四、财</w:t>
      </w:r>
      <w:r>
        <w:rPr>
          <w:rStyle w:val="2Char"/>
          <w:rFonts w:ascii="Times New Roman" w:eastAsia="黑体" w:cs="Times New Roman" w:hAnsi="Times New Roman"/>
          <w:b w:val="0"/>
        </w:rPr>
        <w:t>政拨款收入支出决算总体情况说明</w:t>
      </w:r>
      <w:bookmarkEnd w:id="24"/>
      <w:bookmarkEnd w:id="25"/>
    </w:p>
    <w:p>
      <w:pPr>
        <w:spacing w:line="600" w:lineRule="exact"/>
        <w:ind w:firstLineChars="200" w:firstLine="640"/>
        <w:rPr>
          <w:rFonts w:ascii="Times New Roman" w:eastAsia="仿宋" w:cs="Times New Roman" w:hAnsi="Times New Roman"/>
          <w:b/>
          <w:sz w:val="32"/>
          <w:szCs w:val="32"/>
        </w:rPr>
      </w:pPr>
      <w:r>
        <w:rPr>
          <w:rFonts w:ascii="Times New Roman" w:eastAsia="仿宋" w:cs="Times New Roman" w:hAnsi="Times New Roman"/>
          <w:sz w:val="32"/>
          <w:szCs w:val="32"/>
        </w:rPr>
        <w:t>2022年财政拨款收、支总计</w:t>
      </w:r>
      <w:r>
        <w:rPr>
          <w:rFonts w:ascii="Times New Roman" w:eastAsia="仿宋" w:cs="Times New Roman" w:hAnsi="Times New Roman"/>
          <w:sz w:val="32"/>
          <w:szCs w:val="32"/>
          <w:lang w:val="en-US" w:eastAsia="zh-CN"/>
        </w:rPr>
        <w:t>252.24</w:t>
      </w:r>
      <w:r>
        <w:rPr>
          <w:rFonts w:ascii="Times New Roman" w:eastAsia="仿宋" w:cs="Times New Roman" w:hAnsi="Times New Roman"/>
          <w:sz w:val="32"/>
          <w:szCs w:val="32"/>
        </w:rPr>
        <w:t>万元。与2021年相比，财政拨款收、支总计各增加</w:t>
      </w:r>
      <w:r>
        <w:rPr>
          <w:rFonts w:ascii="Times New Roman" w:eastAsia="仿宋" w:cs="Times New Roman" w:hAnsi="Times New Roman"/>
          <w:sz w:val="32"/>
          <w:szCs w:val="32"/>
          <w:lang w:val="en-US" w:eastAsia="zh-CN"/>
        </w:rPr>
        <w:t>27.4</w:t>
      </w:r>
      <w:r>
        <w:rPr>
          <w:rFonts w:ascii="Times New Roman" w:eastAsia="仿宋" w:cs="Times New Roman" w:hAnsi="Times New Roman"/>
          <w:sz w:val="32"/>
          <w:szCs w:val="32"/>
        </w:rPr>
        <w:t>万元，增长</w:t>
      </w:r>
      <w:r>
        <w:rPr>
          <w:rFonts w:ascii="Times New Roman" w:eastAsia="仿宋" w:cs="Times New Roman" w:hAnsi="Times New Roman"/>
          <w:sz w:val="32"/>
          <w:szCs w:val="32"/>
          <w:lang w:val="en-US" w:eastAsia="zh-CN"/>
        </w:rPr>
        <w:t>12.19</w:t>
      </w:r>
      <w:r>
        <w:rPr>
          <w:rFonts w:ascii="Times New Roman" w:eastAsia="仿宋" w:cs="Times New Roman" w:hAnsi="Times New Roman"/>
          <w:sz w:val="32"/>
          <w:szCs w:val="32"/>
        </w:rPr>
        <w:t>%。主要变动原因是</w:t>
      </w:r>
      <w:r>
        <w:rPr>
          <w:rFonts w:ascii="Times New Roman" w:eastAsia="仿宋" w:cs="Times New Roman" w:hAnsi="Times New Roman"/>
          <w:sz w:val="32"/>
          <w:szCs w:val="32"/>
          <w:lang w:val="en-US" w:eastAsia="zh-CN"/>
        </w:rPr>
        <w:t>人员增加，人员经费及公用经费增加</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（图4：财政拨款收、支决算总计变动情况）</w:t>
      </w:r>
    </w:p>
    <w:p>
      <w:pPr>
        <w:spacing w:line="600" w:lineRule="exact"/>
        <w:ind w:firstLine="640"/>
        <w:rPr>
          <w:rFonts w:ascii="Times New Roman" w:eastAsia="仿宋" w:cs="Times New Roman" w:hAnsi="Times New Roman"/>
          <w:b/>
          <w:sz w:val="32"/>
          <w:szCs w:val="32"/>
        </w:rPr>
      </w:pPr>
      <w:r>
        <w:rPr>
          <w:rStyle w:val="2Char"/>
          <w:rFonts w:ascii="Times New Roman" w:eastAsia="黑体" w:cs="Times New Roman" w:hAnsi="Times New Roman"/>
          <w:b w:val="0"/>
          <w:lang w:eastAsia="zh-CN"/>
        </w:rPr>
      </w:r>
    </w:p>
    <w:p>
      <w:pPr>
        <w:spacing w:line="600" w:lineRule="exact"/>
        <w:ind w:firstLineChars="200" w:firstLine="640"/>
        <w:outlineLvl w:val="1"/>
        <w:rPr>
          <w:rStyle w:val="2Char"/>
          <w:rFonts w:ascii="Times New Roman" w:eastAsia="黑体" w:cs="Times New Roman" w:hAnsi="Times New Roman"/>
          <w:b w:val="0"/>
        </w:rPr>
      </w:pPr>
      <w:bookmarkStart w:id="26" w:name="_Toc15396607"/>
      <w:bookmarkStart w:id="27" w:name="_Toc15377209"/>
      <w:r>
        <w:rPr>
          <w:rFonts w:ascii="Times New Roman" w:eastAsia="黑体" w:cs="Times New Roman" w:hAnsi="Times New Roman"/>
          <w:sz w:val="32"/>
          <w:szCs w:val="32"/>
        </w:rPr>
        <w:t>五、</w:t>
      </w:r>
      <w:r>
        <w:rPr>
          <w:rFonts w:ascii="Times New Roman" w:eastAsia="黑体" w:cs="Times New Roman" w:hAnsi="Times New Roman"/>
          <w:b/>
          <w:sz w:val="32"/>
          <w:szCs w:val="32"/>
        </w:rPr>
        <w:t>一</w:t>
      </w:r>
      <w:r>
        <w:rPr>
          <w:rStyle w:val="2Char"/>
          <w:rFonts w:ascii="Times New Roman" w:eastAsia="黑体" w:cs="Times New Roman" w:hAnsi="Times New Roman"/>
          <w:b w:val="0"/>
        </w:rPr>
        <w:t>般公共预算财政拨款支出决算情况说明</w:t>
      </w:r>
      <w:bookmarkEnd w:id="26"/>
      <w:bookmarkEnd w:id="27"/>
    </w:p>
    <w:p>
      <w:pPr>
        <w:spacing w:line="600" w:lineRule="exact"/>
        <w:ind w:firstLineChars="200" w:firstLine="640"/>
        <w:outlineLvl w:val="2"/>
        <w:rPr>
          <w:rFonts w:ascii="Times New Roman" w:eastAsia="仿宋" w:cs="Times New Roman" w:hAnsi="Times New Roman"/>
          <w:b/>
          <w:sz w:val="32"/>
          <w:szCs w:val="32"/>
        </w:rPr>
      </w:pPr>
      <w:bookmarkStart w:id="28" w:name="_Toc15377210"/>
      <w:r>
        <w:rPr>
          <w:rFonts w:ascii="Times New Roman" w:eastAsia="仿宋" w:cs="Times New Roman" w:hAnsi="Times New Roman"/>
          <w:b/>
          <w:sz w:val="32"/>
          <w:szCs w:val="32"/>
        </w:rPr>
        <w:t>（一）一般公共预算财政拨款支出决算总体情况</w:t>
      </w:r>
      <w:bookmarkEnd w:id="28"/>
    </w:p>
    <w:p>
      <w:pPr>
        <w:spacing w:line="600" w:lineRule="exact"/>
        <w:ind w:firstLineChars="200" w:firstLine="640"/>
        <w:rPr>
          <w:rFonts w:ascii="Times New Roman" w:eastAsia="仿宋" w:cs="Times New Roman" w:hAnsi="Times New Roman"/>
          <w:b/>
          <w:sz w:val="32"/>
          <w:szCs w:val="32"/>
        </w:rPr>
      </w:pPr>
      <w:r>
        <w:rPr>
          <w:rFonts w:ascii="Times New Roman" w:eastAsia="仿宋" w:cs="Times New Roman" w:hAnsi="Times New Roman"/>
          <w:sz w:val="32"/>
          <w:szCs w:val="32"/>
        </w:rPr>
        <w:t>2022年一般公共预算财政拨款支出</w:t>
      </w:r>
      <w:r>
        <w:rPr>
          <w:rFonts w:ascii="Times New Roman" w:eastAsia="仿宋" w:cs="Times New Roman" w:hAnsi="Times New Roman"/>
          <w:sz w:val="32"/>
          <w:szCs w:val="32"/>
          <w:lang w:val="en-US" w:eastAsia="zh-CN"/>
        </w:rPr>
        <w:t>252.24</w:t>
      </w:r>
      <w:r>
        <w:rPr>
          <w:rFonts w:ascii="Times New Roman" w:eastAsia="仿宋" w:cs="Times New Roman" w:hAnsi="Times New Roman"/>
          <w:sz w:val="32"/>
          <w:szCs w:val="32"/>
        </w:rPr>
        <w:t>万元，占本年支出合计的</w:t>
      </w:r>
      <w:r>
        <w:rPr>
          <w:rFonts w:ascii="Times New Roman" w:eastAsia="仿宋" w:cs="Times New Roman" w:hAnsi="Times New Roman"/>
          <w:sz w:val="32"/>
          <w:szCs w:val="32"/>
          <w:lang w:val="en-US" w:eastAsia="zh-CN"/>
        </w:rPr>
        <w:t>100</w:t>
      </w:r>
      <w:r>
        <w:rPr>
          <w:rFonts w:ascii="Times New Roman" w:eastAsia="仿宋" w:cs="Times New Roman" w:hAnsi="Times New Roman"/>
          <w:sz w:val="32"/>
          <w:szCs w:val="32"/>
        </w:rPr>
        <w:t>%。与2021年相比，一般公共预算财政拨款支出增加</w:t>
      </w:r>
      <w:r>
        <w:rPr>
          <w:rFonts w:ascii="Times New Roman" w:eastAsia="仿宋" w:cs="Times New Roman" w:hAnsi="Times New Roman"/>
          <w:sz w:val="32"/>
          <w:szCs w:val="32"/>
          <w:lang w:val="en-US" w:eastAsia="zh-CN"/>
        </w:rPr>
        <w:t>27.4</w:t>
      </w:r>
      <w:r>
        <w:rPr>
          <w:rFonts w:ascii="Times New Roman" w:eastAsia="仿宋" w:cs="Times New Roman" w:hAnsi="Times New Roman"/>
          <w:sz w:val="32"/>
          <w:szCs w:val="32"/>
        </w:rPr>
        <w:t>万元，增长</w:t>
      </w:r>
      <w:r>
        <w:rPr>
          <w:rFonts w:ascii="Times New Roman" w:eastAsia="仿宋" w:cs="Times New Roman" w:hAnsi="Times New Roman"/>
          <w:sz w:val="32"/>
          <w:szCs w:val="32"/>
          <w:lang w:val="en-US" w:eastAsia="zh-CN"/>
        </w:rPr>
        <w:t>12.19</w:t>
      </w:r>
      <w:r>
        <w:rPr>
          <w:rFonts w:ascii="Times New Roman" w:eastAsia="仿宋" w:cs="Times New Roman" w:hAnsi="Times New Roman"/>
          <w:sz w:val="32"/>
          <w:szCs w:val="32"/>
        </w:rPr>
        <w:t>%。主要变动原因是</w:t>
      </w:r>
      <w:r>
        <w:rPr>
          <w:rFonts w:ascii="Times New Roman" w:eastAsia="仿宋" w:cs="Times New Roman" w:hAnsi="Times New Roman"/>
          <w:sz w:val="32"/>
          <w:szCs w:val="32"/>
          <w:lang w:val="en-US" w:eastAsia="zh-CN"/>
        </w:rPr>
        <w:t>人员增加，人员经费及公用经费增加</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（图5：一般公共预算财政拨款支出决算变动情况）</w:t>
      </w:r>
    </w:p>
    <w:p>
      <w:pPr>
        <w:spacing w:line="600" w:lineRule="exact"/>
        <w:ind w:firstLineChars="200" w:firstLine="640"/>
        <w:rPr>
          <w:rFonts w:ascii="Times New Roman" w:eastAsia="仿宋" w:cs="Times New Roman" w:hAnsi="Times New Roman"/>
          <w:sz w:val="32"/>
          <w:szCs w:val="32"/>
        </w:rPr>
      </w:pPr>
      <w:r>
        <w:rPr>
          <w:rStyle w:val="2Char"/>
          <w:rFonts w:ascii="Times New Roman" w:eastAsia="黑体" w:cs="Times New Roman" w:hAnsi="Times New Roman"/>
          <w:b w:val="0"/>
          <w:lang w:eastAsia="zh-CN"/>
        </w:rPr>
      </w:r>
    </w:p>
    <w:p>
      <w:pPr>
        <w:spacing w:line="600" w:lineRule="exact"/>
        <w:ind w:firstLineChars="200" w:firstLine="640"/>
        <w:outlineLvl w:val="2"/>
        <w:rPr>
          <w:rFonts w:ascii="Times New Roman" w:eastAsia="仿宋" w:cs="Times New Roman" w:hAnsi="Times New Roman"/>
          <w:b/>
          <w:sz w:val="32"/>
          <w:szCs w:val="32"/>
        </w:rPr>
      </w:pPr>
      <w:bookmarkStart w:id="29" w:name="_Toc15377211"/>
      <w:r>
        <w:rPr>
          <w:rFonts w:ascii="Times New Roman" w:eastAsia="仿宋" w:cs="Times New Roman" w:hAnsi="Times New Roman"/>
          <w:b/>
          <w:sz w:val="32"/>
          <w:szCs w:val="32"/>
        </w:rPr>
        <w:t>（二）一般公共预算财政拨款支出决算结构情况</w:t>
      </w:r>
      <w:bookmarkEnd w:id="29"/>
    </w:p>
    <w:p>
      <w:pPr>
        <w:spacing w:line="600" w:lineRule="exact"/>
        <w:ind w:firstLine="640"/>
        <w:rPr>
          <w:rFonts w:ascii="Times New Roman" w:eastAsia="仿宋" w:cs="Times New Roman" w:hAnsi="Times New Roman"/>
          <w:sz w:val="32"/>
          <w:szCs w:val="32"/>
        </w:rPr>
      </w:pPr>
      <w:r>
        <w:rPr>
          <w:rFonts w:ascii="Times New Roman" w:eastAsia="仿宋" w:cs="Times New Roman" w:hAnsi="Times New Roman"/>
          <w:sz w:val="32"/>
          <w:szCs w:val="32"/>
        </w:rPr>
        <w:t>2022年一般公共预算财政拨款支出</w:t>
      </w:r>
      <w:r>
        <w:rPr>
          <w:rFonts w:ascii="Times New Roman" w:eastAsia="仿宋" w:cs="Times New Roman" w:hAnsi="Times New Roman"/>
          <w:sz w:val="32"/>
          <w:szCs w:val="32"/>
          <w:lang w:val="en-US" w:eastAsia="zh-CN"/>
        </w:rPr>
        <w:t>252.24</w:t>
      </w:r>
      <w:r>
        <w:rPr>
          <w:rFonts w:ascii="Times New Roman" w:eastAsia="仿宋" w:cs="Times New Roman" w:hAnsi="Times New Roman"/>
          <w:sz w:val="32"/>
          <w:szCs w:val="32"/>
        </w:rPr>
        <w:t>万元，主要用于以下方面:一般公共服务支出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%；教育支出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%；科学技术支出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%；文化旅游体育与传媒支出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r>
        <w:rPr>
          <w:rFonts w:ascii="Times New Roman" w:eastAsia="仿宋" w:cs="Times New Roman" w:hAnsi="Times New Roman"/>
          <w:sz w:val="32"/>
          <w:szCs w:val="32"/>
          <w:lang w:val="en-US" w:eastAsia="zh-CN"/>
        </w:rPr>
        <w:t>占0%</w:t>
      </w:r>
      <w:r>
        <w:rPr>
          <w:rFonts w:ascii="Times New Roman" w:eastAsia="仿宋" w:cs="Times New Roman" w:hAnsi="Times New Roman"/>
          <w:sz w:val="32"/>
          <w:szCs w:val="32"/>
        </w:rPr>
        <w:t>；社会保障和就业支出</w:t>
      </w:r>
      <w:r>
        <w:rPr>
          <w:rFonts w:ascii="Times New Roman" w:eastAsia="仿宋" w:cs="Times New Roman" w:hAnsi="Times New Roman"/>
          <w:sz w:val="32"/>
          <w:szCs w:val="32"/>
          <w:lang w:val="en-US" w:eastAsia="zh-CN"/>
        </w:rPr>
        <w:t>13.48</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5.34</w:t>
      </w:r>
      <w:r>
        <w:rPr>
          <w:rFonts w:ascii="Times New Roman" w:eastAsia="仿宋" w:cs="Times New Roman" w:hAnsi="Times New Roman"/>
          <w:sz w:val="32"/>
          <w:szCs w:val="32"/>
        </w:rPr>
        <w:t>%；卫生健康支出</w:t>
      </w:r>
      <w:r>
        <w:rPr>
          <w:rFonts w:ascii="Times New Roman" w:eastAsia="仿宋" w:cs="Times New Roman" w:hAnsi="Times New Roman"/>
          <w:sz w:val="32"/>
          <w:szCs w:val="32"/>
          <w:lang w:val="en-US" w:eastAsia="zh-CN"/>
        </w:rPr>
        <w:t>220.94</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87.59</w:t>
      </w:r>
      <w:r>
        <w:rPr>
          <w:rFonts w:ascii="Times New Roman" w:eastAsia="仿宋" w:cs="Times New Roman" w:hAnsi="Times New Roman"/>
          <w:sz w:val="32"/>
          <w:szCs w:val="32"/>
        </w:rPr>
        <w:t>%；住房保障支出</w:t>
      </w:r>
      <w:r>
        <w:rPr>
          <w:rFonts w:ascii="Times New Roman" w:eastAsia="仿宋" w:cs="Times New Roman" w:hAnsi="Times New Roman"/>
          <w:sz w:val="32"/>
          <w:szCs w:val="32"/>
          <w:lang w:val="en-US" w:eastAsia="zh-CN"/>
        </w:rPr>
        <w:t>17.82</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7.06</w:t>
      </w:r>
      <w:r>
        <w:rPr>
          <w:rFonts w:ascii="Times New Roman" w:eastAsia="仿宋" w:cs="Times New Roman" w:hAnsi="Times New Roman"/>
          <w:sz w:val="32"/>
          <w:szCs w:val="32"/>
        </w:rPr>
        <w:t>%。</w:t>
      </w:r>
    </w:p>
    <w:p>
      <w:pPr>
        <w:spacing w:line="60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（图6：一般公共预算财政拨款支出决算结构）</w:t>
      </w:r>
    </w:p>
    <w:p>
      <w:pPr>
        <w:spacing w:line="600" w:lineRule="exact"/>
        <w:rPr>
          <w:rFonts w:ascii="Times New Roman" w:eastAsia="仿宋" w:cs="Times New Roman" w:hAnsi="Times New Roman"/>
          <w:sz w:val="32"/>
          <w:szCs w:val="32"/>
        </w:rPr>
      </w:pPr>
      <w:r>
        <w:rPr>
          <w:rFonts w:ascii="Times New Roman" w:eastAsia="仿宋_GB2312" w:cs="Times New Roman" w:hAnsi="Times New Roman"/>
          <w:sz w:val="32"/>
          <w:szCs w:val="32"/>
          <w:lang w:eastAsia="zh-CN"/>
        </w:rPr>
      </w:r>
    </w:p>
    <w:p>
      <w:pPr>
        <w:spacing w:line="600" w:lineRule="exact"/>
        <w:ind w:firstLineChars="200" w:firstLine="640"/>
        <w:outlineLvl w:val="2"/>
        <w:rPr>
          <w:rFonts w:ascii="Times New Roman" w:eastAsia="仿宋" w:cs="Times New Roman" w:hAnsi="Times New Roman"/>
          <w:b/>
          <w:sz w:val="32"/>
          <w:szCs w:val="32"/>
        </w:rPr>
      </w:pPr>
      <w:bookmarkStart w:id="30" w:name="_Toc15377212"/>
      <w:r>
        <w:rPr>
          <w:rFonts w:ascii="Times New Roman" w:eastAsia="仿宋" w:cs="Times New Roman" w:hAnsi="Times New Roman"/>
          <w:b/>
          <w:sz w:val="32"/>
          <w:szCs w:val="32"/>
        </w:rPr>
        <w:t>（三）一般公共预算财政拨款支出决算具体情况</w:t>
      </w:r>
      <w:bookmarkEnd w:id="30"/>
    </w:p>
    <w:p>
      <w:pPr>
        <w:spacing w:line="600" w:lineRule="exact"/>
        <w:ind w:firstLineChars="200" w:firstLine="640"/>
        <w:outlineLvl w:val="2"/>
        <w:rPr>
          <w:rFonts w:ascii="Times New Roman" w:eastAsia="仿宋" w:cs="Times New Roman" w:hAnsi="Times New Roman"/>
          <w:b w:val="0"/>
          <w:bCs/>
          <w:sz w:val="32"/>
          <w:szCs w:val="32"/>
        </w:rPr>
      </w:pPr>
      <w:bookmarkStart w:id="31" w:name="_Toc15377444"/>
      <w:bookmarkStart w:id="32" w:name="_Toc15377213"/>
      <w:bookmarkStart w:id="33" w:name="_Toc15378460"/>
      <w:r>
        <w:rPr>
          <w:rFonts w:ascii="Times New Roman" w:eastAsia="仿宋" w:cs="Times New Roman" w:hAnsi="Times New Roman"/>
          <w:b w:val="0"/>
          <w:bCs/>
          <w:sz w:val="32"/>
          <w:szCs w:val="32"/>
        </w:rPr>
        <w:t>2022年一般公共预算支出决算数为</w:t>
      </w:r>
      <w:r>
        <w:rPr>
          <w:rFonts w:ascii="Times New Roman" w:eastAsia="仿宋" w:cs="Times New Roman" w:hAnsi="Times New Roman"/>
          <w:b w:val="0"/>
          <w:bCs/>
          <w:sz w:val="32"/>
          <w:szCs w:val="32"/>
          <w:lang w:val="en-US" w:eastAsia="zh-CN"/>
        </w:rPr>
        <w:t>252.24</w:t>
      </w:r>
      <w:r>
        <w:rPr>
          <w:rFonts w:ascii="Times New Roman" w:eastAsia="仿宋" w:cs="Times New Roman" w:hAnsi="Times New Roman"/>
          <w:b w:val="0"/>
          <w:bCs/>
          <w:sz w:val="32"/>
          <w:szCs w:val="32"/>
        </w:rPr>
        <w:t>，</w:t>
      </w:r>
      <w:r>
        <w:rPr>
          <w:rStyle w:val="22"/>
          <w:rFonts w:ascii="Times New Roman" w:eastAsia="仿宋" w:cs="Times New Roman" w:hAnsi="Times New Roman"/>
          <w:b w:val="0"/>
          <w:bCs/>
          <w:sz w:val="32"/>
          <w:szCs w:val="32"/>
        </w:rPr>
        <w:t>完成预算</w:t>
      </w:r>
      <w:r>
        <w:rPr>
          <w:rStyle w:val="22"/>
          <w:rFonts w:ascii="Times New Roman" w:eastAsia="仿宋" w:cs="Times New Roman" w:hAnsi="Times New Roman"/>
          <w:b w:val="0"/>
          <w:bCs/>
          <w:sz w:val="32"/>
          <w:szCs w:val="32"/>
          <w:lang w:val="en-US" w:eastAsia="zh-CN"/>
        </w:rPr>
        <w:t>100</w:t>
      </w:r>
      <w:r>
        <w:rPr>
          <w:rStyle w:val="22"/>
          <w:rFonts w:ascii="Times New Roman" w:eastAsia="仿宋" w:cs="Times New Roman" w:hAnsi="Times New Roman"/>
          <w:b w:val="0"/>
          <w:bCs/>
          <w:sz w:val="32"/>
          <w:szCs w:val="32"/>
        </w:rPr>
        <w:t>%。其中：</w:t>
      </w:r>
      <w:bookmarkEnd w:id="31"/>
      <w:bookmarkEnd w:id="32"/>
      <w:bookmarkEnd w:id="33"/>
    </w:p>
    <w:p>
      <w:pPr>
        <w:spacing w:line="600" w:lineRule="exact"/>
        <w:ind w:firstLineChars="200" w:firstLine="640"/>
        <w:rPr>
          <w:rFonts w:ascii="Times New Roman" w:eastAsia="仿宋" w:cs="Times New Roman" w:hAnsi="Times New Roman"/>
          <w:b w:val="0"/>
          <w:bCs/>
          <w:sz w:val="32"/>
          <w:szCs w:val="32"/>
        </w:rPr>
      </w:pPr>
      <w:r>
        <w:rPr>
          <w:rStyle w:val="22"/>
          <w:rFonts w:ascii="Times New Roman" w:eastAsia="仿宋" w:cs="Times New Roman" w:hAnsi="Times New Roman"/>
          <w:b w:val="0"/>
          <w:bCs/>
          <w:sz w:val="32"/>
          <w:szCs w:val="32"/>
        </w:rPr>
        <w:t>1.一般公共服务（类）（款）（项）: 支出决算为</w:t>
      </w:r>
      <w:r>
        <w:rPr>
          <w:rStyle w:val="22"/>
          <w:rFonts w:ascii="Times New Roman" w:eastAsia="仿宋" w:cs="Times New Roman" w:hAnsi="Times New Roman"/>
          <w:b w:val="0"/>
          <w:bCs/>
          <w:sz w:val="32"/>
          <w:szCs w:val="32"/>
          <w:lang w:val="en-US" w:eastAsia="zh-CN"/>
        </w:rPr>
        <w:t>0</w:t>
      </w:r>
      <w:r>
        <w:rPr>
          <w:rStyle w:val="22"/>
          <w:rFonts w:ascii="Times New Roman" w:eastAsia="仿宋" w:cs="Times New Roman" w:hAnsi="Times New Roman"/>
          <w:b w:val="0"/>
          <w:bCs/>
          <w:sz w:val="32"/>
          <w:szCs w:val="32"/>
        </w:rPr>
        <w:t>万元。</w:t>
      </w:r>
    </w:p>
    <w:p>
      <w:pPr>
        <w:spacing w:line="600" w:lineRule="exact"/>
        <w:ind w:firstLineChars="200" w:firstLine="640"/>
        <w:rPr>
          <w:rFonts w:ascii="Times New Roman" w:eastAsia="仿宋" w:cs="Times New Roman" w:hAnsi="Times New Roman"/>
          <w:b w:val="0"/>
          <w:bCs/>
          <w:sz w:val="32"/>
          <w:szCs w:val="32"/>
        </w:rPr>
      </w:pPr>
      <w:r>
        <w:rPr>
          <w:rStyle w:val="22"/>
          <w:rFonts w:ascii="Times New Roman" w:eastAsia="仿宋" w:cs="Times New Roman" w:hAnsi="Times New Roman"/>
          <w:b w:val="0"/>
          <w:bCs/>
          <w:sz w:val="32"/>
          <w:szCs w:val="32"/>
        </w:rPr>
        <w:t>2.教育（类）（款）（项）: 支出决算为</w:t>
      </w:r>
      <w:r>
        <w:rPr>
          <w:rStyle w:val="22"/>
          <w:rFonts w:ascii="Times New Roman" w:eastAsia="仿宋" w:cs="Times New Roman" w:hAnsi="Times New Roman"/>
          <w:b w:val="0"/>
          <w:bCs/>
          <w:sz w:val="32"/>
          <w:szCs w:val="32"/>
          <w:lang w:val="en-US" w:eastAsia="zh-CN"/>
        </w:rPr>
        <w:t>0</w:t>
      </w:r>
      <w:r>
        <w:rPr>
          <w:rStyle w:val="22"/>
          <w:rFonts w:ascii="Times New Roman" w:eastAsia="仿宋" w:cs="Times New Roman" w:hAnsi="Times New Roman"/>
          <w:b w:val="0"/>
          <w:bCs/>
          <w:sz w:val="32"/>
          <w:szCs w:val="32"/>
        </w:rPr>
        <w:t>万元。</w:t>
      </w:r>
    </w:p>
    <w:p>
      <w:pPr>
        <w:spacing w:line="600" w:lineRule="exact"/>
        <w:ind w:firstLineChars="200" w:firstLine="640"/>
        <w:rPr>
          <w:rFonts w:ascii="Times New Roman" w:eastAsia="仿宋" w:cs="Times New Roman" w:hAnsi="Times New Roman"/>
          <w:b w:val="0"/>
          <w:bCs/>
          <w:sz w:val="32"/>
          <w:szCs w:val="32"/>
        </w:rPr>
      </w:pPr>
      <w:r>
        <w:rPr>
          <w:rStyle w:val="22"/>
          <w:rFonts w:ascii="Times New Roman" w:eastAsia="仿宋" w:cs="Times New Roman" w:hAnsi="Times New Roman"/>
          <w:b w:val="0"/>
          <w:bCs/>
          <w:sz w:val="32"/>
          <w:szCs w:val="32"/>
        </w:rPr>
        <w:t>3.科学技术（类）（款）（项）: 支出决算为</w:t>
      </w:r>
      <w:r>
        <w:rPr>
          <w:rStyle w:val="22"/>
          <w:rFonts w:ascii="Times New Roman" w:eastAsia="仿宋" w:cs="Times New Roman" w:hAnsi="Times New Roman"/>
          <w:b w:val="0"/>
          <w:bCs/>
          <w:sz w:val="32"/>
          <w:szCs w:val="32"/>
          <w:lang w:val="en-US" w:eastAsia="zh-CN"/>
        </w:rPr>
        <w:t>0</w:t>
      </w:r>
      <w:r>
        <w:rPr>
          <w:rStyle w:val="22"/>
          <w:rFonts w:ascii="Times New Roman" w:eastAsia="仿宋" w:cs="Times New Roman" w:hAnsi="Times New Roman"/>
          <w:b w:val="0"/>
          <w:bCs/>
          <w:sz w:val="32"/>
          <w:szCs w:val="32"/>
        </w:rPr>
        <w:t>万元。</w:t>
      </w:r>
    </w:p>
    <w:p>
      <w:pPr>
        <w:spacing w:line="600" w:lineRule="exact"/>
        <w:ind w:firstLineChars="200" w:firstLine="640"/>
        <w:rPr>
          <w:rFonts w:ascii="Times New Roman" w:eastAsia="仿宋" w:cs="Times New Roman" w:hAnsi="Times New Roman"/>
          <w:b w:val="0"/>
          <w:bCs/>
          <w:sz w:val="32"/>
          <w:szCs w:val="32"/>
        </w:rPr>
      </w:pPr>
      <w:r>
        <w:rPr>
          <w:rStyle w:val="22"/>
          <w:rFonts w:ascii="Times New Roman" w:eastAsia="仿宋" w:cs="Times New Roman" w:hAnsi="Times New Roman"/>
          <w:b w:val="0"/>
          <w:bCs/>
          <w:sz w:val="32"/>
          <w:szCs w:val="32"/>
        </w:rPr>
        <w:t>4.文化旅游体育与传媒（类）（款）（项）: 支出决算为</w:t>
      </w:r>
      <w:r>
        <w:rPr>
          <w:rStyle w:val="22"/>
          <w:rFonts w:ascii="Times New Roman" w:eastAsia="仿宋" w:cs="Times New Roman" w:hAnsi="Times New Roman"/>
          <w:b w:val="0"/>
          <w:bCs/>
          <w:sz w:val="32"/>
          <w:szCs w:val="32"/>
          <w:lang w:val="en-US" w:eastAsia="zh-CN"/>
        </w:rPr>
        <w:t>0</w:t>
      </w:r>
      <w:r>
        <w:rPr>
          <w:rStyle w:val="22"/>
          <w:rFonts w:ascii="Times New Roman" w:eastAsia="仿宋" w:cs="Times New Roman" w:hAnsi="Times New Roman"/>
          <w:b w:val="0"/>
          <w:bCs/>
          <w:sz w:val="32"/>
          <w:szCs w:val="32"/>
        </w:rPr>
        <w:t>万元。</w:t>
      </w:r>
    </w:p>
    <w:p>
      <w:pPr>
        <w:spacing w:line="600" w:lineRule="exact"/>
        <w:ind w:firstLineChars="200" w:firstLine="640"/>
        <w:rPr>
          <w:rStyle w:val="22"/>
          <w:rFonts w:ascii="Times New Roman" w:eastAsia="仿宋" w:cs="Times New Roman" w:hAnsi="Times New Roman"/>
          <w:b w:val="0"/>
          <w:bCs/>
          <w:color w:val="000000"/>
          <w:sz w:val="32"/>
          <w:szCs w:val="32"/>
        </w:rPr>
      </w:pPr>
      <w:r>
        <w:rPr>
          <w:rStyle w:val="22"/>
          <w:rFonts w:ascii="Times New Roman" w:eastAsia="仿宋" w:cs="Times New Roman" w:hAnsi="Times New Roman"/>
          <w:b w:val="0"/>
          <w:bCs/>
          <w:sz w:val="32"/>
          <w:szCs w:val="32"/>
        </w:rPr>
        <w:t>5.社会保障和就业（208）：</w:t>
      </w:r>
      <w:r>
        <w:rPr>
          <w:rStyle w:val="22"/>
          <w:rFonts w:ascii="Times New Roman" w:eastAsia="仿宋" w:cs="Times New Roman" w:hAnsi="Times New Roman"/>
          <w:b w:val="0"/>
          <w:bCs/>
          <w:color w:val="000000"/>
          <w:sz w:val="32"/>
          <w:szCs w:val="32"/>
        </w:rPr>
        <w:t>行政事业单位养老支出（20805） 机关事业单位基本养老保险缴费支出（2080505）</w:t>
      </w:r>
      <w:r>
        <w:rPr>
          <w:rStyle w:val="22"/>
          <w:rFonts w:ascii="Times New Roman" w:eastAsia="仿宋" w:cs="Times New Roman" w:hAnsi="Times New Roman"/>
          <w:b w:val="0"/>
          <w:bCs/>
          <w:color w:val="000000"/>
          <w:sz w:val="32"/>
          <w:szCs w:val="32"/>
          <w:lang w:val="en-US" w:eastAsia="zh-CN"/>
        </w:rPr>
        <w:t>决算为13.48</w:t>
      </w:r>
      <w:r>
        <w:rPr>
          <w:rStyle w:val="22"/>
          <w:rFonts w:ascii="Times New Roman" w:eastAsia="仿宋" w:cs="Times New Roman" w:hAnsi="Times New Roman"/>
          <w:b w:val="0"/>
          <w:bCs/>
          <w:color w:val="000000"/>
          <w:sz w:val="32"/>
          <w:szCs w:val="32"/>
        </w:rPr>
        <w:t>万元，完成预算100%，</w:t>
      </w:r>
      <w:r>
        <w:rPr>
          <w:rStyle w:val="22"/>
          <w:rFonts w:ascii="Times New Roman" w:eastAsia="仿宋" w:cs="Times New Roman" w:hAnsi="Times New Roman"/>
          <w:b w:val="0"/>
          <w:bCs/>
          <w:color w:val="000000"/>
          <w:sz w:val="32"/>
          <w:szCs w:val="32"/>
          <w:lang w:val="en-US" w:eastAsia="zh-CN"/>
        </w:rPr>
        <w:t>决算数</w:t>
      </w:r>
      <w:r>
        <w:rPr>
          <w:rStyle w:val="22"/>
          <w:rFonts w:ascii="Times New Roman" w:eastAsia="仿宋" w:cs="Times New Roman" w:hAnsi="Times New Roman"/>
          <w:b w:val="0"/>
          <w:bCs/>
          <w:color w:val="000000"/>
          <w:sz w:val="32"/>
          <w:szCs w:val="32"/>
        </w:rPr>
        <w:t>等于预算数。</w:t>
      </w:r>
    </w:p>
    <w:p>
      <w:pPr>
        <w:spacing w:line="600" w:lineRule="exact"/>
        <w:ind w:firstLineChars="200" w:firstLine="640"/>
        <w:rPr>
          <w:rStyle w:val="22"/>
          <w:rFonts w:ascii="Times New Roman" w:eastAsia="仿宋" w:cs="Times New Roman" w:hAnsi="Times New Roman"/>
          <w:b w:val="0"/>
          <w:bCs/>
          <w:color w:val="000000"/>
          <w:sz w:val="32"/>
          <w:szCs w:val="32"/>
          <w:lang w:val="en-US" w:eastAsia="zh-CN"/>
        </w:rPr>
      </w:pPr>
      <w:r>
        <w:rPr>
          <w:rStyle w:val="22"/>
          <w:rFonts w:ascii="Times New Roman" w:eastAsia="仿宋" w:cs="Times New Roman" w:hAnsi="Times New Roman"/>
          <w:b w:val="0"/>
          <w:bCs/>
          <w:sz w:val="32"/>
          <w:szCs w:val="32"/>
        </w:rPr>
        <w:t>6.卫生健康（210）:</w:t>
      </w:r>
      <w:r>
        <w:rPr>
          <w:rStyle w:val="22"/>
          <w:rFonts w:ascii="Times New Roman" w:eastAsia="仿宋" w:cs="Times New Roman" w:hAnsi="Times New Roman"/>
          <w:b w:val="0"/>
          <w:bCs/>
          <w:color w:val="000000"/>
          <w:sz w:val="32"/>
          <w:szCs w:val="32"/>
          <w:lang w:val="en-US" w:eastAsia="zh-CN"/>
        </w:rPr>
        <w:t>公立医院（21002）其他公共卫生支出（2100299）决算为17.05万元，</w:t>
      </w:r>
      <w:r>
        <w:rPr>
          <w:rStyle w:val="22"/>
          <w:rFonts w:ascii="Times New Roman" w:eastAsia="仿宋" w:cs="Times New Roman" w:hAnsi="Times New Roman"/>
          <w:b w:val="0"/>
          <w:bCs/>
          <w:color w:val="000000"/>
          <w:sz w:val="32"/>
          <w:szCs w:val="32"/>
        </w:rPr>
        <w:t>完成预算100%，</w:t>
      </w:r>
      <w:r>
        <w:rPr>
          <w:rStyle w:val="22"/>
          <w:rFonts w:ascii="Times New Roman" w:eastAsia="仿宋" w:cs="Times New Roman" w:hAnsi="Times New Roman"/>
          <w:b w:val="0"/>
          <w:bCs/>
          <w:color w:val="000000"/>
          <w:sz w:val="32"/>
          <w:szCs w:val="32"/>
          <w:lang w:val="en-US" w:eastAsia="zh-CN"/>
        </w:rPr>
        <w:t>决算数</w:t>
      </w:r>
      <w:r>
        <w:rPr>
          <w:rStyle w:val="22"/>
          <w:rFonts w:ascii="Times New Roman" w:eastAsia="仿宋" w:cs="Times New Roman" w:hAnsi="Times New Roman"/>
          <w:b w:val="0"/>
          <w:bCs/>
          <w:color w:val="000000"/>
          <w:sz w:val="32"/>
          <w:szCs w:val="32"/>
        </w:rPr>
        <w:t>等于预算数</w:t>
      </w:r>
      <w:r>
        <w:rPr>
          <w:rStyle w:val="22"/>
          <w:rFonts w:ascii="Times New Roman" w:eastAsia="仿宋" w:cs="Times New Roman" w:hAnsi="Times New Roman"/>
          <w:b w:val="0"/>
          <w:bCs/>
          <w:color w:val="000000"/>
          <w:sz w:val="32"/>
          <w:szCs w:val="32"/>
          <w:lang w:eastAsia="zh-CN"/>
        </w:rPr>
        <w:t>。</w:t>
      </w:r>
      <w:r>
        <w:rPr>
          <w:rStyle w:val="22"/>
          <w:rFonts w:ascii="Times New Roman" w:eastAsia="仿宋" w:cs="Times New Roman" w:hAnsi="Times New Roman"/>
          <w:b w:val="0"/>
          <w:bCs/>
          <w:color w:val="000000"/>
          <w:sz w:val="32"/>
          <w:szCs w:val="32"/>
          <w:lang w:val="en-US" w:eastAsia="zh-CN"/>
        </w:rPr>
        <w:t>公共卫生</w:t>
      </w:r>
      <w:r>
        <w:rPr>
          <w:rStyle w:val="22"/>
          <w:rFonts w:ascii="Times New Roman" w:eastAsia="仿宋" w:cs="Times New Roman" w:hAnsi="Times New Roman"/>
          <w:b w:val="0"/>
          <w:bCs/>
          <w:color w:val="000000"/>
          <w:sz w:val="32"/>
          <w:szCs w:val="32"/>
        </w:rPr>
        <w:t>（2100</w:t>
      </w:r>
      <w:r>
        <w:rPr>
          <w:rStyle w:val="22"/>
          <w:rFonts w:ascii="Times New Roman" w:eastAsia="仿宋" w:cs="Times New Roman" w:hAnsi="Times New Roman"/>
          <w:b w:val="0"/>
          <w:bCs/>
          <w:color w:val="000000"/>
          <w:sz w:val="32"/>
          <w:szCs w:val="32"/>
          <w:lang w:val="en-US" w:eastAsia="zh-CN"/>
        </w:rPr>
        <w:t>4</w:t>
      </w:r>
      <w:r>
        <w:rPr>
          <w:rStyle w:val="22"/>
          <w:rFonts w:ascii="Times New Roman" w:eastAsia="仿宋" w:cs="Times New Roman" w:hAnsi="Times New Roman"/>
          <w:b w:val="0"/>
          <w:bCs/>
          <w:color w:val="000000"/>
          <w:sz w:val="32"/>
          <w:szCs w:val="32"/>
        </w:rPr>
        <w:t>）</w:t>
      </w:r>
      <w:r>
        <w:rPr>
          <w:rStyle w:val="22"/>
          <w:rFonts w:ascii="Times New Roman" w:eastAsia="仿宋" w:cs="Times New Roman" w:hAnsi="Times New Roman"/>
          <w:b w:val="0"/>
          <w:bCs/>
          <w:color w:val="000000"/>
          <w:sz w:val="32"/>
          <w:szCs w:val="32"/>
          <w:lang w:val="en-US" w:eastAsia="zh-CN"/>
        </w:rPr>
        <w:t>应急救治机构</w:t>
      </w:r>
      <w:r>
        <w:rPr>
          <w:rStyle w:val="22"/>
          <w:rFonts w:ascii="Times New Roman" w:eastAsia="仿宋" w:cs="Times New Roman" w:hAnsi="Times New Roman"/>
          <w:b w:val="0"/>
          <w:bCs/>
          <w:color w:val="000000"/>
          <w:sz w:val="32"/>
          <w:szCs w:val="32"/>
        </w:rPr>
        <w:t>（2100</w:t>
      </w:r>
      <w:r>
        <w:rPr>
          <w:rStyle w:val="22"/>
          <w:rFonts w:ascii="Times New Roman" w:eastAsia="仿宋" w:cs="Times New Roman" w:hAnsi="Times New Roman"/>
          <w:b w:val="0"/>
          <w:bCs/>
          <w:color w:val="000000"/>
          <w:sz w:val="32"/>
          <w:szCs w:val="32"/>
          <w:lang w:val="en-US" w:eastAsia="zh-CN"/>
        </w:rPr>
        <w:t>405</w:t>
      </w:r>
      <w:r>
        <w:rPr>
          <w:rStyle w:val="22"/>
          <w:rFonts w:ascii="Times New Roman" w:eastAsia="仿宋" w:cs="Times New Roman" w:hAnsi="Times New Roman"/>
          <w:b w:val="0"/>
          <w:bCs/>
          <w:color w:val="000000"/>
          <w:sz w:val="32"/>
          <w:szCs w:val="32"/>
        </w:rPr>
        <w:t>）决算</w:t>
      </w:r>
      <w:r>
        <w:rPr>
          <w:rStyle w:val="22"/>
          <w:rFonts w:ascii="Times New Roman" w:eastAsia="仿宋" w:cs="Times New Roman" w:hAnsi="Times New Roman"/>
          <w:b w:val="0"/>
          <w:bCs/>
          <w:color w:val="000000"/>
          <w:sz w:val="32"/>
          <w:szCs w:val="32"/>
          <w:lang w:val="en-US" w:eastAsia="zh-CN"/>
        </w:rPr>
        <w:t>为202.89</w:t>
      </w:r>
      <w:r>
        <w:rPr>
          <w:rStyle w:val="22"/>
          <w:rFonts w:ascii="Times New Roman" w:eastAsia="仿宋" w:cs="Times New Roman" w:hAnsi="Times New Roman"/>
          <w:b w:val="0"/>
          <w:bCs/>
          <w:color w:val="000000"/>
          <w:sz w:val="32"/>
          <w:szCs w:val="32"/>
        </w:rPr>
        <w:t>万元，完成预算100%，</w:t>
      </w:r>
      <w:r>
        <w:rPr>
          <w:rStyle w:val="22"/>
          <w:rFonts w:ascii="Times New Roman" w:eastAsia="仿宋" w:cs="Times New Roman" w:hAnsi="Times New Roman"/>
          <w:b w:val="0"/>
          <w:bCs/>
          <w:color w:val="000000"/>
          <w:sz w:val="32"/>
          <w:szCs w:val="32"/>
          <w:lang w:val="en-US" w:eastAsia="zh-CN"/>
        </w:rPr>
        <w:t>决算数</w:t>
      </w:r>
      <w:r>
        <w:rPr>
          <w:rStyle w:val="22"/>
          <w:rFonts w:ascii="Times New Roman" w:eastAsia="仿宋" w:cs="Times New Roman" w:hAnsi="Times New Roman"/>
          <w:b w:val="0"/>
          <w:bCs/>
          <w:color w:val="000000"/>
          <w:sz w:val="32"/>
          <w:szCs w:val="32"/>
        </w:rPr>
        <w:t>等于预算数；</w:t>
      </w:r>
      <w:r>
        <w:rPr>
          <w:rStyle w:val="22"/>
          <w:rFonts w:ascii="Times New Roman" w:eastAsia="仿宋" w:cs="Times New Roman" w:hAnsi="Times New Roman"/>
          <w:b w:val="0"/>
          <w:bCs/>
          <w:color w:val="000000"/>
          <w:sz w:val="32"/>
          <w:szCs w:val="32"/>
          <w:lang w:val="en-US" w:eastAsia="zh-CN"/>
        </w:rPr>
        <w:t>基本公共卫生服务</w:t>
      </w:r>
      <w:r>
        <w:rPr>
          <w:rStyle w:val="22"/>
          <w:rFonts w:ascii="Times New Roman" w:eastAsia="仿宋" w:cs="Times New Roman" w:hAnsi="Times New Roman"/>
          <w:b w:val="0"/>
          <w:bCs/>
          <w:color w:val="000000"/>
          <w:sz w:val="32"/>
          <w:szCs w:val="32"/>
        </w:rPr>
        <w:t>（2100</w:t>
      </w:r>
      <w:r>
        <w:rPr>
          <w:rStyle w:val="22"/>
          <w:rFonts w:ascii="Times New Roman" w:eastAsia="仿宋" w:cs="Times New Roman" w:hAnsi="Times New Roman"/>
          <w:b w:val="0"/>
          <w:bCs/>
          <w:color w:val="000000"/>
          <w:sz w:val="32"/>
          <w:szCs w:val="32"/>
          <w:lang w:val="en-US" w:eastAsia="zh-CN"/>
        </w:rPr>
        <w:t>408</w:t>
      </w:r>
      <w:r>
        <w:rPr>
          <w:rStyle w:val="22"/>
          <w:rFonts w:ascii="Times New Roman" w:eastAsia="仿宋" w:cs="Times New Roman" w:hAnsi="Times New Roman"/>
          <w:b w:val="0"/>
          <w:bCs/>
          <w:color w:val="000000"/>
          <w:sz w:val="32"/>
          <w:szCs w:val="32"/>
        </w:rPr>
        <w:t>）决算为</w:t>
      </w:r>
      <w:r>
        <w:rPr>
          <w:rStyle w:val="22"/>
          <w:rFonts w:ascii="Times New Roman" w:eastAsia="仿宋" w:cs="Times New Roman" w:hAnsi="Times New Roman"/>
          <w:b w:val="0"/>
          <w:bCs/>
          <w:color w:val="000000"/>
          <w:sz w:val="32"/>
          <w:szCs w:val="32"/>
          <w:lang w:val="en-US" w:eastAsia="zh-CN"/>
        </w:rPr>
        <w:t>1</w:t>
      </w:r>
      <w:r>
        <w:rPr>
          <w:rStyle w:val="22"/>
          <w:rFonts w:ascii="Times New Roman" w:eastAsia="仿宋" w:cs="Times New Roman" w:hAnsi="Times New Roman"/>
          <w:b w:val="0"/>
          <w:bCs/>
          <w:color w:val="000000"/>
          <w:sz w:val="32"/>
          <w:szCs w:val="32"/>
        </w:rPr>
        <w:t>万元，完成预算100%，</w:t>
      </w:r>
      <w:r>
        <w:rPr>
          <w:rStyle w:val="22"/>
          <w:rFonts w:ascii="Times New Roman" w:eastAsia="仿宋" w:cs="Times New Roman" w:hAnsi="Times New Roman"/>
          <w:b w:val="0"/>
          <w:bCs/>
          <w:color w:val="000000"/>
          <w:sz w:val="32"/>
          <w:szCs w:val="32"/>
          <w:lang w:val="en-US" w:eastAsia="zh-CN"/>
        </w:rPr>
        <w:t>决算数</w:t>
      </w:r>
      <w:r>
        <w:rPr>
          <w:rStyle w:val="22"/>
          <w:rFonts w:ascii="Times New Roman" w:eastAsia="仿宋" w:cs="Times New Roman" w:hAnsi="Times New Roman"/>
          <w:b w:val="0"/>
          <w:bCs/>
          <w:color w:val="000000"/>
          <w:sz w:val="32"/>
          <w:szCs w:val="32"/>
        </w:rPr>
        <w:t>等于预算数</w:t>
      </w:r>
      <w:r>
        <w:rPr>
          <w:rStyle w:val="22"/>
          <w:rFonts w:ascii="Times New Roman" w:eastAsia="仿宋" w:cs="Times New Roman" w:hAnsi="Times New Roman"/>
          <w:b w:val="0"/>
          <w:bCs/>
          <w:color w:val="000000"/>
          <w:sz w:val="32"/>
          <w:szCs w:val="32"/>
          <w:lang w:eastAsia="zh-CN"/>
        </w:rPr>
        <w:t>。</w:t>
      </w:r>
    </w:p>
    <w:p>
      <w:pPr>
        <w:spacing w:line="600" w:lineRule="exact"/>
        <w:ind w:firstLineChars="200" w:firstLine="640"/>
        <w:rPr>
          <w:rFonts w:ascii="Times New Roman" w:eastAsia="仿宋" w:cs="Times New Roman" w:hAnsi="Times New Roman"/>
          <w:b w:val="0"/>
          <w:bCs/>
          <w:color w:val="000000"/>
          <w:sz w:val="32"/>
          <w:szCs w:val="32"/>
        </w:rPr>
      </w:pPr>
      <w:r>
        <w:rPr>
          <w:rStyle w:val="22"/>
          <w:rFonts w:ascii="Times New Roman" w:eastAsia="仿宋" w:cs="Times New Roman" w:hAnsi="Times New Roman"/>
          <w:b w:val="0"/>
          <w:bCs/>
          <w:sz w:val="32"/>
          <w:szCs w:val="32"/>
        </w:rPr>
        <w:t>7.住房保障支出（221）：</w:t>
      </w:r>
      <w:r>
        <w:rPr>
          <w:rStyle w:val="22"/>
          <w:rFonts w:ascii="Times New Roman" w:eastAsia="仿宋" w:cs="Times New Roman" w:hAnsi="Times New Roman"/>
          <w:b w:val="0"/>
          <w:bCs/>
          <w:color w:val="000000"/>
          <w:sz w:val="32"/>
          <w:szCs w:val="32"/>
        </w:rPr>
        <w:t>住房改革支出（22102）住房公积金（2210201）决算为</w:t>
      </w:r>
      <w:r>
        <w:rPr>
          <w:rStyle w:val="22"/>
          <w:rFonts w:ascii="Times New Roman" w:eastAsia="仿宋" w:cs="Times New Roman" w:hAnsi="Times New Roman"/>
          <w:b w:val="0"/>
          <w:bCs/>
          <w:color w:val="000000"/>
          <w:sz w:val="32"/>
          <w:szCs w:val="32"/>
          <w:lang w:val="en-US" w:eastAsia="zh-CN"/>
        </w:rPr>
        <w:t>17.82</w:t>
      </w:r>
      <w:r>
        <w:rPr>
          <w:rStyle w:val="22"/>
          <w:rFonts w:ascii="Times New Roman" w:eastAsia="仿宋" w:cs="Times New Roman" w:hAnsi="Times New Roman"/>
          <w:b w:val="0"/>
          <w:bCs/>
          <w:color w:val="000000"/>
          <w:sz w:val="32"/>
          <w:szCs w:val="32"/>
        </w:rPr>
        <w:t>万元，完成预算100%，</w:t>
      </w:r>
      <w:r>
        <w:rPr>
          <w:rStyle w:val="22"/>
          <w:rFonts w:ascii="Times New Roman" w:eastAsia="仿宋" w:cs="Times New Roman" w:hAnsi="Times New Roman"/>
          <w:b w:val="0"/>
          <w:bCs/>
          <w:color w:val="000000"/>
          <w:sz w:val="32"/>
          <w:szCs w:val="32"/>
          <w:lang w:val="en-US" w:eastAsia="zh-CN"/>
        </w:rPr>
        <w:t>决算数</w:t>
      </w:r>
      <w:r>
        <w:rPr>
          <w:rStyle w:val="22"/>
          <w:rFonts w:ascii="Times New Roman" w:eastAsia="仿宋" w:cs="Times New Roman" w:hAnsi="Times New Roman"/>
          <w:b w:val="0"/>
          <w:bCs/>
          <w:color w:val="000000"/>
          <w:sz w:val="32"/>
          <w:szCs w:val="32"/>
        </w:rPr>
        <w:t>等于预算数。</w:t>
      </w:r>
      <w:r>
        <w:rPr>
          <w:rFonts w:ascii="Times New Roman" w:eastAsia="仿宋" w:cs="Times New Roman" w:hAnsi="Times New Roman"/>
          <w:b w:val="0"/>
          <w:bCs/>
          <w:color w:val="000000"/>
          <w:sz w:val="32"/>
          <w:szCs w:val="32"/>
        </w:rPr>
        <w:tab/>
      </w:r>
    </w:p>
    <w:p>
      <w:pPr>
        <w:tabs>
          <w:tab w:val="right" w:pos="8306"/>
        </w:tabs>
        <w:spacing w:line="600" w:lineRule="exact"/>
        <w:ind w:firstLine="640"/>
        <w:outlineLvl w:val="1"/>
        <w:rPr>
          <w:rStyle w:val="2Char"/>
          <w:rFonts w:ascii="Times New Roman" w:cs="Times New Roman" w:hAnsi="Times New Roman"/>
        </w:rPr>
      </w:pPr>
      <w:bookmarkStart w:id="34" w:name="_Toc15396608"/>
      <w:bookmarkStart w:id="35" w:name="_Toc15377214"/>
      <w:r>
        <w:rPr>
          <w:rFonts w:ascii="Times New Roman" w:eastAsia="黑体" w:cs="Times New Roman" w:hAnsi="Times New Roman"/>
          <w:sz w:val="32"/>
          <w:szCs w:val="32"/>
        </w:rPr>
        <w:t>六</w:t>
      </w:r>
      <w:r>
        <w:rPr>
          <w:rFonts w:ascii="Times New Roman" w:eastAsia="黑体" w:cs="Times New Roman" w:hAnsi="Times New Roman"/>
          <w:b/>
          <w:sz w:val="32"/>
          <w:szCs w:val="32"/>
        </w:rPr>
        <w:t>、一</w:t>
      </w:r>
      <w:r>
        <w:rPr>
          <w:rStyle w:val="2Char"/>
          <w:rFonts w:ascii="Times New Roman" w:eastAsia="黑体" w:cs="Times New Roman" w:hAnsi="Times New Roman"/>
          <w:b w:val="0"/>
        </w:rPr>
        <w:t>般公共预算财政拨款基本支出决算情况说明</w:t>
      </w:r>
      <w:bookmarkEnd w:id="34"/>
      <w:bookmarkEnd w:id="35"/>
      <w:r>
        <w:rPr>
          <w:rStyle w:val="2Char"/>
          <w:rFonts w:ascii="Times New Roman" w:eastAsia="黑体" w:cs="Times New Roman" w:hAnsi="Times New Roman"/>
          <w:b w:val="0"/>
        </w:rPr>
        <w:tab/>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2022年一般公共预算财政拨款基本支出</w:t>
      </w:r>
      <w:r>
        <w:rPr>
          <w:rFonts w:ascii="Times New Roman" w:eastAsia="仿宋" w:cs="Times New Roman" w:hAnsi="Times New Roman"/>
          <w:sz w:val="32"/>
          <w:szCs w:val="32"/>
          <w:lang w:val="en-US" w:eastAsia="zh-CN"/>
        </w:rPr>
        <w:t>197.07</w:t>
      </w:r>
      <w:r>
        <w:rPr>
          <w:rFonts w:ascii="Times New Roman" w:eastAsia="仿宋" w:cs="Times New Roman" w:hAnsi="Times New Roman"/>
          <w:sz w:val="32"/>
          <w:szCs w:val="32"/>
        </w:rPr>
        <w:t>万元，其中：</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人员经费</w:t>
      </w:r>
      <w:r>
        <w:rPr>
          <w:rFonts w:ascii="Times New Roman" w:eastAsia="仿宋" w:cs="Times New Roman" w:hAnsi="Times New Roman"/>
          <w:sz w:val="32"/>
          <w:szCs w:val="32"/>
          <w:lang w:val="en-US" w:eastAsia="zh-CN"/>
        </w:rPr>
        <w:t>181.06</w:t>
      </w:r>
      <w:r>
        <w:rPr>
          <w:rFonts w:ascii="Times New Roman" w:eastAsia="仿宋" w:cs="Times New Roman" w:hAnsi="Times New Roman"/>
          <w:sz w:val="32"/>
          <w:szCs w:val="32"/>
        </w:rPr>
        <w:t>万元，主要包括：基本工资44.67万元、津贴补贴6.34万元、奖金</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、伙食补助费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、绩效工资74.6万元、机关事业单位基本养老保险缴费13.48万元、职业年金缴费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w:t>
      </w:r>
      <w:r>
        <w:rPr>
          <w:rFonts w:ascii="Times New Roman" w:eastAsia="仿宋" w:cs="Times New Roman" w:hAnsi="Times New Roman"/>
          <w:sz w:val="32"/>
          <w:szCs w:val="32"/>
          <w:lang w:val="en-US" w:eastAsia="zh-CN"/>
        </w:rPr>
        <w:t>职工基本医疗保险缴费11.86</w:t>
      </w:r>
      <w:r>
        <w:rPr>
          <w:rFonts w:ascii="Times New Roman" w:eastAsia="仿宋" w:cs="Times New Roman" w:hAnsi="Times New Roman"/>
          <w:sz w:val="32"/>
          <w:szCs w:val="32"/>
        </w:rPr>
        <w:t>万元</w:t>
      </w:r>
      <w:r>
        <w:rPr>
          <w:rFonts w:ascii="Times New Roman" w:eastAsia="仿宋" w:cs="Times New Roman" w:hAnsi="Times New Roman"/>
          <w:sz w:val="32"/>
          <w:szCs w:val="32"/>
          <w:lang w:val="en-US" w:eastAsia="zh-CN"/>
        </w:rPr>
        <w:t>、公务员医疗补助缴费6.25</w:t>
      </w:r>
      <w:r>
        <w:rPr>
          <w:rFonts w:ascii="Times New Roman" w:eastAsia="仿宋" w:cs="Times New Roman" w:hAnsi="Times New Roman"/>
          <w:sz w:val="32"/>
          <w:szCs w:val="32"/>
        </w:rPr>
        <w:t>万元</w:t>
      </w:r>
      <w:r>
        <w:rPr>
          <w:rFonts w:ascii="Times New Roman" w:eastAsia="仿宋" w:cs="Times New Roman" w:hAnsi="Times New Roman"/>
          <w:sz w:val="32"/>
          <w:szCs w:val="32"/>
          <w:lang w:val="en-US" w:eastAsia="zh-CN"/>
        </w:rPr>
        <w:t>、</w:t>
      </w:r>
      <w:r>
        <w:rPr>
          <w:rFonts w:ascii="Times New Roman" w:eastAsia="仿宋" w:cs="Times New Roman" w:hAnsi="Times New Roman"/>
          <w:sz w:val="32"/>
          <w:szCs w:val="32"/>
        </w:rPr>
        <w:t>其他社会保障缴费1.77万元、其他工资福利支出4.27万元、离休费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、退休费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、抚恤金</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、生活补助</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、医疗费补助</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、奖励金</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、住房公积金17.82万元、其他对个人和家庭的补助支出</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等。</w:t>
        <w:br/>
        <w:t>　　公用经费</w:t>
      </w:r>
      <w:r>
        <w:rPr>
          <w:rFonts w:ascii="Times New Roman" w:eastAsia="仿宋" w:cs="Times New Roman" w:hAnsi="Times New Roman"/>
          <w:sz w:val="32"/>
          <w:szCs w:val="32"/>
          <w:lang w:val="en-US" w:eastAsia="zh-CN"/>
        </w:rPr>
        <w:t>16.01</w:t>
      </w:r>
      <w:r>
        <w:rPr>
          <w:rFonts w:ascii="Times New Roman" w:eastAsia="仿宋" w:cs="Times New Roman" w:hAnsi="Times New Roman"/>
          <w:sz w:val="32"/>
          <w:szCs w:val="32"/>
        </w:rPr>
        <w:t>万元，主要包括：办公费2.64万元、印刷费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、咨询费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、手续费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、水费0.44万元、电费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、邮电费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、取暖费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、物业管理费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、差旅费2.08万元、因公出国（境）费用</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、维修（护）费1.69万元、租赁费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、会议费0.16万元、培训费0.49万元、公务接待费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、劳务费1.36万元、委托业务费0.1万元、工会经费3.4</w:t>
      </w:r>
      <w:r>
        <w:rPr>
          <w:rFonts w:ascii="Times New Roman" w:eastAsia="仿宋" w:cs="Times New Roman" w:hAnsi="Times New Roman"/>
          <w:sz w:val="32"/>
          <w:szCs w:val="32"/>
          <w:lang w:val="en-US" w:eastAsia="zh-CN"/>
        </w:rPr>
        <w:t>5</w:t>
      </w:r>
      <w:r>
        <w:rPr>
          <w:rFonts w:ascii="Times New Roman" w:eastAsia="仿宋" w:cs="Times New Roman" w:hAnsi="Times New Roman"/>
          <w:sz w:val="32"/>
          <w:szCs w:val="32"/>
        </w:rPr>
        <w:t>万元、福利费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、公务用车运行维护费</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、其他交通费0.2万元、税金及附加费用</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、其他商品和服务支出3.04万元、办公设备购置0.36万元、专用设备购置</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、信息网络及软件购置更新</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、其他资本性支出</w:t>
      </w:r>
      <w:r>
        <w:rPr>
          <w:rFonts w:ascii="Times New Roman" w:eastAsia="仿宋" w:cs="Times New Roman" w:hAnsi="Times New Roman"/>
          <w:color w:val="000000"/>
          <w:sz w:val="32"/>
          <w:szCs w:val="32"/>
          <w:lang w:val="en-US" w:eastAsia="zh-CN"/>
        </w:rPr>
        <w:t>0</w:t>
      </w:r>
      <w:r>
        <w:rPr>
          <w:rFonts w:ascii="Times New Roman" w:eastAsia="仿宋" w:cs="Times New Roman" w:hAnsi="Times New Roman"/>
          <w:color w:val="000000"/>
          <w:sz w:val="32"/>
          <w:szCs w:val="32"/>
        </w:rPr>
        <w:t>万元</w:t>
      </w:r>
      <w:r>
        <w:rPr>
          <w:rFonts w:ascii="Times New Roman" w:eastAsia="仿宋" w:cs="Times New Roman" w:hAnsi="Times New Roman"/>
          <w:sz w:val="32"/>
          <w:szCs w:val="32"/>
        </w:rPr>
        <w:t>等。</w:t>
      </w:r>
    </w:p>
    <w:p>
      <w:pPr>
        <w:spacing w:line="600" w:lineRule="exact"/>
        <w:ind w:firstLine="640"/>
        <w:outlineLvl w:val="1"/>
        <w:rPr>
          <w:rStyle w:val="2Char"/>
          <w:rFonts w:ascii="Times New Roman" w:eastAsia="黑体" w:cs="Times New Roman" w:hAnsi="Times New Roman"/>
          <w:b w:val="0"/>
        </w:rPr>
      </w:pPr>
      <w:bookmarkStart w:id="36" w:name="_Toc15396609"/>
      <w:bookmarkStart w:id="37" w:name="_Toc15377215"/>
      <w:r>
        <w:rPr>
          <w:rFonts w:ascii="Times New Roman" w:eastAsia="黑体" w:cs="Times New Roman" w:hAnsi="Times New Roman"/>
          <w:sz w:val="32"/>
          <w:szCs w:val="32"/>
        </w:rPr>
        <w:t>七、</w:t>
      </w:r>
      <w:r>
        <w:rPr>
          <w:rStyle w:val="2Char"/>
          <w:rFonts w:ascii="Times New Roman" w:eastAsia="黑体" w:cs="Times New Roman" w:hAnsi="Times New Roman"/>
          <w:b w:val="0"/>
        </w:rPr>
        <w:t>财政拨款</w:t>
      </w:r>
      <w:r>
        <w:rPr>
          <w:rStyle w:val="2Char"/>
          <w:rFonts w:ascii="Times New Roman" w:eastAsia="黑体" w:cs="Times New Roman" w:hAnsi="Times New Roman"/>
        </w:rPr>
        <w:t>“</w:t>
      </w:r>
      <w:r>
        <w:rPr>
          <w:rStyle w:val="2Char"/>
          <w:rFonts w:ascii="Times New Roman" w:eastAsia="黑体" w:cs="Times New Roman" w:hAnsi="Times New Roman"/>
          <w:b w:val="0"/>
        </w:rPr>
        <w:t>三公”经费支出决算情况说明</w:t>
      </w:r>
      <w:bookmarkEnd w:id="36"/>
      <w:bookmarkEnd w:id="37"/>
    </w:p>
    <w:p>
      <w:pPr>
        <w:spacing w:line="600" w:lineRule="exact"/>
        <w:ind w:firstLine="640"/>
        <w:outlineLvl w:val="2"/>
        <w:rPr>
          <w:rFonts w:ascii="Times New Roman" w:eastAsia="仿宋" w:cs="Times New Roman" w:hAnsi="Times New Roman"/>
          <w:b/>
          <w:sz w:val="32"/>
          <w:szCs w:val="32"/>
        </w:rPr>
      </w:pPr>
      <w:bookmarkStart w:id="38" w:name="_Toc15377216"/>
      <w:r>
        <w:rPr>
          <w:rFonts w:ascii="Times New Roman" w:eastAsia="仿宋" w:cs="Times New Roman" w:hAnsi="Times New Roman"/>
          <w:b/>
          <w:sz w:val="32"/>
          <w:szCs w:val="32"/>
        </w:rPr>
        <w:t>（一）“三公”经费财政拨款支出决算总体情况说明</w:t>
      </w:r>
      <w:bookmarkEnd w:id="38"/>
    </w:p>
    <w:p>
      <w:pPr>
        <w:spacing w:line="600" w:lineRule="exact"/>
        <w:ind w:firstLine="640"/>
        <w:rPr>
          <w:rFonts w:ascii="Times New Roman" w:eastAsia="仿宋" w:cs="Times New Roman" w:hAnsi="Times New Roman"/>
          <w:sz w:val="32"/>
          <w:szCs w:val="32"/>
        </w:rPr>
      </w:pPr>
      <w:r>
        <w:rPr>
          <w:rFonts w:ascii="Times New Roman" w:eastAsia="仿宋" w:cs="Times New Roman" w:hAnsi="Times New Roman"/>
          <w:sz w:val="32"/>
          <w:szCs w:val="32"/>
        </w:rPr>
        <w:t>2022年“三公”经费财政拨款支出决算为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万元。决算数与预算数持平。</w:t>
      </w:r>
    </w:p>
    <w:p>
      <w:pPr>
        <w:spacing w:line="600" w:lineRule="exact"/>
        <w:ind w:firstLine="640"/>
        <w:outlineLvl w:val="2"/>
        <w:rPr>
          <w:rFonts w:ascii="Times New Roman" w:eastAsia="仿宋" w:cs="Times New Roman" w:hAnsi="Times New Roman"/>
          <w:b/>
          <w:sz w:val="32"/>
          <w:szCs w:val="32"/>
        </w:rPr>
      </w:pPr>
      <w:bookmarkStart w:id="39" w:name="_Toc15377217"/>
      <w:r>
        <w:rPr>
          <w:rFonts w:ascii="Times New Roman" w:eastAsia="仿宋" w:cs="Times New Roman" w:hAnsi="Times New Roman"/>
          <w:b/>
          <w:sz w:val="32"/>
          <w:szCs w:val="32"/>
        </w:rPr>
        <w:t>（二）“三公”经费财政拨款支出决算具体情况说明</w:t>
      </w:r>
      <w:bookmarkEnd w:id="39"/>
    </w:p>
    <w:p>
      <w:pPr>
        <w:spacing w:line="600" w:lineRule="exact"/>
        <w:ind w:firstLine="640"/>
        <w:rPr>
          <w:rFonts w:ascii="Times New Roman" w:eastAsia="仿宋" w:cs="Times New Roman" w:hAnsi="Times New Roman"/>
          <w:sz w:val="32"/>
          <w:szCs w:val="32"/>
        </w:rPr>
      </w:pPr>
      <w:r>
        <w:rPr>
          <w:rFonts w:ascii="Times New Roman" w:eastAsia="仿宋" w:cs="Times New Roman" w:hAnsi="Times New Roman"/>
          <w:sz w:val="32"/>
          <w:szCs w:val="32"/>
        </w:rPr>
        <w:t>2022年“三公”经费财政拨款支出决算中，因公出国（境）费支出决算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%；公务用车购置及运行维护费支出决算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%；公务接待费支出决算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%。具体情况如下：</w:t>
      </w:r>
    </w:p>
    <w:p>
      <w:pPr>
        <w:spacing w:line="600" w:lineRule="exact"/>
        <w:ind w:firstLine="640"/>
        <w:rPr>
          <w:rFonts w:ascii="Times New Roman" w:eastAsia="仿宋" w:cs="Times New Roman" w:hAnsi="Times New Roman"/>
          <w:sz w:val="32"/>
          <w:szCs w:val="32"/>
        </w:rPr>
      </w:pPr>
      <w:r>
        <w:rPr>
          <w:rFonts w:ascii="Times New Roman" w:eastAsia="仿宋" w:cs="Times New Roman" w:hAnsi="Times New Roman"/>
          <w:sz w:val="32"/>
          <w:szCs w:val="32"/>
        </w:rPr>
        <w:t>（图7：“三公”经费财政拨款支出结构）</w:t>
      </w:r>
    </w:p>
    <w:p>
      <w:pPr>
        <w:spacing w:line="600" w:lineRule="exact"/>
        <w:ind w:firstLine="640"/>
        <w:rPr>
          <w:rFonts w:ascii="Times New Roman" w:eastAsia="仿宋_GB2312" w:cs="Times New Roman" w:hAnsi="Times New Roman"/>
          <w:b/>
          <w:sz w:val="32"/>
          <w:szCs w:val="32"/>
        </w:rPr>
      </w:pPr>
      <w:r>
        <w:rPr>
          <w:rFonts w:ascii="Times New Roman" w:eastAsia="仿宋_GB2312" w:cs="Times New Roman" w:hAnsi="Times New Roman"/>
          <w:sz w:val="32"/>
          <w:szCs w:val="32"/>
          <w:lang w:eastAsia="zh-CN"/>
        </w:rPr>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1.因公出国（境）经费支出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万元，完成预算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%。全年安排因公出国（境）团组</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次，出国（境）</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人。</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2.公务用车购置及运行维护费支出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万元,完成预算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其中：公务用车购置支出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万元。截至2022年12月底，单位共有公务用车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辆，其中：轿车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辆、越野车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辆、载客汽车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公务用车运行维护费支出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3.公务接待费支出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万元，完成预算</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%。其中：</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国内公务接待支出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外事接待支出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万元。外事接待</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批次，</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人次（不包括陪同人员），共计支出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p>
    <w:p>
      <w:pPr>
        <w:spacing w:line="600" w:lineRule="exact"/>
        <w:ind w:firstLine="640"/>
        <w:outlineLvl w:val="1"/>
        <w:rPr>
          <w:rStyle w:val="2Char"/>
          <w:rFonts w:ascii="Times New Roman" w:eastAsia="黑体" w:cs="Times New Roman" w:hAnsi="Times New Roman"/>
        </w:rPr>
      </w:pPr>
      <w:bookmarkStart w:id="40" w:name="_Toc15396610"/>
      <w:bookmarkStart w:id="41" w:name="_Toc15377218"/>
      <w:r>
        <w:rPr>
          <w:rFonts w:ascii="Times New Roman" w:eastAsia="黑体" w:cs="Times New Roman" w:hAnsi="Times New Roman"/>
          <w:sz w:val="32"/>
          <w:szCs w:val="32"/>
        </w:rPr>
        <w:t>八、</w:t>
      </w:r>
      <w:r>
        <w:rPr>
          <w:rStyle w:val="2Char"/>
          <w:rFonts w:ascii="Times New Roman" w:eastAsia="黑体" w:cs="Times New Roman" w:hAnsi="Times New Roman"/>
          <w:b w:val="0"/>
        </w:rPr>
        <w:t>政府性基金预算支出决算情况说明</w:t>
      </w:r>
      <w:bookmarkEnd w:id="40"/>
      <w:bookmarkEnd w:id="41"/>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2022年政府性基金预算财政拨款支出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p>
    <w:p>
      <w:pPr>
        <w:numPr>
          <w:ilvl w:val="0"/>
          <w:numId w:val="2"/>
        </w:numPr>
        <w:spacing w:line="600" w:lineRule="exact"/>
        <w:ind w:left="0" w:firstLine="640"/>
        <w:outlineLvl w:val="1"/>
        <w:rPr>
          <w:rStyle w:val="2Char"/>
          <w:rFonts w:ascii="Times New Roman" w:eastAsia="黑体" w:cs="Times New Roman" w:hAnsi="Times New Roman"/>
          <w:b w:val="0"/>
        </w:rPr>
      </w:pPr>
      <w:bookmarkStart w:id="42" w:name="_Toc15396611"/>
      <w:bookmarkStart w:id="43" w:name="_Toc15377219"/>
      <w:r>
        <w:rPr>
          <w:rStyle w:val="2Char"/>
          <w:rFonts w:ascii="Times New Roman" w:eastAsia="黑体" w:cs="Times New Roman" w:hAnsi="Times New Roman"/>
          <w:b w:val="0"/>
        </w:rPr>
        <w:t>国有资本经营预算支出决算情况说明</w:t>
      </w:r>
      <w:bookmarkEnd w:id="42"/>
      <w:bookmarkEnd w:id="43"/>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2022年国有资本经营预算财政拨款支出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w:t>
      </w:r>
    </w:p>
    <w:p>
      <w:pPr>
        <w:numPr>
          <w:ilvl w:val="0"/>
          <w:numId w:val="2"/>
        </w:numPr>
        <w:spacing w:line="600" w:lineRule="exact"/>
        <w:ind w:left="0" w:firstLine="640"/>
        <w:outlineLvl w:val="1"/>
        <w:rPr>
          <w:rStyle w:val="2Char"/>
          <w:rFonts w:ascii="Times New Roman" w:eastAsia="黑体" w:cs="Times New Roman" w:hAnsi="Times New Roman"/>
          <w:b w:val="0"/>
        </w:rPr>
      </w:pPr>
      <w:bookmarkStart w:id="44" w:name="_Toc15396612"/>
      <w:bookmarkStart w:id="45" w:name="_Toc15377221"/>
      <w:r>
        <w:rPr>
          <w:rStyle w:val="2Char"/>
          <w:rFonts w:ascii="Times New Roman" w:eastAsia="黑体" w:cs="Times New Roman" w:hAnsi="Times New Roman"/>
          <w:b w:val="0"/>
        </w:rPr>
        <w:t>其他重要事项的情况说明</w:t>
      </w:r>
      <w:bookmarkEnd w:id="44"/>
      <w:bookmarkEnd w:id="45"/>
    </w:p>
    <w:p>
      <w:pPr>
        <w:spacing w:line="600" w:lineRule="exact"/>
        <w:ind w:firstLineChars="200" w:firstLine="640"/>
        <w:outlineLvl w:val="2"/>
        <w:rPr>
          <w:rFonts w:ascii="Times New Roman" w:eastAsia="仿宋" w:cs="Times New Roman" w:hAnsi="Times New Roman"/>
          <w:sz w:val="32"/>
          <w:szCs w:val="32"/>
        </w:rPr>
      </w:pPr>
      <w:bookmarkStart w:id="46" w:name="_Toc15377222"/>
      <w:r>
        <w:rPr>
          <w:rFonts w:ascii="Times New Roman" w:eastAsia="仿宋" w:cs="Times New Roman" w:hAnsi="Times New Roman"/>
          <w:b/>
          <w:sz w:val="32"/>
          <w:szCs w:val="32"/>
        </w:rPr>
        <w:t>（一）机关运行经费支出情况</w:t>
      </w:r>
      <w:bookmarkEnd w:id="46"/>
    </w:p>
    <w:p>
      <w:pPr>
        <w:spacing w:line="600" w:lineRule="exact"/>
        <w:ind w:firstLine="645"/>
        <w:rPr>
          <w:rFonts w:ascii="Times New Roman" w:eastAsia="仿宋" w:cs="Times New Roman" w:hAnsi="Times New Roman"/>
          <w:sz w:val="32"/>
          <w:szCs w:val="32"/>
          <w:lang w:val="en-US" w:eastAsia="zh-CN"/>
        </w:rPr>
      </w:pPr>
      <w:r>
        <w:rPr>
          <w:rFonts w:ascii="Times New Roman" w:eastAsia="仿宋" w:cs="Times New Roman" w:hAnsi="Times New Roman"/>
          <w:sz w:val="32"/>
          <w:szCs w:val="32"/>
        </w:rPr>
        <w:t>2022年，攀枝花市紧急医学救援中心机关运行经费支出0万元</w:t>
      </w:r>
      <w:r>
        <w:rPr>
          <w:rFonts w:ascii="Times New Roman" w:eastAsia="仿宋" w:cs="Times New Roman" w:hAnsi="Times New Roman"/>
          <w:sz w:val="32"/>
          <w:szCs w:val="32"/>
          <w:lang w:eastAsia="zh-CN"/>
        </w:rPr>
        <w:t>，</w:t>
      </w:r>
      <w:r>
        <w:rPr>
          <w:rFonts w:ascii="Times New Roman" w:eastAsia="仿宋" w:cs="Times New Roman" w:hAnsi="Times New Roman"/>
          <w:sz w:val="32"/>
          <w:szCs w:val="32"/>
        </w:rPr>
        <w:t>与202</w:t>
      </w:r>
      <w:r>
        <w:rPr>
          <w:rFonts w:ascii="Times New Roman" w:eastAsia="仿宋" w:cs="Times New Roman" w:hAnsi="Times New Roman"/>
          <w:sz w:val="32"/>
          <w:szCs w:val="32"/>
          <w:lang w:val="en-US" w:eastAsia="zh-CN"/>
        </w:rPr>
        <w:t>1</w:t>
      </w:r>
      <w:r>
        <w:rPr>
          <w:rFonts w:ascii="Times New Roman" w:eastAsia="仿宋" w:cs="Times New Roman" w:hAnsi="Times New Roman"/>
          <w:sz w:val="32"/>
          <w:szCs w:val="32"/>
        </w:rPr>
        <w:t>年决算数持平。主要原因是市紧急医学救援中心</w:t>
      </w:r>
      <w:r>
        <w:rPr>
          <w:rFonts w:ascii="Times New Roman" w:eastAsia="仿宋" w:cs="Times New Roman" w:hAnsi="Times New Roman"/>
          <w:sz w:val="32"/>
          <w:szCs w:val="32"/>
          <w:lang w:val="en-US" w:eastAsia="zh-CN"/>
        </w:rPr>
        <w:t>为事业单位，按规定未使用机关运行的相关科目。</w:t>
      </w:r>
    </w:p>
    <w:p>
      <w:pPr>
        <w:autoSpaceDE w:val="0"/>
        <w:autoSpaceDN w:val="0"/>
        <w:adjustRightInd w:val="0"/>
        <w:spacing w:line="600" w:lineRule="exact"/>
        <w:ind w:firstLineChars="200" w:firstLine="640"/>
        <w:jc w:val="left"/>
        <w:outlineLvl w:val="2"/>
        <w:rPr>
          <w:rFonts w:ascii="Times New Roman" w:eastAsia="仿宋" w:cs="Times New Roman" w:hAnsi="Times New Roman"/>
          <w:b/>
          <w:sz w:val="32"/>
          <w:szCs w:val="32"/>
        </w:rPr>
      </w:pPr>
      <w:bookmarkStart w:id="47" w:name="_Toc15377223"/>
      <w:r>
        <w:rPr>
          <w:rFonts w:ascii="Times New Roman" w:eastAsia="仿宋" w:cs="Times New Roman" w:hAnsi="Times New Roman"/>
          <w:b/>
          <w:sz w:val="32"/>
          <w:szCs w:val="32"/>
        </w:rPr>
        <w:t>（二）政府采购支出情况</w:t>
      </w:r>
      <w:bookmarkEnd w:id="47"/>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2022年，</w:t>
      </w:r>
      <w:r>
        <w:rPr>
          <w:rFonts w:ascii="Times New Roman" w:eastAsia="仿宋" w:cs="Times New Roman" w:hAnsi="Times New Roman"/>
          <w:sz w:val="32"/>
          <w:szCs w:val="32"/>
          <w:lang w:val="en-US" w:eastAsia="zh-CN"/>
        </w:rPr>
        <w:t>攀枝花市紧急医学救援中心</w:t>
      </w:r>
      <w:r>
        <w:rPr>
          <w:rFonts w:ascii="Times New Roman" w:eastAsia="仿宋" w:cs="Times New Roman" w:hAnsi="Times New Roman"/>
          <w:sz w:val="32"/>
          <w:szCs w:val="32"/>
        </w:rPr>
        <w:t>政府采购支出总额</w:t>
      </w:r>
      <w:r>
        <w:rPr>
          <w:rFonts w:ascii="Times New Roman" w:eastAsia="仿宋" w:cs="Times New Roman" w:hAnsi="Times New Roman"/>
          <w:sz w:val="32"/>
          <w:szCs w:val="32"/>
          <w:lang w:val="en-US" w:eastAsia="zh-CN"/>
        </w:rPr>
        <w:t>1.85</w:t>
      </w:r>
      <w:r>
        <w:rPr>
          <w:rFonts w:ascii="Times New Roman" w:eastAsia="仿宋" w:cs="Times New Roman" w:hAnsi="Times New Roman"/>
          <w:sz w:val="32"/>
          <w:szCs w:val="32"/>
        </w:rPr>
        <w:t>万元，其中：政府采购货物支出</w:t>
      </w:r>
      <w:r>
        <w:rPr>
          <w:rFonts w:ascii="Times New Roman" w:eastAsia="仿宋" w:cs="Times New Roman" w:hAnsi="Times New Roman"/>
          <w:sz w:val="32"/>
          <w:szCs w:val="32"/>
          <w:lang w:val="en-US" w:eastAsia="zh-CN"/>
        </w:rPr>
        <w:t>1.85</w:t>
      </w:r>
      <w:r>
        <w:rPr>
          <w:rFonts w:ascii="Times New Roman" w:eastAsia="仿宋" w:cs="Times New Roman" w:hAnsi="Times New Roman"/>
          <w:sz w:val="32"/>
          <w:szCs w:val="32"/>
        </w:rPr>
        <w:t>万元、政府采购工程支出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万元、政府采购服务支出</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万元。主要用于市紧急医学救援中心</w:t>
      </w:r>
      <w:r>
        <w:rPr>
          <w:rFonts w:ascii="Times New Roman" w:eastAsia="仿宋" w:cs="Times New Roman" w:hAnsi="Times New Roman"/>
          <w:sz w:val="32"/>
          <w:szCs w:val="32"/>
          <w:lang w:eastAsia="zh-CN"/>
        </w:rPr>
        <w:t>日常办公需要</w:t>
      </w:r>
      <w:r>
        <w:rPr>
          <w:rFonts w:ascii="Times New Roman" w:eastAsia="仿宋" w:cs="Times New Roman" w:hAnsi="Times New Roman"/>
          <w:sz w:val="32"/>
          <w:szCs w:val="32"/>
          <w:lang w:val="en-US" w:eastAsia="zh-CN"/>
        </w:rPr>
        <w:t>的空调、打印机</w:t>
      </w:r>
      <w:r>
        <w:rPr>
          <w:rFonts w:ascii="Times New Roman" w:eastAsia="仿宋" w:cs="Times New Roman" w:hAnsi="Times New Roman"/>
          <w:sz w:val="32"/>
          <w:szCs w:val="32"/>
        </w:rPr>
        <w:t>。授予中小企业合同金额</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万元，占政府采购支出总额的</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%，其中：授予小微企业合同金额</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万元，占政府采购支出总额的</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w:t>
      </w:r>
    </w:p>
    <w:p>
      <w:pPr>
        <w:autoSpaceDE w:val="0"/>
        <w:autoSpaceDN w:val="0"/>
        <w:adjustRightInd w:val="0"/>
        <w:spacing w:line="600" w:lineRule="exact"/>
        <w:ind w:firstLineChars="200" w:firstLine="640"/>
        <w:jc w:val="left"/>
        <w:outlineLvl w:val="2"/>
        <w:rPr>
          <w:rFonts w:ascii="Times New Roman" w:eastAsia="仿宋" w:cs="Times New Roman" w:hAnsi="Times New Roman"/>
          <w:b/>
          <w:sz w:val="32"/>
          <w:szCs w:val="32"/>
        </w:rPr>
      </w:pPr>
      <w:bookmarkStart w:id="48" w:name="_Toc15377224"/>
      <w:r>
        <w:rPr>
          <w:rFonts w:ascii="Times New Roman" w:eastAsia="仿宋" w:cs="Times New Roman" w:hAnsi="Times New Roman"/>
          <w:b/>
          <w:sz w:val="32"/>
          <w:szCs w:val="32"/>
        </w:rPr>
        <w:t>（三）国有资产占有使用情况</w:t>
      </w:r>
      <w:bookmarkEnd w:id="48"/>
    </w:p>
    <w:p>
      <w:pPr>
        <w:spacing w:line="600" w:lineRule="exact"/>
        <w:ind w:firstLine="645"/>
        <w:rPr>
          <w:rFonts w:ascii="Times New Roman" w:eastAsia="仿宋" w:cs="Times New Roman" w:hAnsi="Times New Roman"/>
          <w:sz w:val="32"/>
          <w:szCs w:val="32"/>
        </w:rPr>
      </w:pPr>
      <w:r>
        <w:rPr>
          <w:rFonts w:ascii="Times New Roman" w:eastAsia="仿宋" w:cs="Times New Roman" w:hAnsi="Times New Roman"/>
          <w:sz w:val="32"/>
          <w:szCs w:val="32"/>
        </w:rPr>
        <w:t>截至2022年12月31日，</w:t>
      </w:r>
      <w:r>
        <w:rPr>
          <w:rFonts w:ascii="Times New Roman" w:eastAsia="仿宋" w:cs="Times New Roman" w:hAnsi="Times New Roman"/>
          <w:sz w:val="32"/>
          <w:szCs w:val="32"/>
          <w:lang w:eastAsia="zh-CN"/>
        </w:rPr>
        <w:t>攀枝花市紧急医学救援中心</w:t>
      </w:r>
      <w:r>
        <w:rPr>
          <w:rFonts w:ascii="Times New Roman" w:eastAsia="仿宋" w:cs="Times New Roman" w:hAnsi="Times New Roman"/>
          <w:sz w:val="32"/>
          <w:szCs w:val="32"/>
        </w:rPr>
        <w:t>共有车辆</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辆，其中：主要领导干部用车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辆、机要通信用车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辆、应急保障用车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辆、其他用车</w:t>
      </w:r>
      <w:r>
        <w:rPr>
          <w:rFonts w:ascii="Times New Roman" w:eastAsia="仿宋" w:cs="Times New Roman" w:hAnsi="Times New Roman"/>
          <w:sz w:val="32"/>
          <w:szCs w:val="32"/>
          <w:lang w:val="en-US" w:eastAsia="zh-CN"/>
        </w:rPr>
        <w:t>0</w:t>
      </w:r>
      <w:r>
        <w:rPr>
          <w:rFonts w:ascii="Times New Roman" w:eastAsia="仿宋" w:cs="Times New Roman" w:hAnsi="Times New Roman"/>
          <w:sz w:val="32"/>
          <w:szCs w:val="32"/>
        </w:rPr>
        <w:t>辆。单价100万元以上专用设备</w:t>
      </w:r>
      <w:r>
        <w:rPr>
          <w:rFonts w:ascii="Times New Roman" w:eastAsia="仿宋" w:cs="Times New Roman" w:hAnsi="Times New Roman"/>
          <w:sz w:val="32"/>
          <w:szCs w:val="32"/>
          <w:lang w:val="en-US" w:eastAsia="zh-CN"/>
        </w:rPr>
        <w:t>0</w:t>
      </w:r>
      <w:bookmarkStart w:id="49" w:name="_GoBack"/>
      <w:bookmarkEnd w:id="49"/>
      <w:r>
        <w:rPr>
          <w:rFonts w:ascii="Times New Roman" w:eastAsia="仿宋" w:cs="Times New Roman" w:hAnsi="Times New Roman"/>
          <w:sz w:val="32"/>
          <w:szCs w:val="32"/>
        </w:rPr>
        <w:t>台（套）。</w:t>
      </w:r>
    </w:p>
    <w:p>
      <w:pPr>
        <w:autoSpaceDE w:val="0"/>
        <w:autoSpaceDN w:val="0"/>
        <w:adjustRightInd w:val="0"/>
        <w:spacing w:line="600" w:lineRule="exact"/>
        <w:ind w:firstLineChars="200" w:firstLine="640"/>
        <w:jc w:val="left"/>
        <w:outlineLvl w:val="2"/>
        <w:rPr>
          <w:rFonts w:ascii="Times New Roman" w:eastAsia="仿宋" w:cs="Times New Roman" w:hAnsi="Times New Roman"/>
          <w:b/>
          <w:sz w:val="32"/>
          <w:szCs w:val="32"/>
        </w:rPr>
      </w:pPr>
      <w:r>
        <w:rPr>
          <w:rFonts w:ascii="Times New Roman" w:eastAsia="仿宋" w:cs="Times New Roman" w:hAnsi="Times New Roman"/>
          <w:b/>
          <w:sz w:val="32"/>
          <w:szCs w:val="32"/>
        </w:rPr>
        <w:t>（四）预算绩效管理情况</w:t>
      </w:r>
    </w:p>
    <w:p>
      <w:pPr>
        <w:pStyle w:val="16"/>
        <w:spacing w:beforeLines="0" w:before="93"/>
        <w:ind w:firstLineChars="200" w:firstLine="640"/>
        <w:rPr>
          <w:rFonts w:ascii="Times New Roman" w:cs="Times New Roman" w:hAnsi="Times New Roman"/>
          <w:highlight w:val="yellow"/>
        </w:rPr>
      </w:pPr>
      <w:r>
        <w:rPr>
          <w:rFonts w:ascii="Times New Roman" w:eastAsia="仿宋" w:cs="Times New Roman" w:hAnsi="Times New Roman"/>
          <w:kern w:val="2"/>
          <w:sz w:val="32"/>
          <w:szCs w:val="32"/>
          <w:lang w:val="en-US" w:eastAsia="zh-CN" w:bidi="ar-SA"/>
        </w:rPr>
        <w:t>根据预算绩效管理要求，本单位在2022年度预算编制阶段，组织对带薪年休假经费、住房公积金项目等15个项目开展了预算事前绩效评估，对15个项目编制了绩效目标，预算执行过程中，选取15个项目开展绩效监控，组织对15个项目开展绩效自评，绩效自评表详见第四部分附件。</w:t>
      </w:r>
    </w:p>
    <w:p>
      <w:pPr>
        <w:widowControl/>
        <w:jc w:val="left"/>
        <w:rPr>
          <w:rFonts w:ascii="Times New Roman" w:eastAsia="仿宋_GB2312" w:cs="Times New Roman" w:hAnsi="Times New Roman"/>
          <w:b/>
          <w:sz w:val="32"/>
          <w:szCs w:val="32"/>
        </w:rPr>
      </w:pPr>
      <w:r>
        <w:rPr>
          <w:rFonts w:ascii="Times New Roman" w:eastAsia="仿宋_GB2312" w:cs="Times New Roman" w:hAnsi="Times New Roman"/>
          <w:b/>
          <w:sz w:val="32"/>
          <w:szCs w:val="32"/>
        </w:rPr>
        <w:br w:type="page"/>
      </w:r>
    </w:p>
    <w:p>
      <w:pPr>
        <w:numPr>
          <w:ilvl w:val="0"/>
          <w:numId w:val="3"/>
        </w:numPr>
        <w:spacing w:line="600" w:lineRule="exact"/>
        <w:ind w:left="0" w:firstLineChars="150" w:firstLine="660"/>
        <w:jc w:val="center"/>
        <w:outlineLvl w:val="0"/>
        <w:rPr>
          <w:rStyle w:val="1Char"/>
          <w:rFonts w:ascii="Times New Roman" w:eastAsia="黑体" w:cs="Times New Roman" w:hAnsi="Times New Roman"/>
          <w:b w:val="0"/>
        </w:rPr>
      </w:pPr>
      <w:bookmarkStart w:id="50" w:name="_Toc15377225"/>
      <w:bookmarkStart w:id="51" w:name="_Toc15396613"/>
      <w:r>
        <w:rPr>
          <w:rFonts w:ascii="Times New Roman" w:eastAsia="黑体" w:cs="Times New Roman" w:hAnsi="Times New Roman"/>
          <w:sz w:val="44"/>
          <w:szCs w:val="44"/>
        </w:rPr>
        <w:t>名</w:t>
      </w:r>
      <w:r>
        <w:rPr>
          <w:rStyle w:val="1Char"/>
          <w:rFonts w:ascii="Times New Roman" w:eastAsia="黑体" w:cs="Times New Roman" w:hAnsi="Times New Roman"/>
          <w:b w:val="0"/>
        </w:rPr>
        <w:t>词解释</w:t>
      </w:r>
      <w:bookmarkEnd w:id="50"/>
      <w:bookmarkEnd w:id="51"/>
    </w:p>
    <w:p>
      <w:pPr>
        <w:spacing w:line="600" w:lineRule="exact"/>
        <w:jc w:val="left"/>
        <w:rPr>
          <w:rFonts w:ascii="Times New Roman" w:cs="Times New Roman" w:hAnsi="Times New Roman"/>
          <w:b/>
          <w:sz w:val="44"/>
          <w:szCs w:val="44"/>
        </w:rPr>
      </w:pP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1.财政拨款收入：指单位从同级财政部门取得的财政预算资金。</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2.事业收入：指事业单位开展专业业务活动及辅助活动取得的收入。</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 xml:space="preserve">3.其他收入：指单位取得的除上述收入以外的各项收入。主要是利息收入等。 </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 xml:space="preserve">4.年初结转和结余：指以前年度尚未完成、结转到本年按有关规定继续使用的资金。 </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5.年末结转和结余：指单位按有关规定结转到下年或以后年度继续使用的资金。</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6.机关事业单位基本养老保险缴费支出（2080505）：反映机关事业单位实施养老保险制度由单位缴纳的基本养老保险费支出。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7.其他公立医院支出（2100299）：反映除上述项目以外的其他用于公立医院方面的支出。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8.应急救治机构（2100405）：反映卫生健康部门所属应急救治机构的支出。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9.基本公共卫生服务（2100408）：反映基本公共卫生服务支出。</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10. 住房公积金（2210201）：反映行政事业单位按人力资源和社会保障部、财政部规定的基本工资和津贴补贴以及规定比例为职工缴纳的住房公积金。</w:t>
      </w:r>
    </w:p>
    <w:p>
      <w:pPr>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11.基本支出：指为保障机构正常运转、完成日常工作任务而发生的人员支出和公用支出。</w:t>
      </w:r>
    </w:p>
    <w:p>
      <w:pPr>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 xml:space="preserve">12.项目支出：指在基本支出之外为完成特定行政任务和事业发展目标所发生的支出。 </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Times New Roman" w:eastAsia="仿宋" w:cs="Times New Roman" w:hAnsi="Times New Roman"/>
          <w:color w:val="auto"/>
          <w:kern w:val="2"/>
          <w:sz w:val="32"/>
          <w:szCs w:val="32"/>
          <w:lang w:val="en-US" w:eastAsia="zh-CN" w:bidi="ar-SA"/>
        </w:rPr>
      </w:pPr>
      <w:bookmarkStart w:id="52" w:name="_Toc15396614"/>
      <w:bookmarkStart w:id="53" w:name="_Toc15377226"/>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Style w:val="1Char"/>
          <w:rFonts w:ascii="Times New Roman" w:eastAsia="黑体" w:cs="Times New Roman" w:hAnsi="Times New Roman"/>
          <w:b w:val="0"/>
        </w:rPr>
      </w:pPr>
      <w:r>
        <w:rPr>
          <w:rFonts w:ascii="Times New Roman" w:eastAsia="黑体" w:cs="Times New Roman" w:hAnsi="Times New Roman"/>
          <w:sz w:val="44"/>
          <w:szCs w:val="44"/>
        </w:rPr>
        <w:t>第</w:t>
      </w:r>
      <w:r>
        <w:rPr>
          <w:rStyle w:val="1Char"/>
          <w:rFonts w:ascii="Times New Roman" w:eastAsia="黑体" w:cs="Times New Roman" w:hAnsi="Times New Roman"/>
          <w:b w:val="0"/>
        </w:rPr>
        <w:t>四部分 附件</w:t>
      </w:r>
      <w:bookmarkEnd w:id="52"/>
    </w:p>
    <w:p>
      <w:pPr>
        <w:spacing w:line="572" w:lineRule="exact"/>
        <w:jc w:val="left"/>
        <w:outlineLvl w:val="0"/>
        <w:rPr>
          <w:rFonts w:ascii="Times New Roman" w:eastAsia="仿宋_GB2312" w:cs="Times New Roman" w:hAnsi="Times New Roman"/>
          <w:sz w:val="32"/>
          <w:szCs w:val="32"/>
        </w:rPr>
      </w:pPr>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54" w:name="_Toc15396618"/>
      <w:r>
        <w:rPr>
          <w:rFonts w:ascii="Times New Roman" w:eastAsia="仿宋" w:cs="Times New Roman" w:hAnsi="Times New Roman"/>
          <w:color w:val="auto"/>
          <w:kern w:val="2"/>
          <w:sz w:val="32"/>
          <w:szCs w:val="32"/>
          <w:lang w:val="en-US" w:eastAsia="zh-CN" w:bidi="ar-SA"/>
        </w:rPr>
        <w:t>部门预算项目支出绩效自评表（2022年度）见附件3</w:t>
      </w:r>
    </w:p>
    <w:p>
      <w:pPr>
        <w:spacing w:line="600" w:lineRule="exact"/>
        <w:jc w:val="left"/>
        <w:outlineLvl w:val="0"/>
        <w:rPr>
          <w:rFonts w:ascii="Times New Roman" w:eastAsia="仿宋_GB2312" w:cs="Times New Roman" w:hAnsi="Times New Roman"/>
          <w:kern w:val="0"/>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pStyle w:val="16"/>
        <w:spacing w:beforeLines="0" w:before="93"/>
        <w:rPr>
          <w:rFonts w:ascii="Times New Roman" w:cs="Times New Roman" w:hAnsi="Times New Roman"/>
          <w:sz w:val="32"/>
          <w:szCs w:val="32"/>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黑体" w:cs="Times New Roman" w:hAnsi="Times New Roman"/>
          <w:sz w:val="44"/>
          <w:szCs w:val="44"/>
        </w:rPr>
      </w:pPr>
    </w:p>
    <w:p>
      <w:pPr>
        <w:spacing w:line="600" w:lineRule="exact"/>
        <w:jc w:val="center"/>
        <w:outlineLvl w:val="0"/>
        <w:rPr>
          <w:rFonts w:ascii="Times New Roman" w:eastAsia="仿宋" w:cs="Times New Roman" w:hAnsi="Times New Roman"/>
        </w:rPr>
      </w:pPr>
      <w:r>
        <w:rPr>
          <w:rFonts w:ascii="Times New Roman" w:eastAsia="黑体" w:cs="Times New Roman" w:hAnsi="Times New Roman"/>
          <w:sz w:val="44"/>
          <w:szCs w:val="44"/>
        </w:rPr>
        <w:t>第</w:t>
      </w:r>
      <w:r>
        <w:rPr>
          <w:rStyle w:val="1Char"/>
          <w:rFonts w:ascii="Times New Roman" w:eastAsia="黑体" w:cs="Times New Roman" w:hAnsi="Times New Roman"/>
          <w:b w:val="0"/>
        </w:rPr>
        <w:t>五部分 附表</w:t>
      </w:r>
      <w:bookmarkStart w:id="55" w:name="_Toc15396619"/>
      <w:bookmarkEnd w:id="53"/>
      <w:bookmarkEnd w:id="54"/>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一、收入支出决算总表</w:t>
      </w:r>
      <w:bookmarkEnd w:id="55"/>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56" w:name="_Toc15396620"/>
      <w:r>
        <w:rPr>
          <w:rFonts w:ascii="Times New Roman" w:eastAsia="仿宋" w:cs="Times New Roman" w:hAnsi="Times New Roman"/>
          <w:color w:val="auto"/>
          <w:kern w:val="2"/>
          <w:sz w:val="32"/>
          <w:szCs w:val="32"/>
          <w:lang w:val="en-US" w:eastAsia="zh-CN" w:bidi="ar-SA"/>
        </w:rPr>
        <w:t>二、收入决算表</w:t>
      </w:r>
      <w:bookmarkEnd w:id="56"/>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57" w:name="_Toc15396621"/>
      <w:r>
        <w:rPr>
          <w:rFonts w:ascii="Times New Roman" w:eastAsia="仿宋" w:cs="Times New Roman" w:hAnsi="Times New Roman"/>
          <w:color w:val="auto"/>
          <w:kern w:val="2"/>
          <w:sz w:val="32"/>
          <w:szCs w:val="32"/>
          <w:lang w:val="en-US" w:eastAsia="zh-CN" w:bidi="ar-SA"/>
        </w:rPr>
        <w:t>三、支出决算表</w:t>
      </w:r>
      <w:bookmarkEnd w:id="57"/>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58" w:name="_Toc15396622"/>
      <w:r>
        <w:rPr>
          <w:rFonts w:ascii="Times New Roman" w:eastAsia="仿宋" w:cs="Times New Roman" w:hAnsi="Times New Roman"/>
          <w:color w:val="auto"/>
          <w:kern w:val="2"/>
          <w:sz w:val="32"/>
          <w:szCs w:val="32"/>
          <w:lang w:val="en-US" w:eastAsia="zh-CN" w:bidi="ar-SA"/>
        </w:rPr>
        <w:t>四、财政拨款收入支出决算总表</w:t>
      </w:r>
      <w:bookmarkEnd w:id="58"/>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59" w:name="_Toc15396623"/>
      <w:r>
        <w:rPr>
          <w:rFonts w:ascii="Times New Roman" w:eastAsia="仿宋" w:cs="Times New Roman" w:hAnsi="Times New Roman"/>
          <w:color w:val="auto"/>
          <w:kern w:val="2"/>
          <w:sz w:val="32"/>
          <w:szCs w:val="32"/>
          <w:lang w:val="en-US" w:eastAsia="zh-CN" w:bidi="ar-SA"/>
        </w:rPr>
        <w:t>五、财政拨款支出决算明细表</w:t>
      </w:r>
      <w:bookmarkStart w:id="60" w:name="_Toc15396624"/>
      <w:bookmarkEnd w:id="59"/>
    </w:p>
    <w:p>
      <w:pPr>
        <w:spacing w:line="580" w:lineRule="exact"/>
        <w:ind w:firstLineChars="200" w:firstLine="640"/>
        <w:rPr>
          <w:rFonts w:ascii="Times New Roman" w:eastAsia="仿宋" w:cs="Times New Roman" w:hAnsi="Times New Roman"/>
          <w:color w:val="auto"/>
          <w:kern w:val="2"/>
          <w:sz w:val="32"/>
          <w:szCs w:val="32"/>
          <w:lang w:val="en-US" w:eastAsia="zh-CN" w:bidi="ar-SA"/>
        </w:rPr>
      </w:pPr>
      <w:r>
        <w:rPr>
          <w:rFonts w:ascii="Times New Roman" w:eastAsia="仿宋" w:cs="Times New Roman" w:hAnsi="Times New Roman"/>
          <w:color w:val="auto"/>
          <w:kern w:val="2"/>
          <w:sz w:val="32"/>
          <w:szCs w:val="32"/>
          <w:lang w:val="en-US" w:eastAsia="zh-CN" w:bidi="ar-SA"/>
        </w:rPr>
        <w:t>六、一般公共预算财政拨款支出决算表</w:t>
      </w:r>
      <w:bookmarkEnd w:id="60"/>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1" w:name="_Toc15396625"/>
      <w:r>
        <w:rPr>
          <w:rFonts w:ascii="Times New Roman" w:eastAsia="仿宋" w:cs="Times New Roman" w:hAnsi="Times New Roman"/>
          <w:color w:val="auto"/>
          <w:kern w:val="2"/>
          <w:sz w:val="32"/>
          <w:szCs w:val="32"/>
          <w:lang w:val="en-US" w:eastAsia="zh-CN" w:bidi="ar-SA"/>
        </w:rPr>
        <w:t>七、一般公共预算财政拨款支出决算明细表</w:t>
      </w:r>
      <w:bookmarkEnd w:id="61"/>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2" w:name="_Toc15396626"/>
      <w:r>
        <w:rPr>
          <w:rFonts w:ascii="Times New Roman" w:eastAsia="仿宋" w:cs="Times New Roman" w:hAnsi="Times New Roman"/>
          <w:color w:val="auto"/>
          <w:kern w:val="2"/>
          <w:sz w:val="32"/>
          <w:szCs w:val="32"/>
          <w:lang w:val="en-US" w:eastAsia="zh-CN" w:bidi="ar-SA"/>
        </w:rPr>
        <w:t>八、一般公共预算财政拨款基本支出决算表</w:t>
      </w:r>
      <w:bookmarkEnd w:id="62"/>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3" w:name="_Toc15396627"/>
      <w:r>
        <w:rPr>
          <w:rFonts w:ascii="Times New Roman" w:eastAsia="仿宋" w:cs="Times New Roman" w:hAnsi="Times New Roman"/>
          <w:color w:val="auto"/>
          <w:kern w:val="2"/>
          <w:sz w:val="32"/>
          <w:szCs w:val="32"/>
          <w:lang w:val="en-US" w:eastAsia="zh-CN" w:bidi="ar-SA"/>
        </w:rPr>
        <w:t>九、一般公共预算财政拨款项目支出决算表</w:t>
      </w:r>
      <w:bookmarkEnd w:id="63"/>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4" w:name="_Toc15396628"/>
      <w:r>
        <w:rPr>
          <w:rFonts w:ascii="Times New Roman" w:eastAsia="仿宋" w:cs="Times New Roman" w:hAnsi="Times New Roman"/>
          <w:color w:val="auto"/>
          <w:kern w:val="2"/>
          <w:sz w:val="32"/>
          <w:szCs w:val="32"/>
          <w:lang w:val="en-US" w:eastAsia="zh-CN" w:bidi="ar-SA"/>
        </w:rPr>
        <w:t>十、</w:t>
      </w:r>
      <w:bookmarkEnd w:id="64"/>
      <w:r>
        <w:rPr>
          <w:rFonts w:ascii="Times New Roman" w:eastAsia="仿宋" w:cs="Times New Roman" w:hAnsi="Times New Roman"/>
          <w:color w:val="auto"/>
          <w:kern w:val="2"/>
          <w:sz w:val="32"/>
          <w:szCs w:val="32"/>
          <w:lang w:val="en-US" w:eastAsia="zh-CN" w:bidi="ar-SA"/>
        </w:rPr>
        <w:t>政府性基金预算财政拨款收入支出决算表（此表无数据）</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5" w:name="_Toc15396629"/>
      <w:r>
        <w:rPr>
          <w:rFonts w:ascii="Times New Roman" w:eastAsia="仿宋" w:cs="Times New Roman" w:hAnsi="Times New Roman"/>
          <w:color w:val="auto"/>
          <w:kern w:val="2"/>
          <w:sz w:val="32"/>
          <w:szCs w:val="32"/>
          <w:lang w:val="en-US" w:eastAsia="zh-CN" w:bidi="ar-SA"/>
        </w:rPr>
        <w:t>十一、</w:t>
      </w:r>
      <w:bookmarkEnd w:id="65"/>
      <w:r>
        <w:rPr>
          <w:rFonts w:ascii="Times New Roman" w:eastAsia="仿宋" w:cs="Times New Roman" w:hAnsi="Times New Roman"/>
          <w:color w:val="auto"/>
          <w:kern w:val="2"/>
          <w:sz w:val="32"/>
          <w:szCs w:val="32"/>
          <w:lang w:val="en-US" w:eastAsia="zh-CN" w:bidi="ar-SA"/>
        </w:rPr>
        <w:t>国有资本经营预算财政拨款收入支出决算表（此表无数据）</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6" w:name="_Toc15396630"/>
      <w:r>
        <w:rPr>
          <w:rFonts w:ascii="Times New Roman" w:eastAsia="仿宋" w:cs="Times New Roman" w:hAnsi="Times New Roman"/>
          <w:color w:val="auto"/>
          <w:kern w:val="2"/>
          <w:sz w:val="32"/>
          <w:szCs w:val="32"/>
          <w:lang w:val="en-US" w:eastAsia="zh-CN" w:bidi="ar-SA"/>
        </w:rPr>
        <w:t>十二、</w:t>
      </w:r>
      <w:bookmarkEnd w:id="66"/>
      <w:r>
        <w:rPr>
          <w:rFonts w:ascii="Times New Roman" w:eastAsia="仿宋" w:cs="Times New Roman" w:hAnsi="Times New Roman"/>
          <w:color w:val="auto"/>
          <w:kern w:val="2"/>
          <w:sz w:val="32"/>
          <w:szCs w:val="32"/>
          <w:lang w:val="en-US" w:eastAsia="zh-CN" w:bidi="ar-SA"/>
        </w:rPr>
        <w:t>国有资本经营预算财政拨款支出决算表（此表无数据）</w:t>
      </w:r>
    </w:p>
    <w:p>
      <w:pPr>
        <w:spacing w:line="580" w:lineRule="exact"/>
        <w:ind w:firstLineChars="200" w:firstLine="640"/>
        <w:rPr>
          <w:rFonts w:ascii="Times New Roman" w:eastAsia="仿宋" w:cs="Times New Roman" w:hAnsi="Times New Roman"/>
          <w:color w:val="auto"/>
          <w:kern w:val="2"/>
          <w:sz w:val="32"/>
          <w:szCs w:val="32"/>
          <w:lang w:val="en-US" w:eastAsia="zh-CN" w:bidi="ar-SA"/>
        </w:rPr>
      </w:pPr>
      <w:bookmarkStart w:id="67" w:name="_Toc15396631"/>
      <w:r>
        <w:rPr>
          <w:rFonts w:ascii="Times New Roman" w:eastAsia="仿宋" w:cs="Times New Roman" w:hAnsi="Times New Roman"/>
          <w:color w:val="auto"/>
          <w:kern w:val="2"/>
          <w:sz w:val="32"/>
          <w:szCs w:val="32"/>
          <w:lang w:val="en-US" w:eastAsia="zh-CN" w:bidi="ar-SA"/>
        </w:rPr>
        <w:t>十三、</w:t>
      </w:r>
      <w:bookmarkEnd w:id="67"/>
      <w:r>
        <w:rPr>
          <w:rFonts w:ascii="Times New Roman" w:eastAsia="仿宋" w:cs="Times New Roman" w:hAnsi="Times New Roman"/>
          <w:color w:val="auto"/>
          <w:kern w:val="2"/>
          <w:sz w:val="32"/>
          <w:szCs w:val="32"/>
          <w:lang w:val="en-US" w:eastAsia="zh-CN" w:bidi="ar-SA"/>
        </w:rPr>
        <w:t>财政拨款“三公”经费支出决算表（此表无数据）</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00007A87" w:usb1="80000000" w:usb2="00000008" w:usb3="00000000" w:csb0="400001FF" w:csb1="FFFF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Cambria">
    <w:panose1 w:val="02040503050406030204"/>
    <w:charset w:val="00"/>
    <w:family w:val="roman"/>
    <w:pitch w:val="variable"/>
    <w:sig w:usb0="A00002EF" w:usb1="4000004B" w:usb2="00000000" w:usb3="00000000" w:csb0="2000009F" w:csb1="00000000"/>
  </w:font>
  <w:font w:name="Calibri">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33559620"/>
    </w:sdtPr>
    <w:sdtContent>
      <w:p>
        <w:pPr>
          <w:pStyle w:val="19"/>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tabs>
          <w:tab w:val="num" w:pos="0"/>
        </w:tabs>
        <w:ind w:left="0" w:hanging="0"/>
      </w:pPr>
      <w:rPr>
        <w:rFonts w:hint="eastAsia"/>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jMxOTJhZjVlMTNjZWRmOGU0MjYyY2NlYTUwOWE0N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6">
    <w:name w:val="Body Text"/>
    <w:basedOn w:val="0"/>
    <w:pPr>
      <w:spacing w:beforeLines="30" w:before="30"/>
    </w:pPr>
    <w:rPr>
      <w:rFonts w:ascii="仿宋_GB2312" w:eastAsia="仿宋_GB2312"/>
      <w:kern w:val="0"/>
      <w:sz w:val="30"/>
    </w:rPr>
  </w:style>
  <w:style w:type="paragraph" w:styleId="17">
    <w:name w:val="toc 3"/>
    <w:basedOn w:val="0"/>
    <w:next w:val="0"/>
    <w:pPr>
      <w:tabs>
        <w:tab w:val="right" w:leader="dot" w:pos="8296"/>
      </w:tabs>
      <w:ind w:leftChars="400" w:left="4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Yozo_Office27021597764231179</Application>
  <Pages>16</Pages>
  <Words>4317</Words>
  <Characters>4798</Characters>
  <Lines>274</Lines>
  <Paragraphs>128</Paragraphs>
  <CharactersWithSpaces>4852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41</cp:revision>
  <cp:lastPrinted>2023-07-31T10:35:00Z</cp:lastPrinted>
  <dcterms:created xsi:type="dcterms:W3CDTF">2020-08-05T09:49:00Z</dcterms:created>
  <dcterms:modified xsi:type="dcterms:W3CDTF">2025-09-10T08:50:39Z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44F75E8203454AA9AD6FAFF0C6651241_12</vt:lpwstr>
  </property>
</Properties>
</file>