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475"/>
      <w:bookmarkStart w:id="2" w:name="_Toc15377425"/>
      <w:bookmarkStart w:id="3" w:name="_Toc15378441"/>
      <w:bookmarkStart w:id="4" w:name="_Toc15377193"/>
      <w:bookmarkStart w:id="5" w:name="_Toc15396597"/>
      <w:r>
        <w:rPr>
          <w:rFonts w:hint="eastAsia" w:ascii="方正小标宋简体" w:hAnsi="方正小标宋简体" w:eastAsia="方正小标宋简体" w:cs="方正小标宋简体"/>
          <w:sz w:val="72"/>
          <w:szCs w:val="72"/>
        </w:rPr>
        <w:t>2021年度</w:t>
      </w:r>
      <w:bookmarkEnd w:id="1"/>
      <w:bookmarkEnd w:id="2"/>
      <w:bookmarkEnd w:id="3"/>
      <w:bookmarkEnd w:id="4"/>
      <w:bookmarkEnd w:id="5"/>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598"/>
      <w:bookmarkStart w:id="7" w:name="_Toc15396476"/>
      <w:bookmarkStart w:id="8" w:name="_Toc15377426"/>
      <w:bookmarkStart w:id="9" w:name="_Toc15378442"/>
      <w:bookmarkStart w:id="10" w:name="_Toc15377194"/>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宋体" w:eastAsia="方正小标宋简体"/>
          <w:color w:val="000000"/>
          <w:sz w:val="72"/>
          <w:szCs w:val="72"/>
        </w:rPr>
        <w:t>攀枝花市卫生和计划生育监督执法支队</w:t>
      </w:r>
      <w:r>
        <w:rPr>
          <w:rFonts w:hint="eastAsia" w:ascii="方正小标宋简体" w:hAnsi="方正小标宋简体" w:eastAsia="方正小标宋简体" w:cs="方正小标宋简体"/>
          <w:sz w:val="72"/>
          <w:szCs w:val="72"/>
        </w:rPr>
        <w:t>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0"/>
      </w:pPr>
      <w:r>
        <w:rPr>
          <w:rFonts w:hint="eastAsia"/>
        </w:rPr>
        <w:t>公开时间：2022年9月</w:t>
      </w:r>
      <w:r>
        <w:t>13</w:t>
      </w:r>
      <w:r>
        <w:rPr>
          <w:rFonts w:hint="eastAsia"/>
        </w:rPr>
        <w:t>日</w:t>
      </w:r>
    </w:p>
    <w:p/>
    <w:sdt>
      <w:sdtPr>
        <w:rPr>
          <w:rFonts w:ascii="宋体" w:hAnsi="宋体"/>
        </w:rPr>
        <w:id w:val="979374087"/>
        <w:docPartObj>
          <w:docPartGallery w:val="Table of Contents"/>
          <w:docPartUnique/>
        </w:docPartObj>
      </w:sdtPr>
      <w:sdtEndPr>
        <w:rPr>
          <w:rFonts w:ascii="Times New Roman" w:hAnsi="Times New Roman"/>
          <w:sz w:val="20"/>
          <w:szCs w:val="20"/>
        </w:rPr>
      </w:sdtEndPr>
      <w:sdtContent>
        <w:p>
          <w:pPr>
            <w:jc w:val="center"/>
          </w:pPr>
          <w:r>
            <w:rPr>
              <w:rFonts w:ascii="宋体" w:hAnsi="宋体"/>
            </w:rPr>
            <w:t>目录</w:t>
          </w:r>
        </w:p>
        <w:p>
          <w:pPr>
            <w:pStyle w:val="30"/>
            <w:tabs>
              <w:tab w:val="right" w:leader="dot" w:pos="8306"/>
            </w:tabs>
          </w:pPr>
          <w:r>
            <w:fldChar w:fldCharType="begin"/>
          </w:r>
          <w:r>
            <w:instrText xml:space="preserve"> HYPERLINK \l "_Toc1121503575_WPSOffice_Level1" </w:instrText>
          </w:r>
          <w:r>
            <w:fldChar w:fldCharType="separate"/>
          </w:r>
          <w:r>
            <w:rPr>
              <w:rFonts w:hint="eastAsia" w:ascii="黑体" w:hAnsi="黑体" w:eastAsia="黑体"/>
              <w:b/>
              <w:bCs/>
            </w:rPr>
            <w:t>第一部分 单位概况</w:t>
          </w:r>
          <w:r>
            <w:rPr>
              <w:b/>
              <w:bCs/>
            </w:rPr>
            <w:tab/>
          </w:r>
          <w:bookmarkStart w:id="12" w:name="_Toc1121503575_WPSOffice_Level1Page"/>
          <w:r>
            <w:rPr>
              <w:b/>
              <w:bCs/>
            </w:rPr>
            <w:t>3</w:t>
          </w:r>
          <w:bookmarkEnd w:id="12"/>
          <w:r>
            <w:rPr>
              <w:b/>
              <w:bCs/>
            </w:rPr>
            <w:fldChar w:fldCharType="end"/>
          </w:r>
        </w:p>
        <w:p>
          <w:pPr>
            <w:pStyle w:val="31"/>
            <w:tabs>
              <w:tab w:val="right" w:leader="dot" w:pos="8306"/>
            </w:tabs>
            <w:ind w:left="420"/>
          </w:pPr>
          <w:r>
            <w:fldChar w:fldCharType="begin"/>
          </w:r>
          <w:r>
            <w:instrText xml:space="preserve"> HYPERLINK \l "_Toc1259383807_WPSOffice_Level2" </w:instrText>
          </w:r>
          <w:r>
            <w:fldChar w:fldCharType="separate"/>
          </w:r>
          <w:r>
            <w:rPr>
              <w:rFonts w:hint="eastAsia" w:ascii="黑体" w:hAnsi="黑体" w:eastAsia="黑体" w:cstheme="majorBidi"/>
            </w:rPr>
            <w:t>一、职能简介</w:t>
          </w:r>
          <w:r>
            <w:tab/>
          </w:r>
          <w:bookmarkStart w:id="13" w:name="_Toc1259383807_WPSOffice_Level2Page"/>
          <w:r>
            <w:t>3</w:t>
          </w:r>
          <w:bookmarkEnd w:id="13"/>
          <w:r>
            <w:fldChar w:fldCharType="end"/>
          </w:r>
        </w:p>
        <w:p>
          <w:pPr>
            <w:pStyle w:val="31"/>
            <w:tabs>
              <w:tab w:val="right" w:leader="dot" w:pos="8306"/>
            </w:tabs>
            <w:ind w:left="420"/>
          </w:pPr>
          <w:r>
            <w:fldChar w:fldCharType="begin"/>
          </w:r>
          <w:r>
            <w:instrText xml:space="preserve"> HYPERLINK \l "_Toc566362406_WPSOffice_Level2" </w:instrText>
          </w:r>
          <w:r>
            <w:fldChar w:fldCharType="separate"/>
          </w:r>
          <w:r>
            <w:rPr>
              <w:rFonts w:hint="eastAsia" w:ascii="黑体" w:hAnsi="黑体" w:eastAsia="黑体" w:cstheme="majorBidi"/>
            </w:rPr>
            <w:t>二、2021年重点工作完成情况</w:t>
          </w:r>
          <w:r>
            <w:tab/>
          </w:r>
          <w:bookmarkStart w:id="14" w:name="_Toc566362406_WPSOffice_Level2Page"/>
          <w:r>
            <w:t>3</w:t>
          </w:r>
          <w:bookmarkEnd w:id="14"/>
          <w:r>
            <w:fldChar w:fldCharType="end"/>
          </w:r>
        </w:p>
        <w:p>
          <w:pPr>
            <w:pStyle w:val="31"/>
            <w:tabs>
              <w:tab w:val="right" w:leader="dot" w:pos="8306"/>
            </w:tabs>
            <w:ind w:left="420"/>
          </w:pPr>
          <w:r>
            <w:fldChar w:fldCharType="begin"/>
          </w:r>
          <w:r>
            <w:instrText xml:space="preserve"> HYPERLINK \l "_Toc104403891_WPSOffice_Level2" </w:instrText>
          </w:r>
          <w:r>
            <w:fldChar w:fldCharType="separate"/>
          </w:r>
          <w:r>
            <w:rPr>
              <w:rFonts w:hint="eastAsia" w:ascii="黑体" w:eastAsia="黑体" w:hAnsiTheme="majorHAnsi" w:cstheme="majorBidi"/>
            </w:rPr>
            <w:t>三、</w:t>
          </w:r>
          <w:r>
            <w:rPr>
              <w:rFonts w:hint="eastAsia" w:ascii="黑体" w:hAnsi="黑体" w:eastAsia="黑体" w:cstheme="majorBidi"/>
            </w:rPr>
            <w:t>机构设置</w:t>
          </w:r>
          <w:r>
            <w:tab/>
          </w:r>
          <w:bookmarkStart w:id="15" w:name="_Toc104403891_WPSOffice_Level2Page"/>
          <w:r>
            <w:t>17</w:t>
          </w:r>
          <w:bookmarkEnd w:id="15"/>
          <w:r>
            <w:fldChar w:fldCharType="end"/>
          </w:r>
        </w:p>
        <w:p>
          <w:pPr>
            <w:pStyle w:val="30"/>
            <w:tabs>
              <w:tab w:val="right" w:leader="dot" w:pos="8306"/>
            </w:tabs>
          </w:pPr>
          <w:r>
            <w:fldChar w:fldCharType="begin"/>
          </w:r>
          <w:r>
            <w:instrText xml:space="preserve"> HYPERLINK \l "_Toc1259383807_WPSOffice_Level1" </w:instrText>
          </w:r>
          <w:r>
            <w:fldChar w:fldCharType="separate"/>
          </w:r>
          <w:r>
            <w:rPr>
              <w:rFonts w:hint="eastAsia" w:ascii="黑体" w:hAnsi="黑体" w:eastAsia="黑体" w:cs="黑体"/>
              <w:b/>
              <w:bCs/>
            </w:rPr>
            <w:t>第二部分 2021年度单位决算情况说明</w:t>
          </w:r>
          <w:r>
            <w:rPr>
              <w:b/>
              <w:bCs/>
            </w:rPr>
            <w:tab/>
          </w:r>
          <w:bookmarkStart w:id="16" w:name="_Toc1259383807_WPSOffice_Level1Page"/>
          <w:r>
            <w:rPr>
              <w:b/>
              <w:bCs/>
            </w:rPr>
            <w:t>18</w:t>
          </w:r>
          <w:bookmarkEnd w:id="16"/>
          <w:r>
            <w:rPr>
              <w:b/>
              <w:bCs/>
            </w:rPr>
            <w:fldChar w:fldCharType="end"/>
          </w:r>
        </w:p>
        <w:p>
          <w:pPr>
            <w:pStyle w:val="31"/>
            <w:tabs>
              <w:tab w:val="right" w:leader="dot" w:pos="8306"/>
            </w:tabs>
            <w:ind w:left="420"/>
          </w:pPr>
          <w:r>
            <w:fldChar w:fldCharType="begin"/>
          </w:r>
          <w:r>
            <w:instrText xml:space="preserve"> HYPERLINK \l "_Toc2006878697_WPSOffice_Level2" </w:instrText>
          </w:r>
          <w:r>
            <w:fldChar w:fldCharType="separate"/>
          </w:r>
          <w:r>
            <w:rPr>
              <w:rFonts w:ascii="黑体" w:hAnsi="黑体" w:eastAsia="黑体" w:cstheme="majorBidi"/>
            </w:rPr>
            <w:t xml:space="preserve">一、 </w:t>
          </w:r>
          <w:r>
            <w:rPr>
              <w:rFonts w:hint="eastAsia" w:ascii="黑体" w:hAnsi="黑体" w:eastAsia="黑体"/>
            </w:rPr>
            <w:t>收</w:t>
          </w:r>
          <w:r>
            <w:rPr>
              <w:rFonts w:hint="eastAsia" w:ascii="黑体" w:hAnsi="黑体" w:eastAsia="黑体" w:cstheme="majorBidi"/>
            </w:rPr>
            <w:t>入支出决算总体情况说明</w:t>
          </w:r>
          <w:r>
            <w:tab/>
          </w:r>
          <w:bookmarkStart w:id="17" w:name="_Toc2006878697_WPSOffice_Level2Page"/>
          <w:r>
            <w:t>18</w:t>
          </w:r>
          <w:bookmarkEnd w:id="17"/>
          <w:r>
            <w:fldChar w:fldCharType="end"/>
          </w:r>
        </w:p>
        <w:p>
          <w:pPr>
            <w:pStyle w:val="31"/>
            <w:tabs>
              <w:tab w:val="right" w:leader="dot" w:pos="8306"/>
            </w:tabs>
            <w:ind w:left="420"/>
          </w:pPr>
          <w:r>
            <w:fldChar w:fldCharType="begin"/>
          </w:r>
          <w:r>
            <w:instrText xml:space="preserve"> HYPERLINK \l "_Toc1953765440_WPSOffice_Level2" </w:instrText>
          </w:r>
          <w:r>
            <w:fldChar w:fldCharType="separate"/>
          </w:r>
          <w:r>
            <w:rPr>
              <w:rFonts w:ascii="黑体" w:hAnsi="黑体" w:eastAsia="黑体" w:cstheme="majorBidi"/>
            </w:rPr>
            <w:t xml:space="preserve">二、 </w:t>
          </w:r>
          <w:r>
            <w:rPr>
              <w:rFonts w:hint="eastAsia" w:ascii="黑体" w:hAnsi="黑体" w:eastAsia="黑体"/>
            </w:rPr>
            <w:t>收</w:t>
          </w:r>
          <w:r>
            <w:rPr>
              <w:rFonts w:hint="eastAsia" w:ascii="黑体" w:hAnsi="黑体" w:eastAsia="黑体" w:cstheme="majorBidi"/>
            </w:rPr>
            <w:t>入决算情况说明</w:t>
          </w:r>
          <w:r>
            <w:tab/>
          </w:r>
          <w:bookmarkStart w:id="18" w:name="_Toc1953765440_WPSOffice_Level2Page"/>
          <w:r>
            <w:t>18</w:t>
          </w:r>
          <w:bookmarkEnd w:id="18"/>
          <w:r>
            <w:fldChar w:fldCharType="end"/>
          </w:r>
        </w:p>
        <w:p>
          <w:pPr>
            <w:pStyle w:val="31"/>
            <w:tabs>
              <w:tab w:val="right" w:leader="dot" w:pos="8306"/>
            </w:tabs>
            <w:ind w:left="420"/>
          </w:pPr>
          <w:r>
            <w:fldChar w:fldCharType="begin"/>
          </w:r>
          <w:r>
            <w:instrText xml:space="preserve"> HYPERLINK \l "_Toc968608296_WPSOffice_Level2" </w:instrText>
          </w:r>
          <w:r>
            <w:fldChar w:fldCharType="separate"/>
          </w:r>
          <w:r>
            <w:rPr>
              <w:rFonts w:hint="eastAsia" w:ascii="黑体" w:hAnsi="黑体" w:eastAsia="黑体"/>
            </w:rPr>
            <w:t>五、一</w:t>
          </w:r>
          <w:r>
            <w:rPr>
              <w:rFonts w:hint="eastAsia" w:ascii="黑体" w:hAnsi="黑体" w:eastAsia="黑体" w:cstheme="majorBidi"/>
            </w:rPr>
            <w:t>般公共预算财政拨款支出决算情况说明</w:t>
          </w:r>
          <w:r>
            <w:tab/>
          </w:r>
          <w:bookmarkStart w:id="19" w:name="_Toc968608296_WPSOffice_Level2Page"/>
          <w:r>
            <w:t>20</w:t>
          </w:r>
          <w:bookmarkEnd w:id="19"/>
          <w:r>
            <w:fldChar w:fldCharType="end"/>
          </w:r>
        </w:p>
        <w:p>
          <w:pPr>
            <w:pStyle w:val="31"/>
            <w:tabs>
              <w:tab w:val="right" w:leader="dot" w:pos="8306"/>
            </w:tabs>
            <w:ind w:left="420"/>
          </w:pPr>
          <w:r>
            <w:fldChar w:fldCharType="begin"/>
          </w:r>
          <w:r>
            <w:instrText xml:space="preserve"> HYPERLINK \l "_Toc24194009_WPSOffice_Level2" </w:instrText>
          </w:r>
          <w:r>
            <w:fldChar w:fldCharType="separate"/>
          </w:r>
          <w:r>
            <w:rPr>
              <w:rFonts w:hint="eastAsia" w:ascii="黑体" w:eastAsia="黑体"/>
            </w:rPr>
            <w:t>六、</w:t>
          </w:r>
          <w:r>
            <w:rPr>
              <w:rFonts w:hint="eastAsia" w:ascii="黑体" w:hAnsi="黑体" w:eastAsia="黑体"/>
            </w:rPr>
            <w:t>一</w:t>
          </w:r>
          <w:r>
            <w:rPr>
              <w:rFonts w:hint="eastAsia" w:ascii="黑体" w:hAnsi="黑体" w:eastAsia="黑体" w:cstheme="majorBidi"/>
            </w:rPr>
            <w:t>般公共预算财政拨款基本支出决算情况说明</w:t>
          </w:r>
          <w:r>
            <w:tab/>
          </w:r>
          <w:bookmarkStart w:id="20" w:name="_Toc24194009_WPSOffice_Level2Page"/>
          <w:r>
            <w:t>22</w:t>
          </w:r>
          <w:bookmarkEnd w:id="20"/>
          <w:r>
            <w:fldChar w:fldCharType="end"/>
          </w:r>
        </w:p>
        <w:p>
          <w:pPr>
            <w:pStyle w:val="31"/>
            <w:tabs>
              <w:tab w:val="right" w:leader="dot" w:pos="8306"/>
            </w:tabs>
            <w:ind w:left="420"/>
          </w:pPr>
          <w:r>
            <w:fldChar w:fldCharType="begin"/>
          </w:r>
          <w:r>
            <w:instrText xml:space="preserve"> HYPERLINK \l "_Toc1848953375_WPSOffice_Level2" </w:instrText>
          </w:r>
          <w:r>
            <w:fldChar w:fldCharType="separate"/>
          </w:r>
          <w:r>
            <w:rPr>
              <w:rFonts w:hint="eastAsia" w:ascii="黑体" w:eastAsia="黑体"/>
            </w:rPr>
            <w:t>七、</w:t>
          </w:r>
          <w:r>
            <w:rPr>
              <w:rFonts w:hint="eastAsia" w:ascii="黑体" w:hAnsi="黑体" w:eastAsia="黑体" w:cstheme="majorBidi"/>
            </w:rPr>
            <w:t>“三公”经费财政拨款支出决算情况说明</w:t>
          </w:r>
          <w:r>
            <w:tab/>
          </w:r>
          <w:bookmarkStart w:id="21" w:name="_Toc1848953375_WPSOffice_Level2Page"/>
          <w:r>
            <w:t>23</w:t>
          </w:r>
          <w:bookmarkEnd w:id="21"/>
          <w:r>
            <w:fldChar w:fldCharType="end"/>
          </w:r>
        </w:p>
        <w:p>
          <w:pPr>
            <w:pStyle w:val="31"/>
            <w:tabs>
              <w:tab w:val="right" w:leader="dot" w:pos="8306"/>
            </w:tabs>
            <w:ind w:left="420"/>
          </w:pPr>
          <w:r>
            <w:fldChar w:fldCharType="begin"/>
          </w:r>
          <w:r>
            <w:instrText xml:space="preserve"> HYPERLINK \l "_Toc2025338264_WPSOffice_Level2" </w:instrText>
          </w:r>
          <w:r>
            <w:fldChar w:fldCharType="separate"/>
          </w:r>
          <w:r>
            <w:rPr>
              <w:rFonts w:hint="eastAsia" w:ascii="黑体" w:eastAsia="黑体"/>
            </w:rPr>
            <w:t>八、</w:t>
          </w:r>
          <w:r>
            <w:rPr>
              <w:rFonts w:hint="eastAsia" w:ascii="黑体" w:hAnsi="黑体" w:eastAsia="黑体" w:cstheme="majorBidi"/>
            </w:rPr>
            <w:t>政府性基金预算支出决算情况说明</w:t>
          </w:r>
          <w:r>
            <w:tab/>
          </w:r>
          <w:bookmarkStart w:id="22" w:name="_Toc2025338264_WPSOffice_Level2Page"/>
          <w:r>
            <w:t>25</w:t>
          </w:r>
          <w:bookmarkEnd w:id="22"/>
          <w:r>
            <w:fldChar w:fldCharType="end"/>
          </w:r>
        </w:p>
        <w:p>
          <w:pPr>
            <w:pStyle w:val="31"/>
            <w:tabs>
              <w:tab w:val="right" w:leader="dot" w:pos="8306"/>
            </w:tabs>
            <w:ind w:left="420"/>
          </w:pPr>
          <w:r>
            <w:fldChar w:fldCharType="begin"/>
          </w:r>
          <w:r>
            <w:instrText xml:space="preserve"> HYPERLINK \l "_Toc583620615_WPSOffice_Level2" </w:instrText>
          </w:r>
          <w:r>
            <w:fldChar w:fldCharType="separate"/>
          </w:r>
          <w:r>
            <w:rPr>
              <w:rFonts w:hint="eastAsia" w:ascii="黑体" w:hAnsi="黑体" w:eastAsia="黑体" w:cstheme="majorBidi"/>
            </w:rPr>
            <w:t>九、 国有资本经营预算支出决算情况说明</w:t>
          </w:r>
          <w:r>
            <w:tab/>
          </w:r>
          <w:bookmarkStart w:id="23" w:name="_Toc583620615_WPSOffice_Level2Page"/>
          <w:r>
            <w:t>25</w:t>
          </w:r>
          <w:bookmarkEnd w:id="23"/>
          <w:r>
            <w:fldChar w:fldCharType="end"/>
          </w:r>
        </w:p>
        <w:p>
          <w:pPr>
            <w:pStyle w:val="31"/>
            <w:tabs>
              <w:tab w:val="right" w:leader="dot" w:pos="8306"/>
            </w:tabs>
            <w:ind w:left="420"/>
          </w:pPr>
          <w:r>
            <w:fldChar w:fldCharType="begin"/>
          </w:r>
          <w:r>
            <w:instrText xml:space="preserve"> HYPERLINK \l "_Toc223471136_WPSOffice_Level2" </w:instrText>
          </w:r>
          <w:r>
            <w:fldChar w:fldCharType="separate"/>
          </w:r>
          <w:r>
            <w:rPr>
              <w:rFonts w:hint="eastAsia" w:ascii="黑体" w:hAnsi="黑体" w:eastAsia="黑体" w:cstheme="majorBidi"/>
            </w:rPr>
            <w:t>十、 其他重要事项的情况说明</w:t>
          </w:r>
          <w:r>
            <w:tab/>
          </w:r>
          <w:bookmarkStart w:id="24" w:name="_Toc223471136_WPSOffice_Level2Page"/>
          <w:r>
            <w:t>25</w:t>
          </w:r>
          <w:bookmarkEnd w:id="24"/>
          <w:r>
            <w:fldChar w:fldCharType="end"/>
          </w:r>
        </w:p>
        <w:p>
          <w:pPr>
            <w:pStyle w:val="30"/>
            <w:tabs>
              <w:tab w:val="right" w:leader="dot" w:pos="8306"/>
            </w:tabs>
          </w:pPr>
          <w:r>
            <w:fldChar w:fldCharType="begin"/>
          </w:r>
          <w:r>
            <w:instrText xml:space="preserve"> HYPERLINK \l "_Toc566362406_WPSOffice_Level1" </w:instrText>
          </w:r>
          <w:r>
            <w:fldChar w:fldCharType="separate"/>
          </w:r>
          <w:r>
            <w:rPr>
              <w:rFonts w:hint="eastAsia" w:ascii="黑体" w:hAnsi="黑体" w:eastAsia="黑体" w:cs="黑体"/>
              <w:b/>
              <w:bCs/>
            </w:rPr>
            <w:t xml:space="preserve">第三部分 </w:t>
          </w:r>
          <w:r>
            <w:rPr>
              <w:rFonts w:hint="eastAsia" w:ascii="黑体" w:hAnsi="黑体" w:eastAsia="黑体"/>
              <w:b/>
              <w:bCs/>
            </w:rPr>
            <w:t>名词解释</w:t>
          </w:r>
          <w:r>
            <w:rPr>
              <w:b/>
              <w:bCs/>
            </w:rPr>
            <w:tab/>
          </w:r>
          <w:bookmarkStart w:id="25" w:name="_Toc566362406_WPSOffice_Level1Page"/>
          <w:r>
            <w:rPr>
              <w:b/>
              <w:bCs/>
            </w:rPr>
            <w:t>27</w:t>
          </w:r>
          <w:bookmarkEnd w:id="25"/>
          <w:r>
            <w:rPr>
              <w:b/>
              <w:bCs/>
            </w:rPr>
            <w:fldChar w:fldCharType="end"/>
          </w:r>
        </w:p>
        <w:p>
          <w:pPr>
            <w:pStyle w:val="30"/>
            <w:tabs>
              <w:tab w:val="right" w:leader="dot" w:pos="8306"/>
            </w:tabs>
          </w:pPr>
          <w:r>
            <w:fldChar w:fldCharType="begin"/>
          </w:r>
          <w:r>
            <w:instrText xml:space="preserve"> HYPERLINK \l "_Toc104403891_WPSOffice_Level1" </w:instrText>
          </w:r>
          <w:r>
            <w:fldChar w:fldCharType="separate"/>
          </w:r>
          <w:r>
            <w:rPr>
              <w:rFonts w:hint="eastAsia" w:ascii="黑体" w:hAnsi="黑体" w:eastAsia="黑体"/>
              <w:b/>
              <w:bCs/>
            </w:rPr>
            <w:t>第四部分 附件</w:t>
          </w:r>
          <w:r>
            <w:rPr>
              <w:b/>
              <w:bCs/>
            </w:rPr>
            <w:tab/>
          </w:r>
          <w:bookmarkStart w:id="26" w:name="_Toc104403891_WPSOffice_Level1Page"/>
          <w:r>
            <w:rPr>
              <w:b/>
              <w:bCs/>
            </w:rPr>
            <w:t>30</w:t>
          </w:r>
          <w:bookmarkEnd w:id="26"/>
          <w:r>
            <w:rPr>
              <w:b/>
              <w:bCs/>
            </w:rPr>
            <w:fldChar w:fldCharType="end"/>
          </w:r>
        </w:p>
        <w:p>
          <w:pPr>
            <w:pStyle w:val="30"/>
            <w:tabs>
              <w:tab w:val="right" w:leader="dot" w:pos="8306"/>
            </w:tabs>
          </w:pPr>
          <w:r>
            <w:fldChar w:fldCharType="begin"/>
          </w:r>
          <w:r>
            <w:instrText xml:space="preserve"> HYPERLINK \l "_Toc2006878697_WPSOffice_Level1" </w:instrText>
          </w:r>
          <w:r>
            <w:fldChar w:fldCharType="separate"/>
          </w:r>
          <w:r>
            <w:rPr>
              <w:rFonts w:hint="eastAsia" w:ascii="黑体" w:hAnsi="黑体" w:eastAsia="黑体"/>
              <w:b/>
              <w:bCs/>
            </w:rPr>
            <w:t>第五部分 附表</w:t>
          </w:r>
          <w:r>
            <w:rPr>
              <w:b/>
              <w:bCs/>
            </w:rPr>
            <w:tab/>
          </w:r>
          <w:bookmarkStart w:id="27" w:name="_Toc2006878697_WPSOffice_Level1Page"/>
          <w:r>
            <w:rPr>
              <w:b/>
              <w:bCs/>
            </w:rPr>
            <w:t>34</w:t>
          </w:r>
          <w:bookmarkEnd w:id="27"/>
          <w:r>
            <w:rPr>
              <w:b/>
              <w:bCs/>
            </w:rPr>
            <w:fldChar w:fldCharType="end"/>
          </w:r>
        </w:p>
        <w:p>
          <w:pPr>
            <w:pStyle w:val="31"/>
            <w:tabs>
              <w:tab w:val="right" w:leader="dot" w:pos="8306"/>
            </w:tabs>
            <w:ind w:left="420"/>
          </w:pPr>
          <w:r>
            <w:fldChar w:fldCharType="begin"/>
          </w:r>
          <w:r>
            <w:instrText xml:space="preserve"> HYPERLINK \l "_Toc359064842_WPSOffice_Level2" </w:instrText>
          </w:r>
          <w:r>
            <w:fldChar w:fldCharType="separate"/>
          </w:r>
          <w:r>
            <w:rPr>
              <w:rFonts w:hint="eastAsia" w:ascii="仿宋" w:hAnsi="仿宋" w:eastAsia="仿宋" w:cstheme="majorBidi"/>
            </w:rPr>
            <w:t>一、收入支出决算总表</w:t>
          </w:r>
          <w:r>
            <w:tab/>
          </w:r>
          <w:bookmarkStart w:id="28" w:name="_Toc359064842_WPSOffice_Level2Page"/>
          <w:r>
            <w:t>34</w:t>
          </w:r>
          <w:bookmarkEnd w:id="28"/>
          <w:r>
            <w:fldChar w:fldCharType="end"/>
          </w:r>
        </w:p>
        <w:p>
          <w:pPr>
            <w:pStyle w:val="31"/>
            <w:tabs>
              <w:tab w:val="right" w:leader="dot" w:pos="8306"/>
            </w:tabs>
            <w:ind w:left="420"/>
          </w:pPr>
          <w:r>
            <w:fldChar w:fldCharType="begin"/>
          </w:r>
          <w:r>
            <w:instrText xml:space="preserve"> HYPERLINK \l "_Toc416534673_WPSOffice_Level2" </w:instrText>
          </w:r>
          <w:r>
            <w:fldChar w:fldCharType="separate"/>
          </w:r>
          <w:r>
            <w:rPr>
              <w:rFonts w:hint="eastAsia" w:ascii="仿宋" w:hAnsi="仿宋" w:eastAsia="仿宋" w:cstheme="majorBidi"/>
            </w:rPr>
            <w:t>二、收入决算表</w:t>
          </w:r>
          <w:r>
            <w:tab/>
          </w:r>
          <w:bookmarkStart w:id="29" w:name="_Toc416534673_WPSOffice_Level2Page"/>
          <w:r>
            <w:t>34</w:t>
          </w:r>
          <w:bookmarkEnd w:id="29"/>
          <w:r>
            <w:fldChar w:fldCharType="end"/>
          </w:r>
        </w:p>
        <w:p>
          <w:pPr>
            <w:pStyle w:val="31"/>
            <w:tabs>
              <w:tab w:val="right" w:leader="dot" w:pos="8306"/>
            </w:tabs>
            <w:ind w:left="420"/>
          </w:pPr>
          <w:r>
            <w:fldChar w:fldCharType="begin"/>
          </w:r>
          <w:r>
            <w:instrText xml:space="preserve"> HYPERLINK \l "_Toc2103002841_WPSOffice_Level2" </w:instrText>
          </w:r>
          <w:r>
            <w:fldChar w:fldCharType="separate"/>
          </w:r>
          <w:r>
            <w:rPr>
              <w:rFonts w:hint="eastAsia" w:ascii="仿宋" w:hAnsi="仿宋" w:eastAsia="仿宋" w:cstheme="majorBidi"/>
            </w:rPr>
            <w:t>三、支出决算表</w:t>
          </w:r>
          <w:r>
            <w:tab/>
          </w:r>
          <w:bookmarkStart w:id="30" w:name="_Toc2103002841_WPSOffice_Level2Page"/>
          <w:r>
            <w:t>34</w:t>
          </w:r>
          <w:bookmarkEnd w:id="30"/>
          <w:r>
            <w:fldChar w:fldCharType="end"/>
          </w:r>
        </w:p>
        <w:p>
          <w:pPr>
            <w:pStyle w:val="31"/>
            <w:tabs>
              <w:tab w:val="right" w:leader="dot" w:pos="8306"/>
            </w:tabs>
            <w:ind w:left="420"/>
          </w:pPr>
          <w:r>
            <w:fldChar w:fldCharType="begin"/>
          </w:r>
          <w:r>
            <w:instrText xml:space="preserve"> HYPERLINK \l "_Toc1828028187_WPSOffice_Level2" </w:instrText>
          </w:r>
          <w:r>
            <w:fldChar w:fldCharType="separate"/>
          </w:r>
          <w:r>
            <w:rPr>
              <w:rFonts w:hint="eastAsia" w:ascii="仿宋" w:hAnsi="仿宋" w:eastAsia="仿宋" w:cstheme="majorBidi"/>
            </w:rPr>
            <w:t>四、财政拨款收入支出决算总表</w:t>
          </w:r>
          <w:r>
            <w:tab/>
          </w:r>
          <w:bookmarkStart w:id="31" w:name="_Toc1828028187_WPSOffice_Level2Page"/>
          <w:r>
            <w:t>34</w:t>
          </w:r>
          <w:bookmarkEnd w:id="31"/>
          <w:r>
            <w:fldChar w:fldCharType="end"/>
          </w:r>
        </w:p>
        <w:p>
          <w:pPr>
            <w:pStyle w:val="31"/>
            <w:tabs>
              <w:tab w:val="right" w:leader="dot" w:pos="8306"/>
            </w:tabs>
            <w:ind w:left="420"/>
          </w:pPr>
          <w:r>
            <w:fldChar w:fldCharType="begin"/>
          </w:r>
          <w:r>
            <w:instrText xml:space="preserve"> HYPERLINK \l "_Toc1615470797_WPSOffice_Level2" </w:instrText>
          </w:r>
          <w:r>
            <w:fldChar w:fldCharType="separate"/>
          </w:r>
          <w:r>
            <w:rPr>
              <w:rFonts w:hint="eastAsia" w:ascii="仿宋" w:hAnsi="仿宋" w:eastAsia="仿宋" w:cstheme="majorBidi"/>
            </w:rPr>
            <w:t>五、财政拨款支出决算明细表</w:t>
          </w:r>
          <w:r>
            <w:tab/>
          </w:r>
          <w:bookmarkStart w:id="32" w:name="_Toc1615470797_WPSOffice_Level2Page"/>
          <w:r>
            <w:t>34</w:t>
          </w:r>
          <w:bookmarkEnd w:id="32"/>
          <w:r>
            <w:fldChar w:fldCharType="end"/>
          </w:r>
        </w:p>
        <w:p>
          <w:pPr>
            <w:pStyle w:val="31"/>
            <w:tabs>
              <w:tab w:val="right" w:leader="dot" w:pos="8306"/>
            </w:tabs>
            <w:ind w:left="420"/>
          </w:pPr>
          <w:r>
            <w:fldChar w:fldCharType="begin"/>
          </w:r>
          <w:r>
            <w:instrText xml:space="preserve"> HYPERLINK \l "_Toc659851189_WPSOffice_Level2" </w:instrText>
          </w:r>
          <w:r>
            <w:fldChar w:fldCharType="separate"/>
          </w:r>
          <w:r>
            <w:rPr>
              <w:rFonts w:hint="eastAsia" w:ascii="仿宋" w:hAnsi="仿宋" w:eastAsia="仿宋" w:cstheme="majorBidi"/>
            </w:rPr>
            <w:t>六、一般公共预算财政拨款支出决算表</w:t>
          </w:r>
          <w:r>
            <w:tab/>
          </w:r>
          <w:bookmarkStart w:id="33" w:name="_Toc659851189_WPSOffice_Level2Page"/>
          <w:r>
            <w:t>34</w:t>
          </w:r>
          <w:bookmarkEnd w:id="33"/>
          <w:r>
            <w:fldChar w:fldCharType="end"/>
          </w:r>
        </w:p>
        <w:p>
          <w:pPr>
            <w:pStyle w:val="31"/>
            <w:tabs>
              <w:tab w:val="right" w:leader="dot" w:pos="8306"/>
            </w:tabs>
            <w:ind w:left="420"/>
          </w:pPr>
          <w:r>
            <w:fldChar w:fldCharType="begin"/>
          </w:r>
          <w:r>
            <w:instrText xml:space="preserve"> HYPERLINK \l "_Toc1720704405_WPSOffice_Level2" </w:instrText>
          </w:r>
          <w:r>
            <w:fldChar w:fldCharType="separate"/>
          </w:r>
          <w:r>
            <w:rPr>
              <w:rFonts w:hint="eastAsia" w:ascii="仿宋" w:hAnsi="仿宋" w:eastAsia="仿宋" w:cstheme="majorBidi"/>
            </w:rPr>
            <w:t>七、一般公共预算财政拨款支出决算明细表</w:t>
          </w:r>
          <w:r>
            <w:tab/>
          </w:r>
          <w:bookmarkStart w:id="34" w:name="_Toc1720704405_WPSOffice_Level2Page"/>
          <w:r>
            <w:t>34</w:t>
          </w:r>
          <w:bookmarkEnd w:id="34"/>
          <w:r>
            <w:fldChar w:fldCharType="end"/>
          </w:r>
        </w:p>
        <w:p>
          <w:pPr>
            <w:pStyle w:val="31"/>
            <w:tabs>
              <w:tab w:val="right" w:leader="dot" w:pos="8306"/>
            </w:tabs>
            <w:ind w:left="420"/>
          </w:pPr>
          <w:r>
            <w:fldChar w:fldCharType="begin"/>
          </w:r>
          <w:r>
            <w:instrText xml:space="preserve"> HYPERLINK \l "_Toc2052850938_WPSOffice_Level2" </w:instrText>
          </w:r>
          <w:r>
            <w:fldChar w:fldCharType="separate"/>
          </w:r>
          <w:r>
            <w:rPr>
              <w:rFonts w:hint="eastAsia" w:ascii="仿宋" w:hAnsi="仿宋" w:eastAsia="仿宋" w:cstheme="majorBidi"/>
            </w:rPr>
            <w:t>八、一般公共预算财政拨款基本支出决算表</w:t>
          </w:r>
          <w:r>
            <w:tab/>
          </w:r>
          <w:bookmarkStart w:id="35" w:name="_Toc2052850938_WPSOffice_Level2Page"/>
          <w:r>
            <w:t>34</w:t>
          </w:r>
          <w:bookmarkEnd w:id="35"/>
          <w:r>
            <w:fldChar w:fldCharType="end"/>
          </w:r>
        </w:p>
        <w:p>
          <w:pPr>
            <w:pStyle w:val="31"/>
            <w:tabs>
              <w:tab w:val="right" w:leader="dot" w:pos="8306"/>
            </w:tabs>
            <w:ind w:left="420"/>
          </w:pPr>
          <w:r>
            <w:fldChar w:fldCharType="begin"/>
          </w:r>
          <w:r>
            <w:instrText xml:space="preserve"> HYPERLINK \l "_Toc2065414960_WPSOffice_Level2" </w:instrText>
          </w:r>
          <w:r>
            <w:fldChar w:fldCharType="separate"/>
          </w:r>
          <w:r>
            <w:rPr>
              <w:rFonts w:hint="eastAsia" w:ascii="仿宋" w:hAnsi="仿宋" w:eastAsia="仿宋" w:cstheme="majorBidi"/>
            </w:rPr>
            <w:t>九、一般公共预算财政拨款项目支出决算表</w:t>
          </w:r>
          <w:r>
            <w:tab/>
          </w:r>
          <w:bookmarkStart w:id="36" w:name="_Toc2065414960_WPSOffice_Level2Page"/>
          <w:r>
            <w:t>34</w:t>
          </w:r>
          <w:bookmarkEnd w:id="36"/>
          <w:r>
            <w:fldChar w:fldCharType="end"/>
          </w:r>
        </w:p>
        <w:p>
          <w:pPr>
            <w:pStyle w:val="31"/>
            <w:tabs>
              <w:tab w:val="right" w:leader="dot" w:pos="8306"/>
            </w:tabs>
            <w:ind w:left="420"/>
          </w:pPr>
          <w:r>
            <w:fldChar w:fldCharType="begin"/>
          </w:r>
          <w:r>
            <w:instrText xml:space="preserve"> HYPERLINK \l "_Toc49132101_WPSOffice_Level2" </w:instrText>
          </w:r>
          <w:r>
            <w:fldChar w:fldCharType="separate"/>
          </w:r>
          <w:r>
            <w:rPr>
              <w:rFonts w:hint="eastAsia" w:ascii="仿宋" w:hAnsi="仿宋" w:eastAsia="仿宋" w:cstheme="majorBidi"/>
            </w:rPr>
            <w:t>十、一般公共预算财政拨款“三公”经费支出决算表</w:t>
          </w:r>
          <w:r>
            <w:tab/>
          </w:r>
          <w:bookmarkStart w:id="37" w:name="_Toc49132101_WPSOffice_Level2Page"/>
          <w:r>
            <w:t>34</w:t>
          </w:r>
          <w:bookmarkEnd w:id="37"/>
          <w:r>
            <w:fldChar w:fldCharType="end"/>
          </w:r>
        </w:p>
        <w:p>
          <w:pPr>
            <w:pStyle w:val="31"/>
            <w:tabs>
              <w:tab w:val="right" w:leader="dot" w:pos="8306"/>
            </w:tabs>
            <w:ind w:left="420"/>
          </w:pPr>
          <w:r>
            <w:fldChar w:fldCharType="begin"/>
          </w:r>
          <w:r>
            <w:instrText xml:space="preserve"> HYPERLINK \l "_Toc585633072_WPSOffice_Level2" </w:instrText>
          </w:r>
          <w:r>
            <w:fldChar w:fldCharType="separate"/>
          </w:r>
          <w:r>
            <w:rPr>
              <w:rFonts w:hint="eastAsia" w:ascii="仿宋" w:hAnsi="仿宋" w:eastAsia="仿宋" w:cstheme="majorBidi"/>
            </w:rPr>
            <w:t>十一、政府性基金预算财政拨款收入支出决算表</w:t>
          </w:r>
          <w:r>
            <w:tab/>
          </w:r>
          <w:bookmarkStart w:id="38" w:name="_Toc585633072_WPSOffice_Level2Page"/>
          <w:r>
            <w:t>34</w:t>
          </w:r>
          <w:bookmarkEnd w:id="38"/>
          <w:r>
            <w:fldChar w:fldCharType="end"/>
          </w:r>
        </w:p>
        <w:p>
          <w:pPr>
            <w:pStyle w:val="31"/>
            <w:tabs>
              <w:tab w:val="right" w:leader="dot" w:pos="8306"/>
            </w:tabs>
            <w:ind w:left="420"/>
          </w:pPr>
          <w:r>
            <w:fldChar w:fldCharType="begin"/>
          </w:r>
          <w:r>
            <w:instrText xml:space="preserve"> HYPERLINK \l "_Toc649977118_WPSOffice_Level2" </w:instrText>
          </w:r>
          <w:r>
            <w:fldChar w:fldCharType="separate"/>
          </w:r>
          <w:r>
            <w:rPr>
              <w:rFonts w:hint="eastAsia" w:ascii="仿宋" w:hAnsi="仿宋" w:eastAsia="仿宋" w:cstheme="majorBidi"/>
            </w:rPr>
            <w:t>十二、政府性基金预算财政拨款“三公”经费支出决算表（此表无数据）</w:t>
          </w:r>
          <w:r>
            <w:tab/>
          </w:r>
          <w:bookmarkStart w:id="39" w:name="_Toc649977118_WPSOffice_Level2Page"/>
          <w:r>
            <w:t>34</w:t>
          </w:r>
          <w:bookmarkEnd w:id="39"/>
          <w:r>
            <w:fldChar w:fldCharType="end"/>
          </w:r>
        </w:p>
        <w:p>
          <w:pPr>
            <w:pStyle w:val="31"/>
            <w:tabs>
              <w:tab w:val="right" w:leader="dot" w:pos="8306"/>
            </w:tabs>
            <w:ind w:left="420"/>
          </w:pPr>
          <w:r>
            <w:fldChar w:fldCharType="begin"/>
          </w:r>
          <w:r>
            <w:instrText xml:space="preserve"> HYPERLINK \l "_Toc300599366_WPSOffice_Level2" </w:instrText>
          </w:r>
          <w:r>
            <w:fldChar w:fldCharType="separate"/>
          </w:r>
          <w:r>
            <w:rPr>
              <w:rFonts w:hint="eastAsia" w:ascii="仿宋" w:hAnsi="仿宋" w:eastAsia="仿宋" w:cstheme="majorBidi"/>
            </w:rPr>
            <w:t>十三、国有资本经营预算财政拨款收入支出决算表（此表无数据）</w:t>
          </w:r>
          <w:r>
            <w:tab/>
          </w:r>
          <w:bookmarkStart w:id="40" w:name="_Toc300599366_WPSOffice_Level2Page"/>
          <w:r>
            <w:t>34</w:t>
          </w:r>
          <w:bookmarkEnd w:id="40"/>
          <w:r>
            <w:fldChar w:fldCharType="end"/>
          </w:r>
        </w:p>
        <w:p>
          <w:pPr>
            <w:pStyle w:val="31"/>
            <w:tabs>
              <w:tab w:val="right" w:leader="dot" w:pos="8306"/>
            </w:tabs>
            <w:ind w:left="420"/>
          </w:pPr>
          <w:r>
            <w:fldChar w:fldCharType="begin"/>
          </w:r>
          <w:r>
            <w:instrText xml:space="preserve"> HYPERLINK \l "_Toc1782935864_WPSOffice_Level2" </w:instrText>
          </w:r>
          <w:r>
            <w:fldChar w:fldCharType="separate"/>
          </w:r>
          <w:r>
            <w:rPr>
              <w:rFonts w:hint="eastAsia" w:ascii="仿宋" w:hAnsi="仿宋" w:eastAsia="仿宋" w:cstheme="majorBidi"/>
            </w:rPr>
            <w:t>十四、国有资本经营预算财政拨款支出决算表（此表无数据）</w:t>
          </w:r>
          <w:r>
            <w:tab/>
          </w:r>
          <w:bookmarkStart w:id="41" w:name="_Toc1782935864_WPSOffice_Level2Page"/>
          <w:r>
            <w:t>34</w:t>
          </w:r>
          <w:bookmarkEnd w:id="41"/>
          <w:r>
            <w:fldChar w:fldCharType="end"/>
          </w:r>
        </w:p>
      </w:sdtContent>
    </w:sdt>
    <w:p>
      <w:pPr>
        <w:widowControl/>
        <w:spacing w:line="440" w:lineRule="exact"/>
        <w:jc w:val="left"/>
        <w:rPr>
          <w:rFonts w:ascii="仿宋" w:hAnsi="仿宋" w:eastAsia="仿宋"/>
          <w:bCs/>
          <w:kern w:val="44"/>
          <w:sz w:val="24"/>
        </w:rPr>
      </w:pPr>
      <w:r>
        <w:rPr>
          <w:rFonts w:ascii="仿宋" w:hAnsi="仿宋" w:eastAsia="仿宋"/>
          <w:b/>
          <w:sz w:val="24"/>
        </w:rPr>
        <w:br w:type="page"/>
      </w:r>
    </w:p>
    <w:p>
      <w:pPr>
        <w:pStyle w:val="3"/>
        <w:jc w:val="center"/>
        <w:rPr>
          <w:rStyle w:val="24"/>
          <w:rFonts w:ascii="黑体" w:hAnsi="黑体" w:eastAsia="黑体"/>
          <w:b/>
          <w:bCs w:val="0"/>
        </w:rPr>
      </w:pPr>
      <w:bookmarkStart w:id="42" w:name="_Toc1121503575_WPSOffice_Level1"/>
      <w:r>
        <w:rPr>
          <w:rFonts w:hint="eastAsia" w:ascii="黑体" w:hAnsi="黑体" w:eastAsia="黑体"/>
          <w:b w:val="0"/>
        </w:rPr>
        <w:t>第一部分 单位</w:t>
      </w:r>
      <w:r>
        <w:rPr>
          <w:rStyle w:val="24"/>
          <w:rFonts w:hint="eastAsia" w:ascii="黑体" w:hAnsi="黑体" w:eastAsia="黑体"/>
          <w:b w:val="0"/>
          <w:bCs w:val="0"/>
        </w:rPr>
        <w:t>概况</w:t>
      </w:r>
      <w:bookmarkEnd w:id="42"/>
    </w:p>
    <w:p>
      <w:pPr>
        <w:widowControl/>
        <w:jc w:val="left"/>
        <w:rPr>
          <w:rFonts w:ascii="黑体" w:eastAsia="黑体"/>
          <w:sz w:val="32"/>
          <w:szCs w:val="32"/>
        </w:rPr>
      </w:pPr>
    </w:p>
    <w:p>
      <w:pPr>
        <w:pStyle w:val="4"/>
        <w:numPr>
          <w:ilvl w:val="255"/>
          <w:numId w:val="0"/>
        </w:numPr>
        <w:ind w:firstLine="640" w:firstLineChars="200"/>
        <w:rPr>
          <w:rStyle w:val="25"/>
          <w:rFonts w:ascii="黑体" w:hAnsi="黑体" w:eastAsia="黑体"/>
          <w:b w:val="0"/>
          <w:bCs w:val="0"/>
        </w:rPr>
      </w:pPr>
      <w:bookmarkStart w:id="43" w:name="_Toc1259383807_WPSOffice_Level2"/>
      <w:bookmarkStart w:id="44" w:name="_Toc15377197"/>
      <w:bookmarkStart w:id="45" w:name="_Toc15396600"/>
      <w:r>
        <w:rPr>
          <w:rStyle w:val="25"/>
          <w:rFonts w:hint="eastAsia" w:ascii="黑体" w:hAnsi="黑体" w:eastAsia="黑体"/>
          <w:b w:val="0"/>
          <w:bCs w:val="0"/>
        </w:rPr>
        <w:t>一、职能简介</w:t>
      </w:r>
      <w:bookmarkEnd w:id="43"/>
    </w:p>
    <w:p>
      <w:r>
        <w:rPr>
          <w:rFonts w:hint="eastAsia"/>
        </w:rPr>
        <w:t xml:space="preserve">     </w:t>
      </w:r>
      <w:r>
        <w:rPr>
          <w:rFonts w:hint="eastAsia" w:ascii="仿宋_GB2312" w:hAnsi="仿宋" w:eastAsia="仿宋_GB2312"/>
          <w:sz w:val="32"/>
          <w:szCs w:val="32"/>
        </w:rPr>
        <w:t xml:space="preserve"> 攀枝花市卫生和计划生育监督执法支队(参照公务员法管理事业单位)受卫生行政主管部门委托，依照法律、法规和国务院、省政府有关规定，组织开展权限范围内的卫生和计划生育监督执法工作。</w:t>
      </w:r>
    </w:p>
    <w:p>
      <w:pPr>
        <w:pStyle w:val="4"/>
        <w:ind w:firstLine="640" w:firstLineChars="200"/>
        <w:rPr>
          <w:rFonts w:ascii="黑体" w:hAnsi="黑体" w:eastAsia="黑体"/>
          <w:b w:val="0"/>
        </w:rPr>
      </w:pPr>
      <w:bookmarkStart w:id="46" w:name="_Toc566362406_WPSOffice_Level2"/>
      <w:r>
        <w:rPr>
          <w:rFonts w:hint="eastAsia" w:ascii="黑体" w:hAnsi="黑体" w:eastAsia="黑体"/>
          <w:b w:val="0"/>
        </w:rPr>
        <w:t>二、2021年重点工作</w:t>
      </w:r>
      <w:bookmarkEnd w:id="44"/>
      <w:bookmarkEnd w:id="45"/>
      <w:r>
        <w:rPr>
          <w:rFonts w:hint="eastAsia" w:ascii="黑体" w:hAnsi="黑体" w:eastAsia="黑体"/>
          <w:b w:val="0"/>
        </w:rPr>
        <w:t>完成情况</w:t>
      </w:r>
      <w:bookmarkEnd w:id="46"/>
    </w:p>
    <w:p>
      <w:pPr>
        <w:pStyle w:val="23"/>
        <w:widowControl/>
        <w:tabs>
          <w:tab w:val="left" w:pos="8505"/>
        </w:tabs>
        <w:spacing w:line="600" w:lineRule="exact"/>
        <w:ind w:firstLine="640"/>
        <w:rPr>
          <w:rFonts w:ascii="仿宋_GB2312" w:hAnsi="仿宋" w:eastAsia="仿宋_GB2312"/>
          <w:sz w:val="32"/>
          <w:szCs w:val="32"/>
        </w:rPr>
      </w:pPr>
      <w:r>
        <w:rPr>
          <w:rFonts w:hint="eastAsia" w:ascii="仿宋_GB2312" w:hAnsi="仿宋" w:eastAsia="仿宋_GB2312"/>
          <w:sz w:val="32"/>
          <w:szCs w:val="32"/>
        </w:rPr>
        <w:t>2021年，全市卫生监督执法机构以党的十九大、十九届五中、六中全会精神为指引，在卫生健康行政部门的坚强领导和上级卫生监督执法机构的精心指导下，依托卫生健康监督执法机构规范化建设试点，全力提升卫生监督执法能力，以持续打好新冠疫情防控阻击战为核心要务，持续加大卫生监督执法力度，贯彻落实医疗卫生行业综合监管制度，切实保障全市社会经济秩序稳定，服务攀枝花卫生健康事业产业高质量发展大局，取得较为明显的成效。现将2021年工作总结如下：</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1．全力以赴，有的放矢，打好疫情防控持久战</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按照市卫生健康委的统一部署，市卫生和计划生育监督执法支队慎终如始持续抓好新冠疫情常态化防控监督检查工作。一是加强组织领导，支队在充分领会上级工作要求，及时研判疫情形势的基础上，适时印发了《疫情常态化防控督导检查工作方案》《关于进一步加强新冠肺炎疫情防控卫生监督工作的紧急通知》《关于进一步加强新冠肺炎疫情防控监督检查工作的通知》等工作要求，进一步突出疫情防控监督执法工作领导的针对性。二是突出工作重点，优化资源配置、统筹协调工作安排，在充分研判疫情发展形势的基础上，以综合督导、医疗卫生督导、公共卫生督导为单位，以明查和暗访相结合的方式，紧盯疫情防控薄弱环节，始终保持疫情防控监督执法工作强度。今年以来有针对性的开展了外来人口聚集的攀枝花高校疫情防控管理、疫苗接种、重点人员核酸检测；集中隔离场所应急准备；重点公共场所防控措施落实；定点医疗机构疫情防控管理；医疗机构院感措施落实；疫苗接种疫情防控；居家隔离社区管理等一系列专项督导。累计出动4300余人次，监督检查各类机构11400余户次。建立《疫情防控问题台账》，梳理各机构存在的具体问题389条，实施相关行政处罚188件，罚款5.9万元。三是畅通信息通道，支队在进一步强化新冠疫情防控卫生监督日报工作的基础上，启动专项工作情况通报机制，支队已连续发出《新冠肺炎疫情防控综合督导检查情况的报告》28期，阶段性工作小结、疫情防控卫生监督工作动态等各类工作信息80余份，对相关行业防控工作中存在的问题进行了全面梳理，为卫生健康行政部门统筹指挥下一步疫情防控工作提供了科学依据。</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2.因地制宜，挖潜增效，持续提升监督执法能力</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（1）扬长补短，扎实推动规范化建设。</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2021年3月，四川省卫生健康委印发《关于开展2021年四川省卫生健康监督机构规范化建设试点的通知》，市卫生和计划生育监督执法支队被确定为全省2021年试点的2个市级单位之一。市支队按照《四川省2021年卫生健康监督机构规范化建设试点工作方案》要求和市委市政府的部署，在市卫生健康委的统一领导下，扎实推动规范化建设。一是强化组织保障，着力构建“政府牵头、卫生健康委主抓、相关部门配合”的规范化建设工作机制，统筹协同相关部门扎实推进各项工作，起草《攀枝花市卫生健康监督机构规范化建设试点实施方案》，理清工作思路，具象工作举措，对试点工作推进的时间节点、主要内容进行了总体规划，为工作的有序推进提供依据和保障。6月29日，攀枝花市政府王飚副市长专题调研，强调指出：以规范化建设试点工作为契机，抓住队伍改头换面的机遇，抓住提高声誉和影响力的机遇，抓住提升专业能力的机遇，实现硬件条件和执法能力规范化。支队成立“卫生健康监督机构规范化建设工作领导小组”，进一步细化责任分工，将工作责任落实到最小单元，明确到干部职工人头。二是学习先进经验，市卫生健康委组织支队对河南新乡、四川德阳、成都青白江等地卫生健康监督机构规范化建设情况进行实地考察学习，找出了我市与先进地区差距和问题，进一步扩展了视野，开拓了思路，为完善适合我市特点的范化建设的新思路和新举措提供了宝贵经验。三是扎实推动实施，在内涵建设方面，积极谋划业务能力提升方面的创新举措。融合卫生监督执法工作特点和攀枝花“三线精神”，谋划打造“花城卫士 ，护航健康”党建品牌；从为基层卫生监督信息化落地探索试点经验和搭建适应攀枝花实际需求的卫生监督信息功能平台两个维度入手，探索“购买服务”卫生监督信息化平台建设解决方案。目前，政策支撑方面的协同推进工作方案、综合监管部门协调机制已正式出台，政府配套专项资金已落实；硬件建设方面的业务用房修缮已进入尾声，相关设备补充采购工作进入实施阶段，部分设备已到位；软件建设方面的党建文化阵地打造、信息化建设正在完善建设方案。</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（2）主动探索，积极促成综合监管协调机制。</w:t>
      </w:r>
    </w:p>
    <w:p>
      <w:pPr>
        <w:widowControl/>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2021年11月，攀枝花市政府正式出台《医疗卫生行业与职业健康综合监管部门协调机制》，部门协调机制的建立是我市作为全省市级卫生健康监督机构规范化建设试点承建方，为全省在医疗卫生行业和职业健康监管领域创新工作机制的一次有益探索，更是我市贯彻落实国家、四川省医疗卫生行业综合监管工作制度坚定决心的重要体现 。一是政府统筹推动，我市卫生健康监督机构规范化建设试点工作得到市委、市政府高度重视和大力支持，市政府分管副市长亲自带队深入支队开展现场调研，并把建立和完善医疗卫生行业与职业健康综合监管协调机制作为创新监管方式的重要内容推进；市卫生健康委带领市卫生计生监督执法支队积极协调，根据《四川省人民政府办公厅关于改革完善医疗卫生行业综合监管制度的实施意见》要求，梳理找准医疗卫生行业与职业健康监管工作中的问题短板，制定有针对性的工作机制，并与市级相关部门多次磋商、征求意见建议，在各方的共同努力下促成了《协调机制》的顺利出台。二是突出协同联动，根据国家、四川省改革完善医疗卫生行业综合监管要求，《协调机制》建立了由市政府分管副市长任召集人，市政府副秘书长、市卫生健康委主要领导任副召集人，5个县（区）政府和27个市级相关部门（组织）齐抓共管的医疗卫生行业与职业健康综合监管组织构架，制定了各部门权责清单，明确监管职责，建立了联络员制度、会议会商制度、信息共享制度、联合执法制度、联合督查制度和综合监管信用评价管理制度等6项配套工作制度。《协调机制》的出台，在进一步强化医疗卫生行业和职业健康监管部门协同的基础上，实现了成果在联合信用评价领域的应用，为我市构建“政府主导、部门监管、行业自律、机构自治、社会监督”医疗卫生行业与职业健康综合监管机制提供了制度保障，为市级卫生健康监督机构规范化建设打下了坚实基础，更为推进健康攀枝花建设提供了有力支撑。</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（3）创新机制，建立健全卫生监督网底。</w:t>
      </w:r>
    </w:p>
    <w:p>
      <w:pPr>
        <w:widowControl/>
        <w:spacing w:line="600" w:lineRule="exact"/>
        <w:ind w:firstLine="640"/>
        <w:rPr>
          <w:rFonts w:ascii="仿宋_GB2312" w:hAnsi="仿宋" w:eastAsia="仿宋_GB2312"/>
          <w:sz w:val="32"/>
          <w:szCs w:val="32"/>
        </w:rPr>
      </w:pPr>
      <w:r>
        <w:rPr>
          <w:rFonts w:hint="eastAsia" w:ascii="仿宋_GB2312" w:hAnsi="仿宋" w:eastAsia="仿宋_GB2312"/>
          <w:sz w:val="32"/>
          <w:szCs w:val="32"/>
        </w:rPr>
        <w:t>研究起草了《攀枝花市卫生健康综合监管提质增效工作方案》。充分整合利用全市医疗系统丰富的“专业人力”资源及卫生监督执法扎实的“政策人力”资源，探索开展“加、减、乘、除”工作法，建立“5233”管理体系，即：做好“执法+专家”“执法+质控”“执法+媒体”“执法+信息化”“执法+信用”5个“加法”；做实“减化办事程序”、“减轻企业监管负担”2个减法；发挥好建立部门协调机制、建立问题联合处置机制、建立医疗机构卫生专业管理人员实践轮训机制3个“乘”法效应；做好强化卫生监督稽查、强化执法办案能力、强化执法人员培训考核3个强化，消“除”执法风险，推行13条措施，创新监管手段，建立工作机制，强化队伍建设，全面提升卫生监督依法履职能力和服务水平，着力缓解当前我市卫生健康监督工作技术支撑不足、监管能力不足、监管合力不够等问题，提高我市卫生监督执法效能，推动实现医疗卫生行业综合监管工作法治化、规范化、常态化。</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（4）扎实推进，“信用+综合监管”工作初显成效。</w:t>
      </w:r>
    </w:p>
    <w:p>
      <w:pPr>
        <w:widowControl/>
        <w:spacing w:line="600" w:lineRule="exact"/>
        <w:ind w:firstLine="643"/>
        <w:rPr>
          <w:rFonts w:ascii="仿宋_GB2312" w:hAnsi="仿宋" w:eastAsia="仿宋_GB2312"/>
          <w:sz w:val="32"/>
          <w:szCs w:val="32"/>
        </w:rPr>
      </w:pPr>
      <w:r>
        <w:rPr>
          <w:rFonts w:hint="eastAsia" w:ascii="仿宋_GB2312" w:hAnsi="仿宋" w:eastAsia="仿宋_GB2312"/>
          <w:sz w:val="32"/>
          <w:szCs w:val="32"/>
        </w:rPr>
        <w:t>一是健全工作制度，市支队联合西区、东区监督执法大队对前期工作进行充分梳理总结，进一步修订完善记分管理制度，健全试点单位信用档案，研究草拟差异化监管措施；依托医疗卫生行业与职业健康综合监管部门协调机制，积极对接相关部门建立联合执法、信用奖惩、信用修复等工作制度。二是积极营造氛围，全市印制相关折页、试点工作手册等宣传资料5000余份，通过监上门发放、许可服务窗口咨询等方式对各相关单位进行宣传；市卫生计生监督执法支队制作了《用人单位常见违法行为及法律责任》“手机幻灯片”，利用服务微信群、QQ工作群、公众微信号、朋友圈等广泛推送，积极推动社会认知，营造良好氛围。三是强化工作培训，组织全市各级卫生监督机构70余名卫生监督执法人员开展“信用+综合监管”试点工作培训，统一了试点工作的实施标准、程序，努力做到试点工作全市“一盘棋”；对纳入试点的210户试点单位全覆盖培训，培训384人次，点对点与试点单位签订信用承诺书，夯实试点工作根基。四是开展等级动态评价，紧扣依法执业等计分标准，组织开展试点单位全覆盖检查累计420余户次，发出《不良行为扣分通知书》22份，并对其中的21家试点单位实施行政处罚，动态调降信用等级1户，当前评级A级0户、B级209户、C级1户。</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（5）凸显优势，高质量完成国家级培训任务。</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本年度四川省卫生健康（母婴保健和计划生育）监督执法实训基地承接全国妇幼健康监督执法骨干实训班2期，来自北京、上海、江苏、黑龙江等十五个省、市的80余名卫生监督执法骨干到攀受训。国家卫生健康监督中心一级巡视员宋军、处长穆源浦、二级调研员张小霞及四川省卫生和计划生育监督执法总队副总队长蒋威、二级调研员余昭蓉等领导亲临培训现场，培训邀请了7位国家妇幼健康监督培训教研组成员授课，涉及新生儿疾病筛查、违规开展人类辅助生殖、产前诊断等妇幼卫生监督前沿领域的专业技能和实操要点等内容，同时以小班制、“授受互动”、案例分享等形式强化了培训效果，深化了交流学习。此次培训一改传统集训授课的固化模式，充分展现出实训基地在卫生监督执法能力培养方面的资源优势、影响优势和成果转化优势。</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3.依法履职，强化监管，切实维护行业秩序</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2021年，全市有医疗服务、公共场所等监管单位11类共计4584家，开展监督检查7504户次，监督覆盖率93.67%，监督合格率95.3%；实施行政处罚438件，处罚金额共计73.10万元，较去年同期分别提高21.7个百分点和59.47个百分点。</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（1）措施得力，高质量完成监督抽检任务。</w:t>
      </w:r>
    </w:p>
    <w:p>
      <w:pPr>
        <w:pStyle w:val="23"/>
        <w:widowControl/>
        <w:tabs>
          <w:tab w:val="left" w:pos="8505"/>
        </w:tabs>
        <w:spacing w:line="600" w:lineRule="exact"/>
        <w:ind w:firstLine="640"/>
        <w:rPr>
          <w:rFonts w:ascii="仿宋_GB2312" w:hAnsi="仿宋" w:eastAsia="仿宋_GB2312"/>
          <w:sz w:val="32"/>
          <w:szCs w:val="32"/>
        </w:rPr>
      </w:pPr>
      <w:r>
        <w:rPr>
          <w:rFonts w:hint="eastAsia" w:ascii="仿宋_GB2312" w:hAnsi="仿宋" w:eastAsia="仿宋_GB2312"/>
          <w:sz w:val="32"/>
          <w:szCs w:val="32"/>
        </w:rPr>
        <w:t>2021年，我市承担国家、省级下达随机监督抽查任务400单，在市卫生健康委的坚强领导下，全市各级卫生计生监督执法机构和相关单位通力合作、整体联动，在全省范围内率先完成目标任务。一是扎实数据基础，在年度双随机任务预抽过程中，市支队组织全市技术力量集中对信息系统中的本底数据进行核查清理，并在全年信息报告工作中，通过实时监控等手段，持续强化数据填报、审核工作规范性，保持全年数据质控处于低位水平，确保了数据的及时性和准确性，截止任务完成，全市仅有4家任务关闭，均为执行任务期间自行关闭单位，非数据质控问题。二是强化组织领导，按照全市监督抽检工作统一部署，各卫生监督执法机构均制定了具体工作方案，建立分管领导亲自抓、专人负责具体抓的工作机制，将任务分解到人头，责任落实到最小单元。5月组织组织开展了随机监督抽查专项培训会，对任务目标和要求进行了详细解读，明确工作要求，进一步强化了全市任务执行的统一性。三是强化督导协同，采用多种方式督导推进，重点针对实施进度明显滞后的问题，支队通过发提醒函、主要领导“面对面”提醒谈话等方式，督促推进；针对“零办案”等问题，集中组织召开工作推进会，明确整改时限及要求；针对检测进度滞后的隐患，主动协调检验机构，在人力和工作安排上打好提前量。四是强化信息公开，按事前、事中、事后及时分专业对监督抽检任务清单、执行情况及不合格单位处理情况面向社会公示。全年任务完结率达100%、完成率达到98.97%，较去年上升4.57个百分点，对38家不合格单位给予了行政处罚。</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（2）多元监管，切实规范医疗服务。</w:t>
      </w:r>
    </w:p>
    <w:p>
      <w:pPr>
        <w:pStyle w:val="23"/>
        <w:widowControl/>
        <w:tabs>
          <w:tab w:val="left" w:pos="8505"/>
        </w:tabs>
        <w:spacing w:line="600" w:lineRule="exact"/>
        <w:ind w:firstLine="640"/>
        <w:rPr>
          <w:rFonts w:ascii="仿宋_GB2312" w:hAnsi="仿宋" w:eastAsia="仿宋_GB2312"/>
          <w:sz w:val="32"/>
          <w:szCs w:val="32"/>
        </w:rPr>
      </w:pPr>
      <w:r>
        <w:rPr>
          <w:rFonts w:hint="eastAsia" w:ascii="仿宋_GB2312" w:hAnsi="仿宋" w:eastAsia="仿宋_GB2312"/>
          <w:sz w:val="32"/>
          <w:szCs w:val="32"/>
        </w:rPr>
        <w:t>一是依法执业再上台阶，市直医疗机构全面实施依法执业公开承诺制，公示法人代表签署的《医疗机构依法执业承诺书》，接受社会监督，机构内科室、人员层层签订依法执业承诺书、层层压实责任。二是信息化助力监管，专家组利用医疗“三监管”平台查核信息201条；17家二级以上医疗机构实现从医疗机构到集中处置单位的医疗废物处置全过程在线监管；全市四川智慧卫监自查系统注册医疗机构318家，监督执法机构下发自查任务14单、医疗机构自定义自查任务153单，参与线上自查机构305家。三是持续加大监督执法力度。结合国家医疗美容领域综合监管“回头看”、非法开展人类辅助生殖技术、非法开展角膜塑形镜验配、非法行医等专项整治工作要求，持续加大监督执法力度，对32起使用非卫生技术人员从事医疗卫生技术工作、超出登记诊疗科目开展诊疗活动、使用未取得处方权的医师开具处方、违反抗菌药物临床应用管理、未按规定填写并妥善保管病历资料等违法执业行为实施行政处罚，共计罚款26.1万元，没收违法所得0.06万元；对2起无《医疗机构执业许可证》擅自开展诊疗活动实施行政处罚，罚款27.37万元，没收违法所得0.28万元；对24名涉案个人给予行政处罚。</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（3）维护稳定，全力保障公共卫生安全。</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本年度，围绕新冠疫情防控工作要求，以维护社会经济稳定为核心，切实加强监督执法力度，全力保障公共卫生安全。一是加强重点领域监督执法，结合公共场所通风卫生、生活饮用水安全、春秋季开学等专项工作要求，以涉及民生、社会关注为重点，切实加强商场、影剧院、歌舞厅、游艺厅等人员密集公共场所，集中供水、现制现售水等饮用水卫生管理责任单位以及学校的监督执法，监督检查单位3663户次，监督覆盖率达到98%，查处违法单位112家，罚款6.04万元。二是强化重要活动保障，圆满完成四川省康养技能大赛及康养产业融合发展论坛、县级干部读书班、“中国共产党社会主义建设道路的探索与实践——三线建设与成渝地区双城经济圈建设”研讨会、全省巩固拓展脱贫攻坚成果同乡村振兴有效衔接现场会（攀枝花线）、市第十一届党代会及春节、国庆“旅游黄金周”等重大活动疫情防控和卫生安全保障，累计共出动执法人员600余人次，检查指导300余户次。三是加强媒体宣传，结合社会关注热点，联合攀枝花广播电视台、FM910攀枝花汽车电台、攀枝花日报、直播四川联盟网站等媒体宣传开展宣传活动12次，其中与媒体联合筹办了“关注健康权益，卫监邀您同行——走进游泳场馆”卫生监督社会开放日活动，邀请部分市民代表、行风监督员走进卫生监督一线，零距离体验卫生监督执法工作，向市民宣传公共卫生安全知识，并透过媒体进一步扩大宣传面，让广大市民进一步加深对卫生监督工作的了解，增强维护公共卫生安全的意识，提升卫生监督工作的社会认知度。</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（4）提质增效，切实维护劳动者职业健康权益。</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一是持续深入推动专项行动。以矿山、冶金、建材等粉尘危害严重行业为重点治理对象，持续开展粉尘危害专项治理行动、职业健康监管执法行动和用人单位主体责任落实行动，不断提高用人单位职业病防治能力和水平，巩固我市2020年尘肺病攻坚行动成果；按照《攀枝花市人民政府关于推进健康攀枝花行动的实施意见》《攀枝花市职业健康保护专项行动实施方案（2020-2030年）》要求，积极实施职业健康保护行动，加大用人单位监督指导力度，督促用人单位健全管理机构，完善管理制度，严格落实职业病危害项目申报、工作场所定期检测评价、劳动者健康监护和职业卫生培训等职业病防治措施，保护劳动者职业健康，有效遏制尘肺等重点职业病的发生。二是加强源头治理，加强建设项目职业病危害防护设施护行动，加大用人单位监督指导力度，督促用人单位健全管理机构，完善管理制度，严格落实职业病危害项目申报、工作场所定期检测评价、劳动者健康监护和职业卫生培训等职业病防治措施，保护劳动者职业健康，有效遏制尘肺等重点职业病的发生。三是强化宣传培训，积极推进用人单位主要负责人和职业卫生管理员职业卫生知识培训，督促用人单位参加职业健康培训机构组织的职业卫生管理培训，提高主要负责人和职业卫生管理员职业病防治意识和管理能力；组织全市20余名专（兼）职职业卫生监督员开展职业卫生快检设备使用培训，对职业卫生快检设备的操作和维护、现场采样要求进行了全面讲解，并组织了现场实操，提升了职业卫生现场执法能力；通过开展《职业病防治法》宣传周和执法过程中的普法宣传，增强群众职业病防治意识，提高社会知晓度和关注度。</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4.2022年工作计划</w:t>
      </w:r>
    </w:p>
    <w:p>
      <w:pPr>
        <w:pStyle w:val="23"/>
        <w:widowControl/>
        <w:tabs>
          <w:tab w:val="left" w:pos="8505"/>
        </w:tabs>
        <w:spacing w:line="600" w:lineRule="exact"/>
        <w:ind w:firstLine="640"/>
        <w:rPr>
          <w:rFonts w:ascii="仿宋_GB2312" w:hAnsi="仿宋" w:eastAsia="仿宋_GB2312"/>
          <w:sz w:val="32"/>
          <w:szCs w:val="32"/>
        </w:rPr>
      </w:pPr>
      <w:r>
        <w:rPr>
          <w:rFonts w:hint="eastAsia" w:ascii="仿宋_GB2312" w:hAnsi="仿宋" w:eastAsia="仿宋_GB2312"/>
          <w:sz w:val="32"/>
          <w:szCs w:val="32"/>
        </w:rPr>
        <w:t>紧密围绕市委积极构建“三个圈层”经济地理空间，加快建设现代化区域中心城市的发展思路，以服务区域医疗健康中心建设为己任，贯彻落实医疗卫生行业综合监管制度，探索开展“加、减、乘、除”工作法，建立“5233”管理体系，深入推进卫生健康监督机构规范化建设试点工作，全力保障疫情防控，扎实推进各项卫生监督执法工作，确保年度目标任务顺利完成。</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全力以赴保障疫情防控工作。严格执行市应对新型冠状病毒肺炎疫情应急指挥部疫情防控工作部署，充分梳理总结前期工作问题，完善卫生监督工作方案，强化工作针对性和指导性，进一步压实责任明；加强对重点场所、 重点区域、重点环节监督执法，督促相关单位落实疫情防控主体责任，完善问题台账，强化“建账销账”动态管理，切实为我市疫情防控工作高效运转保驾护航。</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2）扎实推动规范化建设。一是配齐建强硬件。按照配齐建强硬件。化建设。肺炎疫情应急指挥部疫情防控工作部署，充分梳理总结前“十一室两中心”；配齐移动执法、快速检测、信息指挥硬件设备。二是强化制度建设。梳理完善行政、业务管理，行风建设和职业道德等各项规章制度。完善各项工作制度，全力推动《医疗卫生行业和职业健康综合监管部门协调机制》落实落地。三强化信息技术应用。积极探索“用维分离、共建共享、成本可及”的信息化应用模式，推动“智慧卫监”信息服务在攀落地，在基层推广；以“辅助决策、回馈社会”为定位，科学规划、部署在线监测（监管）信息功能，通过智能化手段提高数据采集、分析效率，最大限度为一线执法人员数据采集工作负担，提升执法工作效能，释放社会服务功能。 </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3）深入推进医疗卫生行业综合监管。一是实施“聚智”工程，推动《攀枝花市卫生健康综合监管提质增效工作方案》出台实施，开启“执法+专家”模式，充分利用专家人才优势，为监督执法提供有力技术支撑和智力支持；开启“执法+公众”模式，邀请热心市民、行风监督员和新闻媒体现场观摩监督执法工作，畅通社会监督渠道；深化“信用+综合监管”模式，充分运用《医疗卫生行业和职业健康综合监管部门协调机制》，推动部门联合执法、信用奖惩、信用修复的实践；推进“互联网+监管”模式，规范运行管理、强化数据质量，实现二级以上医疗机构医疗废物在线监管常态化，推行生活饮用水、游泳场馆、现制现售水在线监管；持续推进移动执法，全面推行执法终端和执法记录仪在一线执法的应用，逐步实现执法信息报告全过程数字化。二是突出机构自治，强化医疗机构依法执业自查，贯彻落实《医疗机构依法执业自查管理办法》，督促医疗机构落实主体责任，完善组织机构，自觉履行依法执业管理和自查职责，运用“智慧卫监”系统提升管理效率。</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（4）全面加大行业监管力度。一是严格执行“双随机</w:t>
      </w:r>
      <w:r>
        <w:rPr>
          <w:rFonts w:hint="eastAsia" w:ascii="仿宋_GB2312" w:hAnsi="仿宋" w:eastAsia="仿宋_GB2312"/>
          <w:sz w:val="32"/>
          <w:szCs w:val="32"/>
          <w:lang w:eastAsia="zh-CN"/>
        </w:rPr>
        <w:t>、</w:t>
      </w:r>
      <w:bookmarkStart w:id="129" w:name="_GoBack"/>
      <w:bookmarkEnd w:id="129"/>
      <w:r>
        <w:rPr>
          <w:rFonts w:hint="eastAsia" w:ascii="仿宋_GB2312" w:hAnsi="仿宋" w:eastAsia="仿宋_GB2312"/>
          <w:sz w:val="32"/>
          <w:szCs w:val="32"/>
        </w:rPr>
        <w:t>一公开”制度，按照年度随机监督抽查计划，组织开展各专业监督抽查，对重点单位重点问题开展“回头看”，及时公告监督抽查情况，加强抽查结果分析运用。二是加强重点领域专项整治，按照国家、省市专项工作安排，做好重点领域、重点环节的专项监督检查，协调疫情防控、日常监督等工作，合理分配工作资源。三是加大执法办案力度，聚焦主责主业，有重点地加强医疗卫生、传染病防治、职业健康等监督执法力度，特别是在疫情防控工作中的突出问题、整改不力，坚决从严查依法查处。</w:t>
      </w:r>
    </w:p>
    <w:p>
      <w:pPr>
        <w:spacing w:line="600" w:lineRule="exact"/>
        <w:ind w:firstLine="640" w:firstLineChars="200"/>
        <w:rPr>
          <w:rFonts w:ascii="仿宋" w:hAnsi="仿宋" w:eastAsia="仿宋"/>
          <w:kern w:val="0"/>
          <w:sz w:val="32"/>
          <w:szCs w:val="32"/>
        </w:rPr>
      </w:pPr>
      <w:r>
        <w:rPr>
          <w:rFonts w:hint="eastAsia" w:ascii="仿宋_GB2312" w:hAnsi="仿宋" w:eastAsia="仿宋_GB2312"/>
          <w:sz w:val="32"/>
          <w:szCs w:val="32"/>
        </w:rPr>
        <w:t>（5）加强合作交流。一是发挥实训基地桥梁作用，搭建与发达地区交流合作“通道”，“加盟”全国知名专家建立高层次优质师资团队，培训带动全市监督执法能力提升，以专家为纽带建立机构之间的合作交流平台，学习汲取卫生监督最新的前沿发展信息，不断创新改革监督管理方式，借智借力加快发展。二是加强区域交流，与凉山、昭通、楚雄、大理、丽江等市（州）对接沟通，通过交流学习、技能分享、联合培训等方式，提升卫生监督执法水平；探索建立案件协查、信息共享等制度，推动区域间流动医务人员、劳动者依法执业监管，加强打击跨区域非法行医、职业卫生联合执法，建立查办结果通报共认制度。</w:t>
      </w:r>
    </w:p>
    <w:p>
      <w:pPr>
        <w:pStyle w:val="4"/>
        <w:spacing w:line="560" w:lineRule="exact"/>
        <w:ind w:firstLine="640" w:firstLineChars="200"/>
        <w:rPr>
          <w:rStyle w:val="32"/>
          <w:b w:val="0"/>
          <w:bCs w:val="0"/>
        </w:rPr>
      </w:pPr>
      <w:bookmarkStart w:id="47" w:name="_Toc207123727_WPSOffice_Level2"/>
      <w:bookmarkStart w:id="48" w:name="_Toc15377200"/>
      <w:bookmarkStart w:id="49" w:name="_Toc104403891_WPSOffice_Level2"/>
      <w:bookmarkStart w:id="50" w:name="_Toc15396601"/>
      <w:bookmarkStart w:id="51" w:name="_Toc298406869_WPSOffice_Level2"/>
      <w:bookmarkStart w:id="52" w:name="_Toc15377204"/>
      <w:bookmarkStart w:id="53" w:name="_Toc15396602"/>
      <w:r>
        <w:rPr>
          <w:rFonts w:hint="eastAsia" w:ascii="黑体" w:eastAsia="黑体"/>
          <w:b w:val="0"/>
        </w:rPr>
        <w:t>三、</w:t>
      </w:r>
      <w:r>
        <w:rPr>
          <w:rFonts w:hint="eastAsia" w:ascii="黑体" w:hAnsi="黑体" w:eastAsia="黑体"/>
          <w:b w:val="0"/>
        </w:rPr>
        <w:t>机</w:t>
      </w:r>
      <w:r>
        <w:rPr>
          <w:rStyle w:val="32"/>
          <w:rFonts w:hint="eastAsia" w:ascii="黑体" w:hAnsi="黑体" w:eastAsia="黑体"/>
          <w:b w:val="0"/>
          <w:bCs w:val="0"/>
        </w:rPr>
        <w:t>构设置</w:t>
      </w:r>
      <w:bookmarkEnd w:id="47"/>
      <w:bookmarkEnd w:id="48"/>
      <w:bookmarkEnd w:id="49"/>
      <w:bookmarkEnd w:id="50"/>
      <w:bookmarkEnd w:id="51"/>
    </w:p>
    <w:p>
      <w:pPr>
        <w:spacing w:line="560" w:lineRule="exact"/>
        <w:ind w:firstLine="640" w:firstLineChars="200"/>
        <w:rPr>
          <w:rFonts w:ascii="仿宋" w:hAnsi="仿宋" w:eastAsia="仿宋"/>
          <w:sz w:val="32"/>
          <w:szCs w:val="32"/>
        </w:rPr>
      </w:pPr>
      <w:r>
        <w:rPr>
          <w:rFonts w:hint="eastAsia" w:ascii="仿宋_GB2312" w:eastAsia="仿宋_GB2312"/>
          <w:color w:val="000000"/>
          <w:sz w:val="32"/>
          <w:szCs w:val="32"/>
        </w:rPr>
        <w:t>攀枝花市卫生和计划生育监督执法支队</w:t>
      </w:r>
      <w:r>
        <w:rPr>
          <w:rFonts w:hint="eastAsia" w:ascii="仿宋" w:hAnsi="仿宋" w:eastAsia="仿宋"/>
          <w:sz w:val="32"/>
          <w:szCs w:val="32"/>
        </w:rPr>
        <w:t>属于攀枝花市卫生健康委员会部门下属的二级预算单位，下设独立编制机构0个，其中行政单位0个，参照公务员法管理的事业单位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个，其他事业单位0个。</w:t>
      </w:r>
    </w:p>
    <w:p>
      <w:pPr>
        <w:spacing w:line="560" w:lineRule="exact"/>
        <w:ind w:firstLine="640" w:firstLineChars="200"/>
        <w:rPr>
          <w:rFonts w:ascii="黑体" w:hAnsi="黑体" w:eastAsia="黑体"/>
          <w:bCs/>
        </w:rPr>
      </w:pPr>
      <w:r>
        <w:rPr>
          <w:rFonts w:hint="eastAsia" w:ascii="仿宋" w:hAnsi="仿宋" w:eastAsia="仿宋"/>
          <w:sz w:val="32"/>
          <w:szCs w:val="32"/>
        </w:rPr>
        <w:t>纳入2021年度单位决算编制范围的独立编制机构包括：无。</w:t>
      </w:r>
    </w:p>
    <w:p>
      <w:pPr>
        <w:rPr>
          <w:b/>
          <w:bCs/>
        </w:rPr>
      </w:pPr>
    </w:p>
    <w:p>
      <w:pPr>
        <w:rPr>
          <w:b/>
          <w:bCs/>
        </w:rPr>
      </w:pPr>
    </w:p>
    <w:p>
      <w:pPr>
        <w:ind w:firstLine="440" w:firstLineChars="100"/>
        <w:rPr>
          <w:b/>
          <w:bCs/>
        </w:rPr>
      </w:pPr>
      <w:bookmarkStart w:id="54" w:name="_Toc1259383807_WPSOffice_Level1"/>
      <w:r>
        <w:rPr>
          <w:rFonts w:hint="eastAsia" w:ascii="黑体" w:hAnsi="黑体" w:eastAsia="黑体" w:cs="黑体"/>
          <w:sz w:val="44"/>
          <w:szCs w:val="44"/>
        </w:rPr>
        <w:t>第二部分 2021年度单位决算情况说明</w:t>
      </w:r>
      <w:bookmarkEnd w:id="52"/>
      <w:bookmarkEnd w:id="53"/>
      <w:bookmarkEnd w:id="54"/>
    </w:p>
    <w:p/>
    <w:p>
      <w:pPr>
        <w:pStyle w:val="23"/>
        <w:numPr>
          <w:ilvl w:val="0"/>
          <w:numId w:val="1"/>
        </w:numPr>
        <w:spacing w:line="600" w:lineRule="exact"/>
        <w:ind w:firstLineChars="0"/>
        <w:outlineLvl w:val="1"/>
        <w:rPr>
          <w:rStyle w:val="25"/>
          <w:rFonts w:ascii="黑体" w:hAnsi="黑体" w:eastAsia="黑体"/>
          <w:b w:val="0"/>
        </w:rPr>
      </w:pPr>
      <w:bookmarkStart w:id="55" w:name="_Toc2006878697_WPSOffice_Level2"/>
      <w:bookmarkStart w:id="56" w:name="_Toc15377205"/>
      <w:bookmarkStart w:id="57" w:name="_Toc15396603"/>
      <w:r>
        <w:rPr>
          <w:rFonts w:hint="eastAsia" w:ascii="黑体" w:hAnsi="黑体" w:eastAsia="黑体"/>
          <w:sz w:val="32"/>
          <w:szCs w:val="32"/>
        </w:rPr>
        <w:t>收</w:t>
      </w:r>
      <w:r>
        <w:rPr>
          <w:rStyle w:val="25"/>
          <w:rFonts w:hint="eastAsia" w:ascii="黑体" w:hAnsi="黑体" w:eastAsia="黑体"/>
          <w:b w:val="0"/>
        </w:rPr>
        <w:t>入支出决算总体情况说明</w:t>
      </w:r>
      <w:bookmarkEnd w:id="55"/>
      <w:bookmarkEnd w:id="56"/>
      <w:bookmarkEnd w:id="57"/>
    </w:p>
    <w:p>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2021年度收、支总计822.31万元。与2020年相比，收、支总计各减少18.61万元，下降2.21</w:t>
      </w:r>
      <w:r>
        <w:rPr>
          <w:rFonts w:ascii="仿宋" w:hAnsi="仿宋" w:eastAsia="仿宋"/>
          <w:sz w:val="32"/>
          <w:szCs w:val="32"/>
        </w:rPr>
        <w:t>%</w:t>
      </w:r>
      <w:r>
        <w:rPr>
          <w:rFonts w:hint="eastAsia" w:ascii="仿宋" w:hAnsi="仿宋" w:eastAsia="仿宋"/>
          <w:sz w:val="32"/>
          <w:szCs w:val="32"/>
        </w:rPr>
        <w:t>。主要变动原因是年末结转结余减少。</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spacing w:line="600" w:lineRule="exact"/>
        <w:ind w:firstLine="420" w:firstLineChars="200"/>
        <w:jc w:val="left"/>
      </w:pPr>
    </w:p>
    <w:p>
      <w:pPr>
        <w:spacing w:line="600" w:lineRule="exact"/>
        <w:ind w:firstLine="420" w:firstLineChars="200"/>
        <w:jc w:val="left"/>
      </w:pPr>
      <w:r>
        <w:drawing>
          <wp:anchor distT="0" distB="0" distL="114300" distR="114300" simplePos="0" relativeHeight="251659264" behindDoc="0" locked="0" layoutInCell="1" allowOverlap="1">
            <wp:simplePos x="0" y="0"/>
            <wp:positionH relativeFrom="column">
              <wp:posOffset>501015</wp:posOffset>
            </wp:positionH>
            <wp:positionV relativeFrom="paragraph">
              <wp:posOffset>214630</wp:posOffset>
            </wp:positionV>
            <wp:extent cx="4374515" cy="2076450"/>
            <wp:effectExtent l="4445" t="4445" r="21590" b="14605"/>
            <wp:wrapSquare wrapText="bothSides"/>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420" w:firstLineChars="200"/>
        <w:jc w:val="left"/>
      </w:pPr>
    </w:p>
    <w:p>
      <w:pPr>
        <w:spacing w:line="600" w:lineRule="exact"/>
        <w:ind w:firstLine="420" w:firstLineChars="200"/>
        <w:jc w:val="left"/>
      </w:pPr>
    </w:p>
    <w:p>
      <w:pPr>
        <w:spacing w:line="600" w:lineRule="exact"/>
        <w:ind w:firstLine="640" w:firstLineChars="200"/>
        <w:jc w:val="left"/>
        <w:rPr>
          <w:rFonts w:ascii="仿宋_GB2312" w:eastAsia="仿宋_GB2312"/>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58" w:name="_Toc1953765440_WPSOffice_Level2"/>
      <w:bookmarkStart w:id="59" w:name="_Toc15377206"/>
      <w:bookmarkStart w:id="60" w:name="_Toc15396604"/>
      <w:r>
        <w:rPr>
          <w:rFonts w:hint="eastAsia" w:ascii="黑体" w:hAnsi="黑体" w:eastAsia="黑体"/>
          <w:sz w:val="32"/>
          <w:szCs w:val="32"/>
        </w:rPr>
        <w:t>收</w:t>
      </w:r>
      <w:r>
        <w:rPr>
          <w:rStyle w:val="25"/>
          <w:rFonts w:hint="eastAsia" w:ascii="黑体" w:hAnsi="黑体" w:eastAsia="黑体"/>
          <w:b w:val="0"/>
        </w:rPr>
        <w:t>入决算情况说明</w:t>
      </w:r>
      <w:bookmarkEnd w:id="58"/>
      <w:bookmarkEnd w:id="59"/>
      <w:bookmarkEnd w:id="60"/>
    </w:p>
    <w:p>
      <w:pPr>
        <w:autoSpaceDN w:val="0"/>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21年本年收入合计725.84万元，其中：一般公共预算财政拨款收入725.84万元，占100</w:t>
      </w:r>
      <w:r>
        <w:rPr>
          <w:rFonts w:ascii="仿宋" w:hAnsi="仿宋" w:eastAsia="仿宋"/>
          <w:sz w:val="32"/>
          <w:szCs w:val="32"/>
        </w:rPr>
        <w:t>%</w:t>
      </w:r>
      <w:r>
        <w:rPr>
          <w:rFonts w:hint="eastAsia" w:ascii="仿宋" w:hAnsi="仿宋" w:eastAsia="仿宋"/>
          <w:sz w:val="32"/>
          <w:szCs w:val="32"/>
        </w:rPr>
        <w:t>；</w:t>
      </w:r>
      <w:r>
        <w:rPr>
          <w:rFonts w:ascii="仿宋" w:hAnsi="仿宋" w:eastAsia="仿宋" w:cs="仿宋"/>
          <w:sz w:val="32"/>
          <w:szCs w:val="32"/>
        </w:rPr>
        <w:t>政府性基金预算财政拨款收入</w:t>
      </w:r>
      <w:r>
        <w:rPr>
          <w:rFonts w:hint="eastAsia" w:ascii="仿宋" w:hAnsi="仿宋" w:eastAsia="仿宋" w:cs="仿宋"/>
          <w:sz w:val="32"/>
          <w:szCs w:val="32"/>
        </w:rPr>
        <w:t>0万元，占0%；国有资本经营预算财政拨款收入0万元，占0%；上级补助收入0万元，占0%；事业收入0万元，占0%；经营收入0万元，占0%；附属单位上缴收入0万元，占0%；其他收入0万元，占0%。</w:t>
      </w:r>
    </w:p>
    <w:p>
      <w:pPr>
        <w:spacing w:line="600" w:lineRule="exact"/>
        <w:ind w:firstLine="640" w:firstLineChars="200"/>
        <w:rPr>
          <w:rFonts w:ascii="仿宋_GB2312" w:eastAsia="仿宋_GB2312"/>
          <w:sz w:val="32"/>
          <w:szCs w:val="32"/>
        </w:rPr>
      </w:pPr>
      <w:r>
        <w:rPr>
          <w:rFonts w:hint="eastAsia" w:ascii="仿宋" w:hAnsi="仿宋" w:eastAsia="仿宋"/>
          <w:sz w:val="32"/>
          <w:szCs w:val="32"/>
        </w:rPr>
        <w:t>（图2：收入决算结构图）（饼状图）</w:t>
      </w:r>
    </w:p>
    <w:p>
      <w:pPr>
        <w:pStyle w:val="23"/>
        <w:numPr>
          <w:ilvl w:val="0"/>
          <w:numId w:val="1"/>
        </w:numPr>
        <w:spacing w:line="600" w:lineRule="exact"/>
        <w:ind w:firstLineChars="0"/>
        <w:outlineLvl w:val="1"/>
        <w:rPr>
          <w:rStyle w:val="25"/>
          <w:rFonts w:ascii="黑体" w:hAnsi="黑体" w:eastAsia="黑体"/>
          <w:b w:val="0"/>
        </w:rPr>
      </w:pPr>
      <w:bookmarkStart w:id="61" w:name="_Toc15396605"/>
      <w:bookmarkStart w:id="62" w:name="_Toc15377207"/>
      <w:r>
        <w:drawing>
          <wp:anchor distT="0" distB="0" distL="114300" distR="114300" simplePos="0" relativeHeight="251660288" behindDoc="0" locked="0" layoutInCell="1" allowOverlap="1">
            <wp:simplePos x="0" y="0"/>
            <wp:positionH relativeFrom="column">
              <wp:posOffset>476885</wp:posOffset>
            </wp:positionH>
            <wp:positionV relativeFrom="paragraph">
              <wp:posOffset>138430</wp:posOffset>
            </wp:positionV>
            <wp:extent cx="4509135" cy="2289175"/>
            <wp:effectExtent l="4445" t="4445" r="20320" b="11430"/>
            <wp:wrapTopAndBottom/>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黑体" w:hAnsi="黑体" w:eastAsia="黑体"/>
          <w:sz w:val="32"/>
          <w:szCs w:val="32"/>
        </w:rPr>
        <w:t>支</w:t>
      </w:r>
      <w:r>
        <w:rPr>
          <w:rStyle w:val="25"/>
          <w:rFonts w:hint="eastAsia" w:ascii="黑体" w:hAnsi="黑体" w:eastAsia="黑体"/>
          <w:b w:val="0"/>
        </w:rPr>
        <w:t>出决算情况说明</w:t>
      </w:r>
      <w:bookmarkEnd w:id="61"/>
      <w:bookmarkEnd w:id="62"/>
    </w:p>
    <w:p>
      <w:pPr>
        <w:autoSpaceDN w:val="0"/>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21年本年支出合计820.12万元，其中：基本支出611.56万元，占74.57</w:t>
      </w:r>
      <w:r>
        <w:rPr>
          <w:rFonts w:ascii="仿宋" w:hAnsi="仿宋" w:eastAsia="仿宋"/>
          <w:sz w:val="32"/>
          <w:szCs w:val="32"/>
        </w:rPr>
        <w:t>%</w:t>
      </w:r>
      <w:r>
        <w:rPr>
          <w:rFonts w:hint="eastAsia" w:ascii="仿宋" w:hAnsi="仿宋" w:eastAsia="仿宋"/>
          <w:sz w:val="32"/>
          <w:szCs w:val="32"/>
        </w:rPr>
        <w:t>；项目支出208.56万元，占25.43</w:t>
      </w:r>
      <w:r>
        <w:rPr>
          <w:rFonts w:ascii="仿宋" w:hAnsi="仿宋" w:eastAsia="仿宋"/>
          <w:sz w:val="32"/>
          <w:szCs w:val="32"/>
        </w:rPr>
        <w:t>%</w:t>
      </w:r>
      <w:r>
        <w:rPr>
          <w:rFonts w:hint="eastAsia" w:ascii="仿宋" w:hAnsi="仿宋" w:eastAsia="仿宋"/>
          <w:sz w:val="32"/>
          <w:szCs w:val="32"/>
        </w:rPr>
        <w:t>；</w:t>
      </w:r>
      <w:r>
        <w:rPr>
          <w:rFonts w:ascii="仿宋" w:hAnsi="仿宋" w:eastAsia="仿宋" w:cs="仿宋"/>
          <w:sz w:val="32"/>
          <w:szCs w:val="32"/>
        </w:rPr>
        <w:t>上缴上级支出</w:t>
      </w:r>
      <w:r>
        <w:rPr>
          <w:rFonts w:hint="eastAsia" w:ascii="仿宋" w:hAnsi="仿宋" w:eastAsia="仿宋" w:cs="仿宋"/>
          <w:sz w:val="32"/>
          <w:szCs w:val="32"/>
        </w:rPr>
        <w:t>0万元，占0%；经营支出0万元，占0%；对附属单位补助支出0万元，占0%。</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spacing w:line="600" w:lineRule="exact"/>
        <w:ind w:firstLine="630" w:firstLineChars="300"/>
        <w:rPr>
          <w:rStyle w:val="25"/>
          <w:rFonts w:ascii="黑体" w:hAnsi="黑体" w:eastAsia="黑体"/>
          <w:b w:val="0"/>
        </w:rPr>
      </w:pPr>
      <w:r>
        <w:drawing>
          <wp:anchor distT="0" distB="0" distL="114300" distR="114300" simplePos="0" relativeHeight="251661312" behindDoc="0" locked="0" layoutInCell="1" allowOverlap="1">
            <wp:simplePos x="0" y="0"/>
            <wp:positionH relativeFrom="column">
              <wp:posOffset>394335</wp:posOffset>
            </wp:positionH>
            <wp:positionV relativeFrom="paragraph">
              <wp:posOffset>46990</wp:posOffset>
            </wp:positionV>
            <wp:extent cx="4876800" cy="2634615"/>
            <wp:effectExtent l="4445" t="4445" r="14605" b="8890"/>
            <wp:wrapTopAndBottom/>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bookmarkStart w:id="63" w:name="_Toc15377208"/>
      <w:bookmarkStart w:id="64" w:name="_Toc15396606"/>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63"/>
      <w:bookmarkEnd w:id="64"/>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21年财政拨款收、支总计808.18万元。与</w:t>
      </w:r>
      <w:r>
        <w:rPr>
          <w:rFonts w:ascii="仿宋" w:hAnsi="仿宋" w:eastAsia="仿宋"/>
          <w:sz w:val="32"/>
          <w:szCs w:val="32"/>
        </w:rPr>
        <w:t>20</w:t>
      </w:r>
      <w:r>
        <w:rPr>
          <w:rFonts w:hint="eastAsia" w:ascii="仿宋" w:hAnsi="仿宋" w:eastAsia="仿宋"/>
          <w:sz w:val="32"/>
          <w:szCs w:val="32"/>
        </w:rPr>
        <w:t>20年相比，财政拨款收、支总计各减少18.51万元，下降2.23</w:t>
      </w:r>
      <w:r>
        <w:rPr>
          <w:rFonts w:ascii="仿宋" w:hAnsi="仿宋" w:eastAsia="仿宋"/>
          <w:sz w:val="32"/>
          <w:szCs w:val="32"/>
        </w:rPr>
        <w:t>%</w:t>
      </w:r>
      <w:r>
        <w:rPr>
          <w:rFonts w:hint="eastAsia" w:ascii="仿宋" w:hAnsi="仿宋" w:eastAsia="仿宋"/>
          <w:sz w:val="32"/>
          <w:szCs w:val="32"/>
        </w:rPr>
        <w:t>。主要变动原因是年末结转结余减少。</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pPr>
        <w:spacing w:line="600" w:lineRule="exact"/>
        <w:ind w:firstLine="640"/>
        <w:rPr>
          <w:rFonts w:ascii="仿宋" w:hAnsi="仿宋" w:eastAsia="仿宋"/>
          <w:b/>
          <w:sz w:val="32"/>
          <w:szCs w:val="32"/>
        </w:rPr>
      </w:pPr>
      <w:r>
        <w:drawing>
          <wp:anchor distT="0" distB="0" distL="114300" distR="114300" simplePos="0" relativeHeight="251665408" behindDoc="0" locked="0" layoutInCell="1" allowOverlap="1">
            <wp:simplePos x="0" y="0"/>
            <wp:positionH relativeFrom="column">
              <wp:posOffset>403225</wp:posOffset>
            </wp:positionH>
            <wp:positionV relativeFrom="paragraph">
              <wp:posOffset>150495</wp:posOffset>
            </wp:positionV>
            <wp:extent cx="4661535" cy="2464435"/>
            <wp:effectExtent l="4445" t="4445" r="20320" b="7620"/>
            <wp:wrapNone/>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outlineLvl w:val="1"/>
        <w:rPr>
          <w:rFonts w:ascii="黑体" w:hAnsi="黑体" w:eastAsia="黑体"/>
          <w:sz w:val="32"/>
          <w:szCs w:val="32"/>
        </w:rPr>
      </w:pPr>
      <w:bookmarkStart w:id="65" w:name="_Toc15377209"/>
      <w:bookmarkStart w:id="66" w:name="_Toc15396607"/>
    </w:p>
    <w:p>
      <w:pPr>
        <w:spacing w:line="600" w:lineRule="exact"/>
        <w:ind w:firstLine="640" w:firstLineChars="200"/>
        <w:outlineLvl w:val="1"/>
        <w:rPr>
          <w:rFonts w:ascii="黑体" w:hAnsi="黑体" w:eastAsia="黑体"/>
          <w:sz w:val="32"/>
          <w:szCs w:val="32"/>
        </w:rPr>
      </w:pPr>
    </w:p>
    <w:p>
      <w:pPr>
        <w:spacing w:line="600" w:lineRule="exact"/>
        <w:ind w:firstLine="640" w:firstLineChars="200"/>
        <w:outlineLvl w:val="1"/>
        <w:rPr>
          <w:rFonts w:ascii="黑体" w:hAnsi="黑体" w:eastAsia="黑体"/>
          <w:sz w:val="32"/>
          <w:szCs w:val="32"/>
        </w:rPr>
      </w:pPr>
    </w:p>
    <w:p>
      <w:pPr>
        <w:spacing w:line="600" w:lineRule="exact"/>
        <w:ind w:firstLine="640" w:firstLineChars="200"/>
        <w:outlineLvl w:val="1"/>
        <w:rPr>
          <w:rFonts w:ascii="黑体" w:hAnsi="黑体" w:eastAsia="黑体"/>
          <w:sz w:val="32"/>
          <w:szCs w:val="32"/>
        </w:rPr>
      </w:pPr>
    </w:p>
    <w:p>
      <w:pPr>
        <w:spacing w:line="600" w:lineRule="exact"/>
        <w:ind w:firstLine="640" w:firstLineChars="200"/>
        <w:outlineLvl w:val="1"/>
        <w:rPr>
          <w:rFonts w:ascii="黑体" w:hAnsi="黑体" w:eastAsia="黑体"/>
          <w:sz w:val="32"/>
          <w:szCs w:val="32"/>
        </w:rPr>
      </w:pPr>
    </w:p>
    <w:p>
      <w:pPr>
        <w:spacing w:line="600" w:lineRule="exact"/>
        <w:ind w:firstLine="640" w:firstLineChars="200"/>
        <w:outlineLvl w:val="1"/>
        <w:rPr>
          <w:rFonts w:ascii="黑体" w:hAnsi="黑体" w:eastAsia="黑体"/>
          <w:sz w:val="32"/>
          <w:szCs w:val="32"/>
        </w:rPr>
      </w:pPr>
    </w:p>
    <w:p>
      <w:pPr>
        <w:spacing w:line="600" w:lineRule="exact"/>
        <w:ind w:firstLine="640" w:firstLineChars="200"/>
        <w:outlineLvl w:val="1"/>
        <w:rPr>
          <w:rStyle w:val="25"/>
          <w:rFonts w:ascii="黑体" w:hAnsi="黑体" w:eastAsia="黑体"/>
          <w:b w:val="0"/>
        </w:rPr>
      </w:pPr>
      <w:bookmarkStart w:id="67" w:name="_Toc968608296_WPSOffice_Level2"/>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65"/>
      <w:bookmarkEnd w:id="66"/>
      <w:bookmarkEnd w:id="67"/>
    </w:p>
    <w:p>
      <w:pPr>
        <w:spacing w:line="600" w:lineRule="exact"/>
        <w:ind w:firstLine="642" w:firstLineChars="200"/>
        <w:outlineLvl w:val="2"/>
        <w:rPr>
          <w:rFonts w:ascii="仿宋" w:hAnsi="仿宋" w:eastAsia="仿宋"/>
          <w:b/>
          <w:sz w:val="32"/>
          <w:szCs w:val="32"/>
        </w:rPr>
      </w:pPr>
      <w:bookmarkStart w:id="68" w:name="_Toc15377210"/>
      <w:r>
        <w:rPr>
          <w:rFonts w:hint="eastAsia" w:ascii="仿宋" w:hAnsi="仿宋" w:eastAsia="仿宋"/>
          <w:b/>
          <w:sz w:val="32"/>
          <w:szCs w:val="32"/>
        </w:rPr>
        <w:t>（一）一般公共预算财政拨款支出决算总体情况</w:t>
      </w:r>
      <w:bookmarkEnd w:id="68"/>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21年一般公共预算财政拨款支出808.15万元，占本年支出合计的98.27</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20年相比，一般公共预算财政拨款支出增加74.88万元，增长10.21</w:t>
      </w:r>
      <w:r>
        <w:rPr>
          <w:rFonts w:ascii="仿宋" w:hAnsi="仿宋" w:eastAsia="仿宋"/>
          <w:sz w:val="32"/>
          <w:szCs w:val="32"/>
        </w:rPr>
        <w:t>%</w:t>
      </w:r>
      <w:r>
        <w:rPr>
          <w:rFonts w:hint="eastAsia" w:ascii="仿宋" w:hAnsi="仿宋" w:eastAsia="仿宋"/>
          <w:sz w:val="32"/>
          <w:szCs w:val="32"/>
        </w:rPr>
        <w:t>。主要变动原因是项目支出增加。</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420" w:firstLineChars="200"/>
        <w:rPr>
          <w:rFonts w:ascii="仿宋" w:hAnsi="仿宋" w:eastAsia="仿宋"/>
          <w:sz w:val="32"/>
          <w:szCs w:val="32"/>
        </w:rPr>
      </w:pPr>
      <w:r>
        <w:drawing>
          <wp:anchor distT="0" distB="0" distL="114300" distR="114300" simplePos="0" relativeHeight="251663360" behindDoc="0" locked="0" layoutInCell="1" allowOverlap="1">
            <wp:simplePos x="0" y="0"/>
            <wp:positionH relativeFrom="column">
              <wp:posOffset>400050</wp:posOffset>
            </wp:positionH>
            <wp:positionV relativeFrom="paragraph">
              <wp:posOffset>106045</wp:posOffset>
            </wp:positionV>
            <wp:extent cx="4572000" cy="2743200"/>
            <wp:effectExtent l="4445" t="4445" r="14605" b="14605"/>
            <wp:wrapNone/>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2" w:firstLineChars="200"/>
        <w:outlineLvl w:val="2"/>
        <w:rPr>
          <w:rFonts w:ascii="仿宋" w:hAnsi="仿宋" w:eastAsia="仿宋"/>
          <w:b/>
          <w:sz w:val="32"/>
          <w:szCs w:val="32"/>
        </w:rPr>
      </w:pPr>
      <w:bookmarkStart w:id="69" w:name="_Toc15377211"/>
    </w:p>
    <w:p>
      <w:pPr>
        <w:spacing w:line="600" w:lineRule="exact"/>
        <w:ind w:firstLine="642" w:firstLineChars="200"/>
        <w:outlineLvl w:val="2"/>
        <w:rPr>
          <w:rFonts w:ascii="仿宋" w:hAnsi="仿宋" w:eastAsia="仿宋"/>
          <w:b/>
          <w:sz w:val="32"/>
          <w:szCs w:val="32"/>
        </w:rPr>
      </w:pPr>
    </w:p>
    <w:p>
      <w:pPr>
        <w:spacing w:line="600" w:lineRule="exact"/>
        <w:ind w:firstLine="642" w:firstLineChars="200"/>
        <w:outlineLvl w:val="2"/>
        <w:rPr>
          <w:rFonts w:ascii="仿宋" w:hAnsi="仿宋" w:eastAsia="仿宋"/>
          <w:b/>
          <w:sz w:val="32"/>
          <w:szCs w:val="32"/>
        </w:rPr>
      </w:pPr>
    </w:p>
    <w:p>
      <w:pPr>
        <w:spacing w:line="600" w:lineRule="exact"/>
        <w:ind w:firstLine="642" w:firstLineChars="200"/>
        <w:outlineLvl w:val="2"/>
        <w:rPr>
          <w:rFonts w:ascii="仿宋" w:hAnsi="仿宋" w:eastAsia="仿宋"/>
          <w:b/>
          <w:sz w:val="32"/>
          <w:szCs w:val="32"/>
        </w:rPr>
      </w:pPr>
    </w:p>
    <w:p>
      <w:pPr>
        <w:spacing w:line="600" w:lineRule="exact"/>
        <w:outlineLvl w:val="2"/>
        <w:rPr>
          <w:rFonts w:ascii="仿宋" w:hAnsi="仿宋" w:eastAsia="仿宋"/>
          <w:b/>
          <w:sz w:val="32"/>
          <w:szCs w:val="32"/>
        </w:rPr>
      </w:pPr>
    </w:p>
    <w:p>
      <w:pPr>
        <w:spacing w:line="600" w:lineRule="exact"/>
        <w:ind w:firstLine="642" w:firstLineChars="200"/>
        <w:outlineLvl w:val="2"/>
        <w:rPr>
          <w:rFonts w:ascii="仿宋" w:hAnsi="仿宋" w:eastAsia="仿宋"/>
          <w:b/>
          <w:sz w:val="32"/>
          <w:szCs w:val="32"/>
        </w:rPr>
      </w:pPr>
      <w:r>
        <w:rPr>
          <w:rFonts w:hint="eastAsia" w:ascii="仿宋" w:hAnsi="仿宋" w:eastAsia="仿宋"/>
          <w:b/>
          <w:sz w:val="32"/>
          <w:szCs w:val="32"/>
        </w:rPr>
        <w:t>（二）一般公共预算财政拨款支出决算结构情况</w:t>
      </w:r>
      <w:bookmarkEnd w:id="69"/>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21年一般公共预算财政拨款支出808.15万元，主要用于以下方面</w:t>
      </w:r>
      <w:r>
        <w:rPr>
          <w:rFonts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支出59.51万元，占7.36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b/>
          <w:sz w:val="32"/>
          <w:szCs w:val="32"/>
        </w:rPr>
        <w:t>（类）</w:t>
      </w:r>
      <w:r>
        <w:rPr>
          <w:rFonts w:hint="eastAsia" w:ascii="仿宋" w:hAnsi="仿宋" w:eastAsia="仿宋"/>
          <w:sz w:val="32"/>
          <w:szCs w:val="32"/>
        </w:rPr>
        <w:t>705.77万元，占87.33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住房保障支出（类）</w:t>
      </w:r>
      <w:r>
        <w:rPr>
          <w:rFonts w:hint="eastAsia" w:ascii="仿宋" w:hAnsi="仿宋" w:eastAsia="仿宋"/>
          <w:sz w:val="32"/>
          <w:szCs w:val="32"/>
        </w:rPr>
        <w:t>42.87万元，占5.31</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420" w:firstLineChars="200"/>
        <w:outlineLvl w:val="2"/>
        <w:rPr>
          <w:rFonts w:ascii="仿宋" w:hAnsi="仿宋" w:eastAsia="仿宋"/>
          <w:b/>
          <w:sz w:val="32"/>
          <w:szCs w:val="32"/>
        </w:rPr>
      </w:pPr>
      <w:bookmarkStart w:id="70" w:name="_Toc15377212"/>
      <w:r>
        <w:drawing>
          <wp:anchor distT="0" distB="0" distL="114300" distR="114300" simplePos="0" relativeHeight="251664384" behindDoc="0" locked="0" layoutInCell="1" allowOverlap="1">
            <wp:simplePos x="0" y="0"/>
            <wp:positionH relativeFrom="column">
              <wp:posOffset>509905</wp:posOffset>
            </wp:positionH>
            <wp:positionV relativeFrom="paragraph">
              <wp:posOffset>182880</wp:posOffset>
            </wp:positionV>
            <wp:extent cx="4572000" cy="2743200"/>
            <wp:effectExtent l="4445" t="4445" r="14605" b="14605"/>
            <wp:wrapNone/>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2" w:firstLineChars="200"/>
        <w:outlineLvl w:val="2"/>
        <w:rPr>
          <w:rFonts w:ascii="仿宋" w:hAnsi="仿宋" w:eastAsia="仿宋"/>
          <w:b/>
          <w:sz w:val="32"/>
          <w:szCs w:val="32"/>
        </w:rPr>
      </w:pPr>
    </w:p>
    <w:p>
      <w:pPr>
        <w:spacing w:line="600" w:lineRule="exact"/>
        <w:ind w:firstLine="642" w:firstLineChars="200"/>
        <w:outlineLvl w:val="2"/>
        <w:rPr>
          <w:rFonts w:ascii="仿宋" w:hAnsi="仿宋" w:eastAsia="仿宋"/>
          <w:b/>
          <w:sz w:val="32"/>
          <w:szCs w:val="32"/>
        </w:rPr>
      </w:pPr>
    </w:p>
    <w:p>
      <w:pPr>
        <w:spacing w:line="600" w:lineRule="exact"/>
        <w:ind w:firstLine="642" w:firstLineChars="200"/>
        <w:outlineLvl w:val="2"/>
        <w:rPr>
          <w:rFonts w:ascii="仿宋" w:hAnsi="仿宋" w:eastAsia="仿宋"/>
          <w:b/>
          <w:sz w:val="32"/>
          <w:szCs w:val="32"/>
        </w:rPr>
      </w:pPr>
    </w:p>
    <w:p>
      <w:pPr>
        <w:spacing w:line="600" w:lineRule="exact"/>
        <w:ind w:firstLine="642" w:firstLineChars="200"/>
        <w:outlineLvl w:val="2"/>
        <w:rPr>
          <w:rFonts w:ascii="仿宋" w:hAnsi="仿宋" w:eastAsia="仿宋"/>
          <w:b/>
          <w:sz w:val="32"/>
          <w:szCs w:val="32"/>
        </w:rPr>
      </w:pPr>
    </w:p>
    <w:p>
      <w:pPr>
        <w:spacing w:line="600" w:lineRule="exact"/>
        <w:ind w:firstLine="642" w:firstLineChars="200"/>
        <w:outlineLvl w:val="2"/>
        <w:rPr>
          <w:rFonts w:ascii="仿宋" w:hAnsi="仿宋" w:eastAsia="仿宋"/>
          <w:b/>
          <w:sz w:val="32"/>
          <w:szCs w:val="32"/>
        </w:rPr>
      </w:pPr>
    </w:p>
    <w:p>
      <w:pPr>
        <w:spacing w:line="600" w:lineRule="exact"/>
        <w:ind w:firstLine="642" w:firstLineChars="200"/>
        <w:outlineLvl w:val="2"/>
        <w:rPr>
          <w:rFonts w:ascii="仿宋" w:hAnsi="仿宋" w:eastAsia="仿宋"/>
          <w:b/>
          <w:sz w:val="32"/>
          <w:szCs w:val="32"/>
        </w:rPr>
      </w:pPr>
    </w:p>
    <w:p>
      <w:pPr>
        <w:spacing w:line="600" w:lineRule="exact"/>
        <w:ind w:firstLine="642" w:firstLineChars="200"/>
        <w:outlineLvl w:val="2"/>
        <w:rPr>
          <w:rFonts w:ascii="仿宋" w:hAnsi="仿宋" w:eastAsia="仿宋"/>
          <w:b/>
          <w:sz w:val="32"/>
          <w:szCs w:val="32"/>
        </w:rPr>
      </w:pPr>
    </w:p>
    <w:p>
      <w:pPr>
        <w:spacing w:line="600" w:lineRule="exact"/>
        <w:ind w:firstLine="642" w:firstLineChars="200"/>
        <w:outlineLvl w:val="2"/>
        <w:rPr>
          <w:rFonts w:ascii="仿宋" w:hAnsi="仿宋" w:eastAsia="仿宋"/>
          <w:b/>
          <w:sz w:val="32"/>
          <w:szCs w:val="32"/>
        </w:rPr>
      </w:pPr>
      <w:r>
        <w:rPr>
          <w:rFonts w:hint="eastAsia" w:ascii="仿宋" w:hAnsi="仿宋" w:eastAsia="仿宋"/>
          <w:b/>
          <w:sz w:val="32"/>
          <w:szCs w:val="32"/>
        </w:rPr>
        <w:t>（三）一般公共预算财政拨款支出决算具体情况</w:t>
      </w:r>
      <w:bookmarkEnd w:id="70"/>
    </w:p>
    <w:p>
      <w:pPr>
        <w:spacing w:line="600" w:lineRule="exact"/>
        <w:ind w:firstLine="642" w:firstLineChars="200"/>
        <w:outlineLvl w:val="2"/>
        <w:rPr>
          <w:rFonts w:ascii="仿宋" w:hAnsi="仿宋" w:eastAsia="仿宋"/>
          <w:sz w:val="32"/>
          <w:szCs w:val="32"/>
        </w:rPr>
      </w:pPr>
      <w:bookmarkStart w:id="71" w:name="_Toc15377444"/>
      <w:bookmarkStart w:id="72" w:name="_Toc15378460"/>
      <w:bookmarkStart w:id="73" w:name="_Toc15377213"/>
      <w:r>
        <w:rPr>
          <w:rFonts w:hint="eastAsia" w:ascii="仿宋" w:hAnsi="仿宋" w:eastAsia="仿宋"/>
          <w:b/>
          <w:sz w:val="32"/>
          <w:szCs w:val="32"/>
        </w:rPr>
        <w:t>2021年一般公共预算支出决算数为808.15万元</w:t>
      </w:r>
      <w:r>
        <w:rPr>
          <w:rFonts w:hint="eastAsia" w:ascii="仿宋" w:hAnsi="仿宋" w:eastAsia="仿宋"/>
          <w:sz w:val="32"/>
          <w:szCs w:val="32"/>
        </w:rPr>
        <w:t>，</w:t>
      </w:r>
      <w:r>
        <w:rPr>
          <w:rStyle w:val="14"/>
          <w:rFonts w:hint="eastAsia" w:ascii="仿宋" w:hAnsi="仿宋" w:eastAsia="仿宋"/>
          <w:bCs/>
          <w:sz w:val="32"/>
          <w:szCs w:val="32"/>
        </w:rPr>
        <w:t>完成预算100</w:t>
      </w:r>
      <w:r>
        <w:rPr>
          <w:rStyle w:val="14"/>
          <w:rFonts w:ascii="仿宋" w:hAnsi="仿宋" w:eastAsia="仿宋"/>
          <w:bCs/>
          <w:sz w:val="32"/>
          <w:szCs w:val="32"/>
        </w:rPr>
        <w:t>%</w:t>
      </w:r>
      <w:r>
        <w:rPr>
          <w:rStyle w:val="14"/>
          <w:rFonts w:hint="eastAsia" w:ascii="仿宋" w:hAnsi="仿宋" w:eastAsia="仿宋"/>
          <w:bCs/>
          <w:sz w:val="32"/>
          <w:szCs w:val="32"/>
        </w:rPr>
        <w:t>。其中：</w:t>
      </w:r>
      <w:bookmarkEnd w:id="71"/>
      <w:bookmarkEnd w:id="72"/>
      <w:bookmarkEnd w:id="73"/>
    </w:p>
    <w:p>
      <w:pPr>
        <w:numPr>
          <w:ilvl w:val="255"/>
          <w:numId w:val="0"/>
        </w:numPr>
        <w:spacing w:line="600" w:lineRule="exact"/>
        <w:ind w:firstLine="642" w:firstLineChars="200"/>
        <w:rPr>
          <w:rStyle w:val="14"/>
          <w:rFonts w:ascii="仿宋" w:hAnsi="仿宋" w:eastAsia="仿宋"/>
          <w:b w:val="0"/>
          <w:bCs/>
          <w:color w:val="000000"/>
          <w:sz w:val="32"/>
          <w:szCs w:val="32"/>
        </w:rPr>
      </w:pPr>
      <w:r>
        <w:rPr>
          <w:rStyle w:val="14"/>
          <w:rFonts w:hint="eastAsia" w:ascii="仿宋" w:hAnsi="仿宋" w:eastAsia="仿宋"/>
          <w:bCs/>
          <w:sz w:val="32"/>
          <w:szCs w:val="32"/>
        </w:rPr>
        <w:t>1.社会保障和就业（</w:t>
      </w:r>
      <w:r>
        <w:rPr>
          <w:rStyle w:val="14"/>
          <w:rFonts w:hint="eastAsia" w:ascii="仿宋" w:hAnsi="仿宋" w:eastAsia="仿宋"/>
          <w:bCs/>
          <w:color w:val="000000"/>
          <w:sz w:val="32"/>
          <w:szCs w:val="32"/>
        </w:rPr>
        <w:t>类）行政事业单位养老支出（款）行政单位离退休（项）：</w:t>
      </w:r>
      <w:r>
        <w:rPr>
          <w:rFonts w:hint="eastAsia" w:eastAsia="仿宋"/>
          <w:color w:val="000000"/>
          <w:sz w:val="32"/>
          <w:szCs w:val="32"/>
        </w:rPr>
        <w:t>2021年支出决算数为22.62万元，</w:t>
      </w:r>
      <w:r>
        <w:rPr>
          <w:rFonts w:hint="eastAsia" w:eastAsia="仿宋"/>
          <w:sz w:val="32"/>
          <w:szCs w:val="32"/>
        </w:rPr>
        <w:t>完成预算100%</w:t>
      </w:r>
      <w:r>
        <w:rPr>
          <w:rStyle w:val="14"/>
          <w:rFonts w:hint="eastAsia" w:ascii="仿宋" w:hAnsi="仿宋" w:eastAsia="仿宋"/>
          <w:b w:val="0"/>
          <w:bCs/>
          <w:color w:val="000000"/>
          <w:sz w:val="32"/>
          <w:szCs w:val="32"/>
        </w:rPr>
        <w:t>，决算数等于预算数。</w:t>
      </w:r>
    </w:p>
    <w:p>
      <w:pPr>
        <w:numPr>
          <w:ilvl w:val="255"/>
          <w:numId w:val="0"/>
        </w:numPr>
        <w:spacing w:line="600" w:lineRule="exact"/>
        <w:ind w:firstLine="642"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2.</w:t>
      </w:r>
      <w:r>
        <w:rPr>
          <w:rStyle w:val="14"/>
          <w:rFonts w:hint="eastAsia" w:ascii="仿宋" w:hAnsi="仿宋" w:eastAsia="仿宋"/>
          <w:bCs/>
          <w:sz w:val="32"/>
          <w:szCs w:val="32"/>
        </w:rPr>
        <w:t>社会保障和就业（</w:t>
      </w:r>
      <w:r>
        <w:rPr>
          <w:rStyle w:val="14"/>
          <w:rFonts w:hint="eastAsia" w:ascii="仿宋" w:hAnsi="仿宋" w:eastAsia="仿宋"/>
          <w:bCs/>
          <w:color w:val="000000"/>
          <w:sz w:val="32"/>
          <w:szCs w:val="32"/>
        </w:rPr>
        <w:t>类）行政事业单位养老支出（款）行政事业单位基本养老保险缴费支出（项）：</w:t>
      </w:r>
      <w:r>
        <w:rPr>
          <w:rStyle w:val="14"/>
          <w:rFonts w:hint="eastAsia" w:ascii="仿宋" w:hAnsi="仿宋" w:eastAsia="仿宋"/>
          <w:b w:val="0"/>
          <w:bCs/>
          <w:color w:val="000000"/>
          <w:sz w:val="32"/>
          <w:szCs w:val="32"/>
        </w:rPr>
        <w:t>支出决算为36.89万元，完成预算100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2" w:firstLineChars="200"/>
        <w:rPr>
          <w:rFonts w:eastAsia="仿宋"/>
          <w:color w:val="000000"/>
          <w:sz w:val="32"/>
          <w:szCs w:val="32"/>
        </w:rPr>
      </w:pPr>
      <w:r>
        <w:rPr>
          <w:rStyle w:val="14"/>
          <w:rFonts w:hint="eastAsia" w:ascii="仿宋" w:hAnsi="仿宋" w:eastAsia="仿宋"/>
          <w:bCs/>
          <w:sz w:val="32"/>
          <w:szCs w:val="32"/>
        </w:rPr>
        <w:t>3</w:t>
      </w:r>
      <w:r>
        <w:rPr>
          <w:rStyle w:val="14"/>
          <w:rFonts w:ascii="仿宋" w:hAnsi="仿宋" w:eastAsia="仿宋"/>
          <w:bCs/>
          <w:sz w:val="32"/>
          <w:szCs w:val="32"/>
        </w:rPr>
        <w:t>.</w:t>
      </w:r>
      <w:r>
        <w:rPr>
          <w:rFonts w:hint="eastAsia" w:ascii="仿宋" w:hAnsi="仿宋" w:eastAsia="仿宋"/>
          <w:b/>
          <w:bCs/>
          <w:sz w:val="32"/>
          <w:szCs w:val="32"/>
        </w:rPr>
        <w:t>卫生健康</w:t>
      </w:r>
      <w:r>
        <w:rPr>
          <w:rStyle w:val="14"/>
          <w:rFonts w:hint="eastAsia" w:ascii="仿宋" w:hAnsi="仿宋" w:eastAsia="仿宋"/>
          <w:bCs/>
          <w:color w:val="000000"/>
          <w:sz w:val="32"/>
          <w:szCs w:val="32"/>
        </w:rPr>
        <w:t>（类）</w:t>
      </w:r>
      <w:r>
        <w:rPr>
          <w:rStyle w:val="14"/>
          <w:rFonts w:hint="eastAsia" w:ascii="仿宋" w:hAnsi="仿宋" w:eastAsia="仿宋"/>
          <w:color w:val="000000"/>
          <w:sz w:val="32"/>
          <w:szCs w:val="32"/>
        </w:rPr>
        <w:t>公共卫生（款）卫生监督机构（项）：</w:t>
      </w:r>
      <w:r>
        <w:rPr>
          <w:rFonts w:hint="eastAsia" w:eastAsia="仿宋"/>
          <w:color w:val="000000"/>
          <w:sz w:val="32"/>
          <w:szCs w:val="32"/>
        </w:rPr>
        <w:t>2021年支出决算数为</w:t>
      </w:r>
      <w:r>
        <w:rPr>
          <w:rStyle w:val="14"/>
          <w:rFonts w:hint="eastAsia" w:ascii="仿宋" w:hAnsi="仿宋" w:eastAsia="仿宋"/>
          <w:b w:val="0"/>
          <w:bCs/>
          <w:color w:val="000000"/>
          <w:sz w:val="32"/>
          <w:szCs w:val="32"/>
        </w:rPr>
        <w:t>540.92万元，</w:t>
      </w:r>
      <w:r>
        <w:rPr>
          <w:rFonts w:hint="eastAsia" w:eastAsia="仿宋"/>
          <w:color w:val="000000"/>
          <w:sz w:val="32"/>
          <w:szCs w:val="32"/>
        </w:rPr>
        <w:t>完成预算100%</w:t>
      </w:r>
      <w:r>
        <w:rPr>
          <w:rStyle w:val="14"/>
          <w:rFonts w:hint="eastAsia" w:ascii="仿宋" w:hAnsi="仿宋" w:eastAsia="仿宋"/>
          <w:b w:val="0"/>
          <w:bCs/>
          <w:color w:val="000000"/>
          <w:sz w:val="32"/>
          <w:szCs w:val="32"/>
        </w:rPr>
        <w:t>，决算数等于预算数</w:t>
      </w:r>
      <w:r>
        <w:rPr>
          <w:rFonts w:hint="eastAsia" w:eastAsia="仿宋"/>
          <w:color w:val="000000"/>
          <w:sz w:val="32"/>
          <w:szCs w:val="32"/>
        </w:rPr>
        <w:t>。</w:t>
      </w:r>
    </w:p>
    <w:p>
      <w:pPr>
        <w:spacing w:line="600" w:lineRule="exact"/>
        <w:ind w:firstLine="642" w:firstLineChars="200"/>
        <w:rPr>
          <w:rStyle w:val="14"/>
          <w:rFonts w:ascii="仿宋" w:hAnsi="仿宋" w:eastAsia="仿宋"/>
          <w:b w:val="0"/>
          <w:bCs/>
          <w:color w:val="000000"/>
          <w:sz w:val="32"/>
          <w:szCs w:val="32"/>
        </w:rPr>
      </w:pPr>
      <w:r>
        <w:rPr>
          <w:rFonts w:hint="eastAsia" w:ascii="仿宋" w:hAnsi="仿宋" w:eastAsia="仿宋"/>
          <w:b/>
          <w:bCs/>
          <w:sz w:val="32"/>
          <w:szCs w:val="32"/>
        </w:rPr>
        <w:t>4.卫生健康</w:t>
      </w:r>
      <w:r>
        <w:rPr>
          <w:rStyle w:val="14"/>
          <w:rFonts w:hint="eastAsia" w:ascii="仿宋" w:hAnsi="仿宋" w:eastAsia="仿宋"/>
          <w:bCs/>
          <w:color w:val="000000"/>
          <w:sz w:val="32"/>
          <w:szCs w:val="32"/>
        </w:rPr>
        <w:t>（类）</w:t>
      </w:r>
      <w:r>
        <w:rPr>
          <w:rStyle w:val="14"/>
          <w:rFonts w:hint="eastAsia" w:ascii="仿宋" w:hAnsi="仿宋" w:eastAsia="仿宋"/>
          <w:color w:val="000000"/>
          <w:sz w:val="32"/>
          <w:szCs w:val="32"/>
        </w:rPr>
        <w:t>公共卫生（款）基本公共卫生服务（项）：</w:t>
      </w:r>
      <w:r>
        <w:rPr>
          <w:rFonts w:hint="eastAsia" w:eastAsia="仿宋"/>
          <w:color w:val="000000"/>
          <w:sz w:val="32"/>
          <w:szCs w:val="32"/>
        </w:rPr>
        <w:t>2021年支出决算数为</w:t>
      </w:r>
      <w:r>
        <w:rPr>
          <w:rStyle w:val="14"/>
          <w:rFonts w:hint="eastAsia" w:ascii="仿宋" w:hAnsi="仿宋" w:eastAsia="仿宋"/>
          <w:b w:val="0"/>
          <w:bCs/>
          <w:color w:val="000000"/>
          <w:sz w:val="32"/>
          <w:szCs w:val="32"/>
        </w:rPr>
        <w:t>24.89万元，</w:t>
      </w:r>
      <w:r>
        <w:rPr>
          <w:rFonts w:hint="eastAsia" w:eastAsia="仿宋"/>
          <w:color w:val="000000"/>
          <w:sz w:val="32"/>
          <w:szCs w:val="32"/>
        </w:rPr>
        <w:t>完成预算100%,</w:t>
      </w:r>
      <w:r>
        <w:rPr>
          <w:rStyle w:val="14"/>
          <w:rFonts w:hint="eastAsia" w:ascii="仿宋" w:hAnsi="仿宋" w:eastAsia="仿宋"/>
          <w:b w:val="0"/>
          <w:bCs/>
          <w:color w:val="000000"/>
          <w:sz w:val="32"/>
          <w:szCs w:val="32"/>
        </w:rPr>
        <w:t>决算数等于预算数。</w:t>
      </w:r>
    </w:p>
    <w:p>
      <w:pPr>
        <w:spacing w:line="600" w:lineRule="exact"/>
        <w:ind w:firstLine="642" w:firstLineChars="200"/>
        <w:rPr>
          <w:rStyle w:val="14"/>
          <w:rFonts w:ascii="仿宋" w:hAnsi="仿宋" w:eastAsia="仿宋"/>
          <w:b w:val="0"/>
          <w:bCs/>
          <w:color w:val="000000"/>
          <w:sz w:val="32"/>
          <w:szCs w:val="32"/>
        </w:rPr>
      </w:pPr>
      <w:r>
        <w:rPr>
          <w:rFonts w:hint="eastAsia" w:ascii="仿宋" w:hAnsi="仿宋" w:eastAsia="仿宋"/>
          <w:b/>
          <w:bCs/>
          <w:sz w:val="32"/>
          <w:szCs w:val="32"/>
        </w:rPr>
        <w:t>5.卫生健康</w:t>
      </w:r>
      <w:r>
        <w:rPr>
          <w:rStyle w:val="14"/>
          <w:rFonts w:hint="eastAsia" w:ascii="仿宋" w:hAnsi="仿宋" w:eastAsia="仿宋"/>
          <w:bCs/>
          <w:color w:val="000000"/>
          <w:sz w:val="32"/>
          <w:szCs w:val="32"/>
        </w:rPr>
        <w:t>（类）</w:t>
      </w:r>
      <w:r>
        <w:rPr>
          <w:rStyle w:val="14"/>
          <w:rFonts w:hint="eastAsia" w:ascii="仿宋" w:hAnsi="仿宋" w:eastAsia="仿宋"/>
          <w:color w:val="000000"/>
          <w:sz w:val="32"/>
          <w:szCs w:val="32"/>
        </w:rPr>
        <w:t>公共卫生（款）重大公共卫生服务（项）：</w:t>
      </w:r>
      <w:r>
        <w:rPr>
          <w:rFonts w:hint="eastAsia" w:eastAsia="仿宋"/>
          <w:color w:val="000000"/>
          <w:sz w:val="32"/>
          <w:szCs w:val="32"/>
        </w:rPr>
        <w:t>2021年支出决算数为</w:t>
      </w:r>
      <w:r>
        <w:rPr>
          <w:rStyle w:val="14"/>
          <w:rFonts w:hint="eastAsia" w:ascii="仿宋" w:hAnsi="仿宋" w:eastAsia="仿宋"/>
          <w:b w:val="0"/>
          <w:bCs/>
          <w:color w:val="000000"/>
          <w:sz w:val="32"/>
          <w:szCs w:val="32"/>
        </w:rPr>
        <w:t>1.27万元，</w:t>
      </w:r>
      <w:r>
        <w:rPr>
          <w:rFonts w:hint="eastAsia" w:eastAsia="仿宋"/>
          <w:color w:val="000000"/>
          <w:sz w:val="32"/>
          <w:szCs w:val="32"/>
        </w:rPr>
        <w:t>完成预算100%</w:t>
      </w:r>
      <w:r>
        <w:rPr>
          <w:rStyle w:val="14"/>
          <w:rFonts w:hint="eastAsia" w:ascii="仿宋" w:hAnsi="仿宋" w:eastAsia="仿宋"/>
          <w:b w:val="0"/>
          <w:bCs/>
          <w:color w:val="000000"/>
          <w:sz w:val="32"/>
          <w:szCs w:val="32"/>
        </w:rPr>
        <w:t>，决算数等于预算数。</w:t>
      </w:r>
    </w:p>
    <w:p>
      <w:pPr>
        <w:spacing w:line="600" w:lineRule="exact"/>
        <w:ind w:firstLine="642" w:firstLineChars="200"/>
        <w:rPr>
          <w:rStyle w:val="14"/>
          <w:rFonts w:ascii="仿宋" w:hAnsi="仿宋" w:eastAsia="仿宋"/>
          <w:b w:val="0"/>
          <w:bCs/>
          <w:color w:val="000000"/>
          <w:sz w:val="32"/>
          <w:szCs w:val="32"/>
        </w:rPr>
      </w:pPr>
      <w:r>
        <w:rPr>
          <w:rFonts w:hint="eastAsia" w:ascii="仿宋" w:hAnsi="仿宋" w:eastAsia="仿宋"/>
          <w:b/>
          <w:bCs/>
          <w:sz w:val="32"/>
          <w:szCs w:val="32"/>
        </w:rPr>
        <w:t>6.卫生健康</w:t>
      </w:r>
      <w:r>
        <w:rPr>
          <w:rStyle w:val="14"/>
          <w:rFonts w:hint="eastAsia" w:ascii="仿宋" w:hAnsi="仿宋" w:eastAsia="仿宋"/>
          <w:bCs/>
          <w:color w:val="000000"/>
          <w:sz w:val="32"/>
          <w:szCs w:val="32"/>
        </w:rPr>
        <w:t>（类）</w:t>
      </w:r>
      <w:r>
        <w:rPr>
          <w:rStyle w:val="14"/>
          <w:rFonts w:hint="eastAsia" w:ascii="仿宋" w:hAnsi="仿宋" w:eastAsia="仿宋"/>
          <w:color w:val="000000"/>
          <w:sz w:val="32"/>
          <w:szCs w:val="32"/>
        </w:rPr>
        <w:t>中医药（款）中医（民族医）药专项（项）：</w:t>
      </w:r>
      <w:r>
        <w:rPr>
          <w:rFonts w:hint="eastAsia" w:eastAsia="仿宋"/>
          <w:color w:val="000000"/>
          <w:sz w:val="32"/>
          <w:szCs w:val="32"/>
        </w:rPr>
        <w:t>2021年支出决算数为</w:t>
      </w:r>
      <w:r>
        <w:rPr>
          <w:rStyle w:val="14"/>
          <w:rFonts w:hint="eastAsia" w:ascii="仿宋" w:hAnsi="仿宋" w:eastAsia="仿宋"/>
          <w:b w:val="0"/>
          <w:bCs/>
          <w:color w:val="000000"/>
          <w:sz w:val="32"/>
          <w:szCs w:val="32"/>
        </w:rPr>
        <w:t>1.60万元，</w:t>
      </w:r>
      <w:r>
        <w:rPr>
          <w:rFonts w:hint="eastAsia" w:eastAsia="仿宋"/>
          <w:color w:val="000000"/>
          <w:sz w:val="32"/>
          <w:szCs w:val="32"/>
        </w:rPr>
        <w:t>完成预算100%</w:t>
      </w:r>
      <w:r>
        <w:rPr>
          <w:rStyle w:val="14"/>
          <w:rFonts w:hint="eastAsia" w:ascii="仿宋" w:hAnsi="仿宋" w:eastAsia="仿宋"/>
          <w:b w:val="0"/>
          <w:bCs/>
          <w:color w:val="000000"/>
          <w:sz w:val="32"/>
          <w:szCs w:val="32"/>
        </w:rPr>
        <w:t>，决算数等于预算数。</w:t>
      </w:r>
    </w:p>
    <w:p>
      <w:pPr>
        <w:spacing w:line="600" w:lineRule="exact"/>
        <w:ind w:firstLine="642" w:firstLineChars="200"/>
        <w:rPr>
          <w:rStyle w:val="14"/>
          <w:rFonts w:ascii="仿宋" w:hAnsi="仿宋" w:eastAsia="仿宋"/>
          <w:b w:val="0"/>
          <w:bCs/>
          <w:color w:val="000000"/>
          <w:sz w:val="32"/>
          <w:szCs w:val="32"/>
        </w:rPr>
      </w:pPr>
      <w:r>
        <w:rPr>
          <w:rFonts w:hint="eastAsia" w:ascii="仿宋" w:hAnsi="仿宋" w:eastAsia="仿宋"/>
          <w:b/>
          <w:bCs/>
          <w:sz w:val="32"/>
          <w:szCs w:val="32"/>
        </w:rPr>
        <w:t>7.卫生健康</w:t>
      </w:r>
      <w:r>
        <w:rPr>
          <w:rStyle w:val="14"/>
          <w:rFonts w:hint="eastAsia" w:ascii="仿宋" w:hAnsi="仿宋" w:eastAsia="仿宋"/>
          <w:bCs/>
          <w:color w:val="000000"/>
          <w:sz w:val="32"/>
          <w:szCs w:val="32"/>
        </w:rPr>
        <w:t>（类）</w:t>
      </w:r>
      <w:r>
        <w:rPr>
          <w:rStyle w:val="14"/>
          <w:rFonts w:hint="eastAsia" w:ascii="仿宋" w:hAnsi="仿宋" w:eastAsia="仿宋"/>
          <w:color w:val="000000"/>
          <w:sz w:val="32"/>
          <w:szCs w:val="32"/>
        </w:rPr>
        <w:t>其他卫生健康支出（款）其他卫生健康支出（项）：</w:t>
      </w:r>
      <w:r>
        <w:rPr>
          <w:rFonts w:hint="eastAsia" w:eastAsia="仿宋"/>
          <w:color w:val="000000"/>
          <w:sz w:val="32"/>
          <w:szCs w:val="32"/>
        </w:rPr>
        <w:t>2021年支出决算数为</w:t>
      </w:r>
      <w:r>
        <w:rPr>
          <w:rStyle w:val="14"/>
          <w:rFonts w:hint="eastAsia" w:ascii="仿宋" w:hAnsi="仿宋" w:eastAsia="仿宋"/>
          <w:b w:val="0"/>
          <w:bCs/>
          <w:color w:val="000000"/>
          <w:sz w:val="32"/>
          <w:szCs w:val="32"/>
        </w:rPr>
        <w:t>137.08万元，</w:t>
      </w:r>
      <w:r>
        <w:rPr>
          <w:rFonts w:hint="eastAsia" w:eastAsia="仿宋"/>
          <w:color w:val="000000"/>
          <w:sz w:val="32"/>
          <w:szCs w:val="32"/>
        </w:rPr>
        <w:t>完成预算100%</w:t>
      </w:r>
      <w:r>
        <w:rPr>
          <w:rStyle w:val="14"/>
          <w:rFonts w:hint="eastAsia" w:ascii="仿宋" w:hAnsi="仿宋" w:eastAsia="仿宋"/>
          <w:b w:val="0"/>
          <w:bCs/>
          <w:color w:val="000000"/>
          <w:sz w:val="32"/>
          <w:szCs w:val="32"/>
        </w:rPr>
        <w:t>，决算数等于预算数。</w:t>
      </w:r>
    </w:p>
    <w:p>
      <w:pPr>
        <w:spacing w:line="600" w:lineRule="exact"/>
        <w:rPr>
          <w:rFonts w:ascii="黑体" w:eastAsia="黑体"/>
          <w:sz w:val="32"/>
          <w:szCs w:val="32"/>
        </w:rPr>
      </w:pPr>
      <w:r>
        <w:rPr>
          <w:rStyle w:val="14"/>
          <w:rFonts w:hint="eastAsia" w:ascii="仿宋" w:hAnsi="仿宋" w:eastAsia="仿宋"/>
          <w:bCs/>
          <w:color w:val="000000"/>
          <w:sz w:val="32"/>
          <w:szCs w:val="32"/>
        </w:rPr>
        <w:t xml:space="preserve">    8.住房保障</w:t>
      </w:r>
      <w:r>
        <w:rPr>
          <w:rStyle w:val="14"/>
          <w:rFonts w:hint="eastAsia" w:ascii="仿宋" w:hAnsi="仿宋" w:eastAsia="仿宋"/>
          <w:color w:val="000000"/>
          <w:sz w:val="32"/>
          <w:szCs w:val="32"/>
        </w:rPr>
        <w:t>支</w:t>
      </w:r>
      <w:r>
        <w:rPr>
          <w:rStyle w:val="14"/>
          <w:rFonts w:hint="eastAsia" w:ascii="仿宋" w:hAnsi="仿宋" w:eastAsia="仿宋"/>
          <w:bCs/>
          <w:color w:val="000000"/>
          <w:sz w:val="32"/>
          <w:szCs w:val="32"/>
        </w:rPr>
        <w:t>出（类）</w:t>
      </w:r>
      <w:r>
        <w:rPr>
          <w:rFonts w:hint="eastAsia" w:ascii="仿宋" w:hAnsi="仿宋" w:eastAsia="仿宋"/>
          <w:b/>
          <w:color w:val="000000"/>
          <w:sz w:val="32"/>
          <w:szCs w:val="32"/>
        </w:rPr>
        <w:t>住房改革支出（款</w:t>
      </w:r>
      <w:r>
        <w:rPr>
          <w:rFonts w:hint="eastAsia" w:ascii="仿宋" w:hAnsi="仿宋" w:eastAsia="仿宋"/>
          <w:b/>
          <w:sz w:val="32"/>
          <w:szCs w:val="32"/>
        </w:rPr>
        <w:t>）住房公积金（项）：</w:t>
      </w:r>
      <w:r>
        <w:rPr>
          <w:rFonts w:hint="eastAsia" w:eastAsia="仿宋"/>
          <w:color w:val="000000"/>
          <w:sz w:val="32"/>
          <w:szCs w:val="32"/>
        </w:rPr>
        <w:t>2021支出决算数为</w:t>
      </w:r>
      <w:r>
        <w:rPr>
          <w:rStyle w:val="14"/>
          <w:rFonts w:hint="eastAsia" w:ascii="仿宋" w:hAnsi="仿宋" w:eastAsia="仿宋"/>
          <w:b w:val="0"/>
          <w:bCs/>
          <w:color w:val="000000"/>
          <w:sz w:val="32"/>
          <w:szCs w:val="32"/>
        </w:rPr>
        <w:t>42.87</w:t>
      </w:r>
      <w:r>
        <w:rPr>
          <w:rFonts w:hint="eastAsia" w:eastAsia="仿宋"/>
          <w:color w:val="000000"/>
          <w:sz w:val="32"/>
          <w:szCs w:val="32"/>
        </w:rPr>
        <w:t>万元，</w:t>
      </w:r>
      <w:r>
        <w:rPr>
          <w:rFonts w:hint="eastAsia" w:eastAsia="仿宋"/>
          <w:sz w:val="32"/>
          <w:szCs w:val="32"/>
        </w:rPr>
        <w:t>完成预算100%</w:t>
      </w:r>
      <w:r>
        <w:rPr>
          <w:rStyle w:val="14"/>
          <w:rFonts w:hint="eastAsia" w:ascii="仿宋" w:hAnsi="仿宋" w:eastAsia="仿宋"/>
          <w:b w:val="0"/>
          <w:bCs/>
          <w:color w:val="000000"/>
          <w:sz w:val="32"/>
          <w:szCs w:val="32"/>
        </w:rPr>
        <w:t>，决算数等于预算数</w:t>
      </w:r>
      <w:r>
        <w:rPr>
          <w:rFonts w:hint="eastAsia" w:eastAsia="仿宋"/>
          <w:sz w:val="32"/>
          <w:szCs w:val="32"/>
        </w:rPr>
        <w:t>。</w:t>
      </w:r>
      <w:bookmarkStart w:id="74" w:name="_Toc15377214"/>
      <w:bookmarkStart w:id="75" w:name="_Toc15396608"/>
    </w:p>
    <w:p>
      <w:pPr>
        <w:tabs>
          <w:tab w:val="right" w:pos="8306"/>
        </w:tabs>
        <w:spacing w:line="600" w:lineRule="exact"/>
        <w:ind w:firstLine="640"/>
        <w:outlineLvl w:val="1"/>
        <w:rPr>
          <w:rStyle w:val="25"/>
        </w:rPr>
      </w:pPr>
      <w:bookmarkStart w:id="76" w:name="_Toc24194009_WPSOffice_Level2"/>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74"/>
      <w:bookmarkEnd w:id="75"/>
      <w:bookmarkEnd w:id="76"/>
      <w:r>
        <w:rPr>
          <w:rStyle w:val="25"/>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21年一般公共预算财政拨款基本支出611.53万元，其中：</w:t>
      </w:r>
    </w:p>
    <w:p>
      <w:pPr>
        <w:spacing w:line="600" w:lineRule="exact"/>
        <w:ind w:firstLine="645"/>
        <w:rPr>
          <w:rFonts w:ascii="仿宋" w:hAnsi="仿宋" w:eastAsia="仿宋"/>
          <w:b/>
          <w:sz w:val="32"/>
          <w:szCs w:val="32"/>
        </w:rPr>
      </w:pPr>
      <w:r>
        <w:rPr>
          <w:rFonts w:hint="eastAsia" w:ascii="仿宋" w:hAnsi="仿宋" w:eastAsia="仿宋"/>
          <w:sz w:val="32"/>
          <w:szCs w:val="32"/>
        </w:rPr>
        <w:t>人员经费536.60万元，主要包括：基本工资117.8万元、津贴补贴215.57万元、奖金34.74万元、伙食补助费0万元、绩效工资0万元、机关事业单位基本养老保险缴费36.89万元、职业年金缴费0万元、</w:t>
      </w:r>
      <w:r>
        <w:rPr>
          <w:rFonts w:hint="eastAsia" w:ascii="仿宋" w:hAnsi="仿宋" w:eastAsia="仿宋"/>
          <w:color w:val="000000"/>
          <w:sz w:val="32"/>
          <w:szCs w:val="32"/>
        </w:rPr>
        <w:t>职工基本医疗保险缴费26.22万元、公务员医疗补助缴费2.00万元、</w:t>
      </w:r>
      <w:r>
        <w:rPr>
          <w:rFonts w:hint="eastAsia" w:ascii="仿宋" w:hAnsi="仿宋" w:eastAsia="仿宋"/>
          <w:sz w:val="32"/>
          <w:szCs w:val="32"/>
        </w:rPr>
        <w:t>其他社会保障缴费0万元、其他工资福利支出40.01万元、离休费0万元、退休费0万元、抚恤金0万元、生活补助19.86万元、医疗费补助0.64万元、奖励金0万元、住房公积金42.87万元、其他对个人和家庭的补助支出0万元。</w:t>
      </w:r>
      <w:r>
        <w:rPr>
          <w:rFonts w:ascii="仿宋" w:hAnsi="仿宋" w:eastAsia="仿宋"/>
          <w:sz w:val="32"/>
          <w:szCs w:val="32"/>
        </w:rPr>
        <w:br w:type="textWrapping"/>
      </w:r>
      <w:r>
        <w:rPr>
          <w:rFonts w:hint="eastAsia" w:ascii="仿宋" w:hAnsi="仿宋" w:eastAsia="仿宋"/>
          <w:sz w:val="32"/>
          <w:szCs w:val="32"/>
        </w:rPr>
        <w:t>　　公用经费74.92万元，主要包括：办公费32.60万元、印刷费0万元、咨询费0万元、手续费0万元、水费0万元、电费0万元、邮电费1.8万元、取暖费0万元、物业管理费0万元、差旅费1.57万元、因公出国（境）费用0万元、维修（护）费0万元、租赁费0万元、会议费0万元、培训费0万元、公务接待费0.40万元、劳务费0万元、委托业务费0万元、工会经费6.81万元、福利费3.82万元、公务用车运行维护费0.31万元、其他交通费22.98万元、税金及附加费用0万元、其他商品和服务支出4.63万元、办公设备购置0万元、专用设备购置0万元、信息网络及软件购置更新0万元、其他资本性支出0万元。</w:t>
      </w:r>
    </w:p>
    <w:p>
      <w:pPr>
        <w:spacing w:line="600" w:lineRule="exact"/>
        <w:ind w:firstLine="640"/>
        <w:outlineLvl w:val="1"/>
        <w:rPr>
          <w:rStyle w:val="25"/>
          <w:rFonts w:ascii="黑体" w:hAnsi="黑体" w:eastAsia="黑体"/>
          <w:b w:val="0"/>
        </w:rPr>
      </w:pPr>
      <w:bookmarkStart w:id="77" w:name="_Toc1848953375_WPSOffice_Level2"/>
      <w:bookmarkStart w:id="78" w:name="_Toc15377215"/>
      <w:bookmarkStart w:id="79" w:name="_Toc15396609"/>
      <w:r>
        <w:rPr>
          <w:rFonts w:hint="eastAsia" w:ascii="黑体" w:eastAsia="黑体"/>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77"/>
      <w:bookmarkEnd w:id="78"/>
      <w:bookmarkEnd w:id="79"/>
    </w:p>
    <w:p>
      <w:pPr>
        <w:spacing w:line="600" w:lineRule="exact"/>
        <w:ind w:firstLine="640"/>
        <w:outlineLvl w:val="2"/>
        <w:rPr>
          <w:rFonts w:ascii="仿宋" w:hAnsi="仿宋" w:eastAsia="仿宋"/>
          <w:b/>
          <w:sz w:val="32"/>
          <w:szCs w:val="32"/>
        </w:rPr>
      </w:pPr>
      <w:bookmarkStart w:id="80" w:name="_Toc15377216"/>
      <w:r>
        <w:rPr>
          <w:rFonts w:hint="eastAsia" w:ascii="仿宋" w:hAnsi="仿宋" w:eastAsia="仿宋"/>
          <w:b/>
          <w:sz w:val="32"/>
          <w:szCs w:val="32"/>
        </w:rPr>
        <w:t>（一）“三公”经费财政拨款支出决算总体情况说明</w:t>
      </w:r>
      <w:bookmarkEnd w:id="80"/>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21年“三公”经费财政拨款支出决算为2.62万元，完成预算100</w:t>
      </w:r>
      <w:r>
        <w:rPr>
          <w:rFonts w:ascii="仿宋" w:hAnsi="仿宋" w:eastAsia="仿宋"/>
          <w:sz w:val="32"/>
          <w:szCs w:val="32"/>
        </w:rPr>
        <w:t>%</w:t>
      </w:r>
      <w:r>
        <w:rPr>
          <w:rFonts w:hint="eastAsia" w:ascii="仿宋" w:hAnsi="仿宋" w:eastAsia="仿宋"/>
          <w:sz w:val="32"/>
          <w:szCs w:val="32"/>
        </w:rPr>
        <w:t>，决算数与预算数持平。</w:t>
      </w:r>
    </w:p>
    <w:p>
      <w:pPr>
        <w:spacing w:line="600" w:lineRule="exact"/>
        <w:ind w:firstLine="640"/>
        <w:outlineLvl w:val="2"/>
        <w:rPr>
          <w:rFonts w:ascii="仿宋" w:hAnsi="仿宋" w:eastAsia="仿宋"/>
          <w:b/>
          <w:sz w:val="32"/>
          <w:szCs w:val="32"/>
        </w:rPr>
      </w:pPr>
      <w:bookmarkStart w:id="81" w:name="_Toc15377217"/>
      <w:r>
        <w:rPr>
          <w:rFonts w:hint="eastAsia" w:ascii="仿宋" w:hAnsi="仿宋" w:eastAsia="仿宋"/>
          <w:b/>
          <w:sz w:val="32"/>
          <w:szCs w:val="32"/>
        </w:rPr>
        <w:t>（二）“三公”经费财政拨款支出决算具体情况说明</w:t>
      </w:r>
      <w:bookmarkEnd w:id="81"/>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；公务用车购置及运行维护费支出决算2.22万元，占84.73</w:t>
      </w:r>
      <w:r>
        <w:rPr>
          <w:rFonts w:ascii="仿宋" w:hAnsi="仿宋" w:eastAsia="仿宋"/>
          <w:sz w:val="32"/>
          <w:szCs w:val="32"/>
        </w:rPr>
        <w:t>%</w:t>
      </w:r>
      <w:r>
        <w:rPr>
          <w:rFonts w:hint="eastAsia" w:ascii="仿宋" w:hAnsi="仿宋" w:eastAsia="仿宋"/>
          <w:sz w:val="32"/>
          <w:szCs w:val="32"/>
        </w:rPr>
        <w:t>；公务接待费支出决算0.40万元，占15.26</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spacing w:line="600" w:lineRule="exact"/>
        <w:ind w:firstLine="640"/>
        <w:rPr>
          <w:rFonts w:ascii="仿宋_GB2312" w:eastAsia="仿宋_GB2312"/>
          <w:b/>
          <w:sz w:val="32"/>
          <w:szCs w:val="32"/>
        </w:rPr>
      </w:pPr>
      <w:r>
        <w:drawing>
          <wp:anchor distT="0" distB="0" distL="114300" distR="114300" simplePos="0" relativeHeight="251662336" behindDoc="0" locked="0" layoutInCell="1" allowOverlap="1">
            <wp:simplePos x="0" y="0"/>
            <wp:positionH relativeFrom="column">
              <wp:posOffset>262255</wp:posOffset>
            </wp:positionH>
            <wp:positionV relativeFrom="paragraph">
              <wp:posOffset>100330</wp:posOffset>
            </wp:positionV>
            <wp:extent cx="4604385" cy="2505075"/>
            <wp:effectExtent l="4445" t="4445" r="20320" b="5080"/>
            <wp:wrapNone/>
            <wp:docPr id="19"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ascii="仿宋_GB2312" w:eastAsia="仿宋_GB2312"/>
          <w:b/>
          <w:sz w:val="32"/>
          <w:szCs w:val="32"/>
        </w:rPr>
      </w:pPr>
    </w:p>
    <w:p>
      <w:pPr>
        <w:spacing w:line="600" w:lineRule="exact"/>
        <w:ind w:firstLine="640"/>
        <w:rPr>
          <w:rFonts w:ascii="仿宋_GB2312" w:eastAsia="仿宋_GB2312"/>
          <w:b/>
          <w:sz w:val="32"/>
          <w:szCs w:val="32"/>
        </w:rPr>
      </w:pPr>
    </w:p>
    <w:p>
      <w:pPr>
        <w:spacing w:line="600" w:lineRule="exact"/>
        <w:ind w:firstLine="640"/>
        <w:rPr>
          <w:rFonts w:ascii="仿宋_GB2312" w:eastAsia="仿宋_GB2312"/>
          <w:b/>
          <w:sz w:val="32"/>
          <w:szCs w:val="32"/>
        </w:rPr>
      </w:pPr>
    </w:p>
    <w:p>
      <w:pPr>
        <w:spacing w:line="600" w:lineRule="exact"/>
        <w:ind w:firstLine="640"/>
        <w:rPr>
          <w:rFonts w:ascii="仿宋_GB2312" w:eastAsia="仿宋_GB2312"/>
          <w:b/>
          <w:sz w:val="32"/>
          <w:szCs w:val="32"/>
        </w:rPr>
      </w:pPr>
    </w:p>
    <w:p>
      <w:pPr>
        <w:spacing w:line="600" w:lineRule="exact"/>
        <w:ind w:firstLine="640"/>
        <w:rPr>
          <w:rFonts w:ascii="仿宋_GB2312" w:eastAsia="仿宋_GB2312"/>
          <w:b/>
          <w:sz w:val="32"/>
          <w:szCs w:val="32"/>
        </w:rPr>
      </w:pPr>
    </w:p>
    <w:p>
      <w:pPr>
        <w:spacing w:line="600" w:lineRule="exact"/>
        <w:ind w:firstLine="640"/>
        <w:rPr>
          <w:rFonts w:ascii="仿宋_GB2312" w:eastAsia="仿宋_GB2312"/>
          <w:b/>
          <w:sz w:val="32"/>
          <w:szCs w:val="32"/>
        </w:rPr>
      </w:pPr>
    </w:p>
    <w:p>
      <w:pPr>
        <w:autoSpaceDN w:val="0"/>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ascii="仿宋_GB2312" w:eastAsia="仿宋_GB2312" w:cs="仿宋_GB2312"/>
          <w:sz w:val="32"/>
          <w:szCs w:val="32"/>
        </w:rPr>
        <w:t>全年安排因公出国（境）团组</w:t>
      </w:r>
      <w:r>
        <w:rPr>
          <w:rFonts w:hint="eastAsia" w:ascii="仿宋_GB2312" w:eastAsia="仿宋_GB2312" w:cs="仿宋_GB2312"/>
          <w:sz w:val="32"/>
          <w:szCs w:val="32"/>
        </w:rPr>
        <w:t>0次，出国（境）0人。因公出国（境）支出决算与2020年持平。</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2.22万元,</w:t>
      </w:r>
      <w:r>
        <w:rPr>
          <w:rStyle w:val="14"/>
          <w:rFonts w:hint="eastAsia" w:ascii="仿宋" w:hAnsi="仿宋" w:eastAsia="仿宋"/>
          <w:b w:val="0"/>
          <w:bCs/>
          <w:sz w:val="32"/>
          <w:szCs w:val="32"/>
        </w:rPr>
        <w:t>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20年增加0.37万元，增长20</w:t>
      </w:r>
      <w:r>
        <w:rPr>
          <w:rFonts w:ascii="仿宋_GB2312" w:eastAsia="仿宋_GB2312"/>
          <w:sz w:val="32"/>
          <w:szCs w:val="32"/>
        </w:rPr>
        <w:t>%</w:t>
      </w:r>
      <w:r>
        <w:rPr>
          <w:rFonts w:hint="eastAsia" w:ascii="仿宋_GB2312" w:eastAsia="仿宋_GB2312"/>
          <w:sz w:val="32"/>
          <w:szCs w:val="32"/>
        </w:rPr>
        <w:t>。主要原因是疫情防控。</w:t>
      </w:r>
    </w:p>
    <w:p>
      <w:pPr>
        <w:autoSpaceDN w:val="0"/>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w:t>
      </w:r>
      <w:r>
        <w:rPr>
          <w:rFonts w:ascii="仿宋_GB2312" w:eastAsia="仿宋_GB2312" w:cs="仿宋_GB2312"/>
          <w:sz w:val="32"/>
          <w:szCs w:val="32"/>
        </w:rPr>
        <w:t>全年按规定更新购置公务用车</w:t>
      </w:r>
      <w:r>
        <w:rPr>
          <w:rFonts w:hint="eastAsia" w:ascii="仿宋_GB2312" w:eastAsia="仿宋_GB2312" w:cs="仿宋_GB2312"/>
          <w:sz w:val="32"/>
          <w:szCs w:val="32"/>
        </w:rPr>
        <w:t>0辆，其中：轿车0辆、金额0万元，越野车0辆、金额0万元，载客汽车0辆、金额0万元。</w:t>
      </w: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w:t>
      </w:r>
      <w:r>
        <w:rPr>
          <w:rFonts w:hint="eastAsia" w:ascii="仿宋_GB2312" w:eastAsia="仿宋_GB2312"/>
          <w:color w:val="000000"/>
          <w:sz w:val="32"/>
          <w:szCs w:val="32"/>
        </w:rPr>
        <w:t>单位共有公务用车5辆，其中：轿车0辆、越野车3辆、载客汽车2辆。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2.22万元。</w:t>
      </w:r>
      <w:r>
        <w:rPr>
          <w:rFonts w:hint="eastAsia" w:ascii="仿宋_GB2312" w:eastAsia="仿宋_GB2312"/>
          <w:color w:val="000000"/>
          <w:sz w:val="32"/>
          <w:szCs w:val="32"/>
        </w:rPr>
        <w:t>主要用于开展卫生监督工作等所需的公务用车燃料费、维修费、过路过桥费、保险费等支出</w:t>
      </w:r>
      <w:r>
        <w:rPr>
          <w:rFonts w:hint="eastAsia" w:ascii="仿宋_GB2312" w:eastAsia="仿宋_GB2312"/>
          <w:sz w:val="32"/>
          <w:szCs w:val="32"/>
        </w:rPr>
        <w:t>。</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0.40万元，</w:t>
      </w:r>
      <w:r>
        <w:rPr>
          <w:rStyle w:val="14"/>
          <w:rFonts w:hint="eastAsia" w:ascii="仿宋" w:hAnsi="仿宋" w:eastAsia="仿宋"/>
          <w:b w:val="0"/>
          <w:bCs/>
          <w:sz w:val="32"/>
          <w:szCs w:val="32"/>
        </w:rPr>
        <w:t>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20年增加0.32万元，增长400</w:t>
      </w:r>
      <w:r>
        <w:rPr>
          <w:rFonts w:ascii="仿宋_GB2312" w:eastAsia="仿宋_GB2312"/>
          <w:sz w:val="32"/>
          <w:szCs w:val="32"/>
        </w:rPr>
        <w:t>%</w:t>
      </w:r>
      <w:r>
        <w:rPr>
          <w:rFonts w:hint="eastAsia" w:ascii="仿宋_GB2312" w:eastAsia="仿宋_GB2312"/>
          <w:sz w:val="32"/>
          <w:szCs w:val="32"/>
        </w:rPr>
        <w:t>。主要原因是调研和监督工作，来攀指导工作检查组增加。其中：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0.40</w:t>
      </w:r>
      <w:r>
        <w:rPr>
          <w:rFonts w:hint="eastAsia" w:ascii="仿宋_GB2312" w:eastAsia="仿宋_GB2312"/>
          <w:sz w:val="32"/>
          <w:szCs w:val="32"/>
        </w:rPr>
        <w:t>万元，主要用于</w:t>
      </w:r>
      <w:r>
        <w:rPr>
          <w:rFonts w:hint="eastAsia" w:ascii="仿宋_GB2312" w:eastAsia="仿宋_GB2312"/>
          <w:color w:val="000000"/>
          <w:sz w:val="32"/>
          <w:szCs w:val="32"/>
        </w:rPr>
        <w:t>卫生监督执行公务、开展业务活动开支的用餐费</w:t>
      </w:r>
      <w:r>
        <w:rPr>
          <w:rFonts w:hint="eastAsia" w:ascii="仿宋_GB2312" w:eastAsia="仿宋_GB2312"/>
          <w:sz w:val="32"/>
          <w:szCs w:val="32"/>
        </w:rPr>
        <w:t>。国内公务接待5批次，18人次（不包括陪同人员），共计支出0.40万元，具体内容包括：接待重点改革工作调研619元，接待公共卫生专业调研829元，接待血液安全监督工作986元，接待双随机抽检607元，接待新冠疫情防控监督980元。</w:t>
      </w:r>
    </w:p>
    <w:p>
      <w:pPr>
        <w:spacing w:line="600" w:lineRule="exact"/>
        <w:ind w:firstLine="642"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万元，外事接待0批次，0人，共计支出0万元。</w:t>
      </w:r>
      <w:bookmarkStart w:id="82" w:name="_Toc15396610"/>
      <w:bookmarkStart w:id="83" w:name="_Toc15377218"/>
    </w:p>
    <w:p>
      <w:pPr>
        <w:spacing w:line="600" w:lineRule="exact"/>
        <w:ind w:firstLine="640"/>
        <w:outlineLvl w:val="1"/>
        <w:rPr>
          <w:rStyle w:val="25"/>
          <w:rFonts w:ascii="黑体" w:hAnsi="黑体" w:eastAsia="黑体"/>
        </w:rPr>
      </w:pPr>
      <w:bookmarkStart w:id="84" w:name="_Toc2025338264_WPSOffice_Level2"/>
      <w:r>
        <w:rPr>
          <w:rFonts w:hint="eastAsia" w:ascii="黑体" w:eastAsia="黑体"/>
          <w:sz w:val="32"/>
          <w:szCs w:val="32"/>
        </w:rPr>
        <w:t>八、</w:t>
      </w:r>
      <w:r>
        <w:rPr>
          <w:rStyle w:val="25"/>
          <w:rFonts w:hint="eastAsia" w:ascii="黑体" w:hAnsi="黑体" w:eastAsia="黑体"/>
          <w:b w:val="0"/>
        </w:rPr>
        <w:t>政府性基金预算支出决算情况说明</w:t>
      </w:r>
      <w:bookmarkEnd w:id="82"/>
      <w:bookmarkEnd w:id="83"/>
      <w:bookmarkEnd w:id="84"/>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21年政府性基金预算财政拨款支出0.03万元。</w:t>
      </w:r>
    </w:p>
    <w:p>
      <w:pPr>
        <w:numPr>
          <w:ilvl w:val="0"/>
          <w:numId w:val="2"/>
        </w:numPr>
        <w:spacing w:line="600" w:lineRule="exact"/>
        <w:ind w:firstLine="640"/>
        <w:outlineLvl w:val="1"/>
        <w:rPr>
          <w:rStyle w:val="25"/>
          <w:rFonts w:ascii="黑体" w:hAnsi="黑体" w:eastAsia="黑体"/>
          <w:b w:val="0"/>
        </w:rPr>
      </w:pPr>
      <w:bookmarkStart w:id="85" w:name="_Toc15377219"/>
      <w:bookmarkStart w:id="86" w:name="_Toc583620615_WPSOffice_Level2"/>
      <w:bookmarkStart w:id="87" w:name="_Toc15396611"/>
      <w:r>
        <w:rPr>
          <w:rStyle w:val="25"/>
          <w:rFonts w:hint="eastAsia" w:ascii="黑体" w:hAnsi="黑体" w:eastAsia="黑体"/>
          <w:b w:val="0"/>
        </w:rPr>
        <w:t>国有资本经营预算支出决算情况说明</w:t>
      </w:r>
      <w:bookmarkEnd w:id="85"/>
      <w:bookmarkEnd w:id="86"/>
      <w:bookmarkEnd w:id="87"/>
    </w:p>
    <w:p>
      <w:pPr>
        <w:spacing w:line="600" w:lineRule="exact"/>
        <w:ind w:firstLine="640"/>
        <w:jc w:val="left"/>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numPr>
          <w:ilvl w:val="0"/>
          <w:numId w:val="2"/>
        </w:numPr>
        <w:spacing w:line="600" w:lineRule="exact"/>
        <w:ind w:firstLine="640"/>
        <w:outlineLvl w:val="1"/>
        <w:rPr>
          <w:rStyle w:val="25"/>
          <w:rFonts w:ascii="黑体" w:hAnsi="黑体" w:eastAsia="黑体"/>
          <w:b w:val="0"/>
        </w:rPr>
      </w:pPr>
      <w:bookmarkStart w:id="88" w:name="_Toc223471136_WPSOffice_Level2"/>
      <w:bookmarkStart w:id="89" w:name="_Toc15396612"/>
      <w:bookmarkStart w:id="90" w:name="_Toc15377221"/>
      <w:r>
        <w:rPr>
          <w:rStyle w:val="25"/>
          <w:rFonts w:hint="eastAsia" w:ascii="黑体" w:hAnsi="黑体" w:eastAsia="黑体"/>
          <w:b w:val="0"/>
        </w:rPr>
        <w:t>其他重要事项的情况说明</w:t>
      </w:r>
      <w:bookmarkEnd w:id="88"/>
      <w:bookmarkEnd w:id="89"/>
      <w:bookmarkEnd w:id="90"/>
    </w:p>
    <w:p>
      <w:pPr>
        <w:spacing w:line="600" w:lineRule="exact"/>
        <w:ind w:firstLine="642" w:firstLineChars="200"/>
        <w:outlineLvl w:val="2"/>
        <w:rPr>
          <w:rFonts w:ascii="仿宋" w:hAnsi="仿宋" w:eastAsia="仿宋"/>
          <w:sz w:val="32"/>
          <w:szCs w:val="32"/>
        </w:rPr>
      </w:pPr>
      <w:bookmarkStart w:id="91" w:name="_Toc15377222"/>
      <w:r>
        <w:rPr>
          <w:rFonts w:hint="eastAsia" w:ascii="仿宋" w:hAnsi="仿宋" w:eastAsia="仿宋"/>
          <w:b/>
          <w:sz w:val="32"/>
          <w:szCs w:val="32"/>
        </w:rPr>
        <w:t>（一）机关运行经费支出情况</w:t>
      </w:r>
      <w:bookmarkEnd w:id="91"/>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color w:val="000000"/>
          <w:sz w:val="32"/>
          <w:szCs w:val="32"/>
        </w:rPr>
        <w:t>攀枝花市卫生和计划生育监督执法支队</w:t>
      </w:r>
      <w:r>
        <w:rPr>
          <w:rFonts w:hint="eastAsia" w:ascii="仿宋_GB2312" w:eastAsia="仿宋_GB2312"/>
          <w:sz w:val="32"/>
          <w:szCs w:val="32"/>
        </w:rPr>
        <w:t>机关运行经费支出74.92万元，比</w:t>
      </w:r>
      <w:r>
        <w:rPr>
          <w:rFonts w:ascii="仿宋_GB2312" w:eastAsia="仿宋_GB2312"/>
          <w:sz w:val="32"/>
          <w:szCs w:val="32"/>
        </w:rPr>
        <w:t>20</w:t>
      </w:r>
      <w:r>
        <w:rPr>
          <w:rFonts w:hint="eastAsia" w:ascii="仿宋_GB2312" w:eastAsia="仿宋_GB2312"/>
          <w:sz w:val="32"/>
          <w:szCs w:val="32"/>
        </w:rPr>
        <w:t>20年减少11.83万元，下降13.63</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color w:val="000000"/>
          <w:sz w:val="32"/>
          <w:szCs w:val="32"/>
        </w:rPr>
        <w:t>在职人员和定额公用经费减少。</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92" w:name="_Toc15377223"/>
      <w:r>
        <w:rPr>
          <w:rFonts w:hint="eastAsia" w:ascii="仿宋" w:hAnsi="仿宋" w:eastAsia="仿宋"/>
          <w:b/>
          <w:sz w:val="32"/>
          <w:szCs w:val="32"/>
        </w:rPr>
        <w:t>（二）政府采购支出情况</w:t>
      </w:r>
      <w:bookmarkEnd w:id="92"/>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color w:val="000000"/>
          <w:sz w:val="32"/>
          <w:szCs w:val="32"/>
        </w:rPr>
        <w:t>攀枝花市卫生和计划生育监督执法支队</w:t>
      </w:r>
      <w:r>
        <w:rPr>
          <w:rFonts w:hint="eastAsia" w:ascii="仿宋_GB2312" w:eastAsia="仿宋_GB2312"/>
          <w:sz w:val="32"/>
          <w:szCs w:val="32"/>
        </w:rPr>
        <w:t>政府采购支出总额77.15万元，其中：政府采购货物支出77.15万元、政府采购工程支出0万元、政府采购服务支出0万元。主要用于集采购入执法记录采集站、移动执法终端、执法记录仪、便携式计算机 、摄录机等监督</w:t>
      </w:r>
      <w:r>
        <w:rPr>
          <w:rFonts w:hint="eastAsia" w:ascii="仿宋_GB2312" w:eastAsia="仿宋_GB2312"/>
          <w:color w:val="000000"/>
          <w:sz w:val="32"/>
          <w:szCs w:val="32"/>
        </w:rPr>
        <w:t>执法用设备</w:t>
      </w:r>
      <w:r>
        <w:rPr>
          <w:rFonts w:hint="eastAsia" w:ascii="仿宋_GB2312" w:eastAsia="仿宋_GB2312"/>
          <w:sz w:val="32"/>
          <w:szCs w:val="32"/>
        </w:rPr>
        <w:t>。授予中小企业合同金额77.15万元，占政府采购支出总额的100</w:t>
      </w:r>
      <w:r>
        <w:rPr>
          <w:rFonts w:ascii="仿宋_GB2312" w:eastAsia="仿宋_GB2312"/>
          <w:sz w:val="32"/>
          <w:szCs w:val="32"/>
        </w:rPr>
        <w:t>%</w:t>
      </w:r>
      <w:r>
        <w:rPr>
          <w:rFonts w:hint="eastAsia" w:ascii="仿宋_GB2312" w:eastAsia="仿宋_GB2312"/>
          <w:sz w:val="32"/>
          <w:szCs w:val="32"/>
        </w:rPr>
        <w:t>，其中：授予小微企业合同金额0万元。</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93" w:name="_Toc15377224"/>
      <w:r>
        <w:rPr>
          <w:rFonts w:hint="eastAsia" w:ascii="仿宋" w:hAnsi="仿宋" w:eastAsia="仿宋"/>
          <w:b/>
          <w:sz w:val="32"/>
          <w:szCs w:val="32"/>
        </w:rPr>
        <w:t>（三）国有资产占有使用情况</w:t>
      </w:r>
      <w:bookmarkEnd w:id="93"/>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color w:val="000000"/>
          <w:sz w:val="32"/>
          <w:szCs w:val="32"/>
        </w:rPr>
        <w:t>攀枝花市卫生和计划生育监督执法支队</w:t>
      </w:r>
      <w:r>
        <w:rPr>
          <w:rFonts w:hint="eastAsia" w:ascii="仿宋_GB2312" w:eastAsia="仿宋_GB2312"/>
          <w:sz w:val="32"/>
          <w:szCs w:val="32"/>
        </w:rPr>
        <w:t>共有车辆5辆，其中：</w:t>
      </w:r>
      <w:r>
        <w:rPr>
          <w:rFonts w:hint="eastAsia" w:ascii="仿宋_GB2312" w:eastAsia="仿宋_GB2312"/>
          <w:color w:val="000000"/>
          <w:sz w:val="32"/>
          <w:szCs w:val="32"/>
        </w:rPr>
        <w:t>其中：特种专业技术用车（</w:t>
      </w:r>
      <w:r>
        <w:rPr>
          <w:rFonts w:hint="eastAsia" w:ascii="仿宋_GB2312" w:hAnsi="仿宋" w:eastAsia="仿宋_GB2312" w:cs="仿宋"/>
          <w:color w:val="000000"/>
          <w:sz w:val="28"/>
          <w:szCs w:val="28"/>
        </w:rPr>
        <w:t>现场检测车辆</w:t>
      </w:r>
      <w:r>
        <w:rPr>
          <w:rFonts w:hint="eastAsia" w:ascii="仿宋_GB2312" w:eastAsia="仿宋_GB2312"/>
          <w:color w:val="000000"/>
          <w:sz w:val="32"/>
          <w:szCs w:val="32"/>
        </w:rPr>
        <w:t>）1辆、其他用车4辆、其他用车主要是用于卫生监督执法用越野车3台，小型载客汽车1台（不能使用，待报废），单价</w:t>
      </w:r>
      <w:r>
        <w:rPr>
          <w:rFonts w:ascii="仿宋_GB2312" w:eastAsia="仿宋_GB2312"/>
          <w:color w:val="000000"/>
          <w:sz w:val="32"/>
          <w:szCs w:val="32"/>
        </w:rPr>
        <w:t>50</w:t>
      </w:r>
      <w:r>
        <w:rPr>
          <w:rFonts w:hint="eastAsia" w:ascii="仿宋_GB2312" w:eastAsia="仿宋_GB2312"/>
          <w:color w:val="000000"/>
          <w:sz w:val="32"/>
          <w:szCs w:val="32"/>
        </w:rPr>
        <w:t>万元以上通用设备0台（套），单价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万元以上专用设备0台（套）。</w:t>
      </w:r>
    </w:p>
    <w:p>
      <w:pPr>
        <w:autoSpaceDE w:val="0"/>
        <w:autoSpaceDN w:val="0"/>
        <w:adjustRightInd w:val="0"/>
        <w:spacing w:line="60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2021年度预算编制阶段，组织对业务运行费、卫生监督执法服置装费、驻木里卫生监督人员配套经费等3个项目开展了预算事前绩效评估，对3个项目编制了绩效目标，预算执行过程中，选取3个项目开展绩效监控，年终执行完毕后，对3个项目开展了绩效自评，2021年特定目标类部门预算项目绩效目标自评表见附件（第四部分）。</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24"/>
          <w:rFonts w:ascii="黑体" w:hAnsi="黑体" w:eastAsia="黑体"/>
          <w:b w:val="0"/>
        </w:rPr>
      </w:pPr>
      <w:bookmarkStart w:id="94" w:name="_Toc15396613"/>
      <w:bookmarkStart w:id="95" w:name="_Toc566362406_WPSOffice_Level1"/>
      <w:bookmarkStart w:id="96" w:name="_Toc15377225"/>
      <w:r>
        <w:rPr>
          <w:rFonts w:hint="eastAsia" w:ascii="黑体" w:hAnsi="黑体" w:eastAsia="黑体"/>
          <w:sz w:val="44"/>
          <w:szCs w:val="44"/>
        </w:rPr>
        <w:t>名</w:t>
      </w:r>
      <w:r>
        <w:rPr>
          <w:rStyle w:val="24"/>
          <w:rFonts w:hint="eastAsia" w:ascii="黑体" w:hAnsi="黑体" w:eastAsia="黑体"/>
          <w:b w:val="0"/>
        </w:rPr>
        <w:t>词解释</w:t>
      </w:r>
      <w:bookmarkEnd w:id="94"/>
      <w:bookmarkEnd w:id="95"/>
      <w:bookmarkEnd w:id="96"/>
    </w:p>
    <w:p>
      <w:pPr>
        <w:spacing w:line="600" w:lineRule="exact"/>
        <w:jc w:val="left"/>
        <w:rPr>
          <w:rFonts w:ascii="宋体"/>
          <w:b/>
          <w:sz w:val="44"/>
          <w:szCs w:val="44"/>
        </w:rPr>
      </w:pP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ind w:firstLine="640" w:firstLineChars="200"/>
        <w:rPr>
          <w:rFonts w:ascii="仿宋_GB2312" w:eastAsia="仿宋_GB2312"/>
          <w:sz w:val="32"/>
          <w:szCs w:val="32"/>
        </w:rPr>
      </w:pPr>
      <w:r>
        <w:rPr>
          <w:rFonts w:ascii="仿宋_GB2312" w:eastAsia="仿宋_GB2312"/>
          <w:sz w:val="32"/>
          <w:szCs w:val="32"/>
        </w:rPr>
        <w:t>9.</w:t>
      </w:r>
      <w:r>
        <w:rPr>
          <w:rFonts w:hint="eastAsia" w:eastAsia="仿宋_GB2312"/>
          <w:sz w:val="32"/>
          <w:szCs w:val="32"/>
        </w:rPr>
        <w:t>归口管理的行政单位离退休（</w:t>
      </w:r>
      <w:r>
        <w:rPr>
          <w:rFonts w:eastAsia="仿宋_GB2312"/>
          <w:sz w:val="32"/>
          <w:szCs w:val="32"/>
        </w:rPr>
        <w:t>208050</w:t>
      </w:r>
      <w:r>
        <w:rPr>
          <w:rFonts w:hint="eastAsia" w:eastAsia="仿宋_GB2312"/>
          <w:sz w:val="32"/>
          <w:szCs w:val="32"/>
        </w:rPr>
        <w:t>1）</w:t>
      </w:r>
      <w:r>
        <w:rPr>
          <w:rFonts w:eastAsia="仿宋_GB2312"/>
          <w:sz w:val="32"/>
          <w:szCs w:val="32"/>
        </w:rPr>
        <w:t>:</w:t>
      </w:r>
      <w:r>
        <w:rPr>
          <w:rFonts w:hint="eastAsia" w:eastAsia="仿宋_GB2312"/>
          <w:sz w:val="32"/>
          <w:szCs w:val="32"/>
        </w:rPr>
        <w:t>反映归口管理（包括实行公务员管理的事业单位）开支的离退休支出。</w:t>
      </w:r>
    </w:p>
    <w:p>
      <w:pPr>
        <w:ind w:firstLine="640" w:firstLineChars="200"/>
        <w:rPr>
          <w:rFonts w:ascii="仿宋_GB2312" w:eastAsia="仿宋_GB2312"/>
          <w:color w:val="000000"/>
          <w:sz w:val="32"/>
          <w:szCs w:val="32"/>
        </w:rPr>
      </w:pPr>
      <w:r>
        <w:rPr>
          <w:rFonts w:ascii="仿宋_GB2312" w:eastAsia="仿宋_GB2312"/>
          <w:sz w:val="32"/>
          <w:szCs w:val="32"/>
        </w:rPr>
        <w:t>10.</w:t>
      </w:r>
      <w:r>
        <w:rPr>
          <w:rFonts w:hint="eastAsia" w:eastAsia="仿宋_GB2312"/>
          <w:sz w:val="32"/>
          <w:szCs w:val="32"/>
        </w:rPr>
        <w:t>机关事业单位基本养老保险缴费支出（</w:t>
      </w:r>
      <w:r>
        <w:rPr>
          <w:rFonts w:eastAsia="仿宋_GB2312"/>
          <w:sz w:val="32"/>
          <w:szCs w:val="32"/>
        </w:rPr>
        <w:t>2080505</w:t>
      </w:r>
      <w:r>
        <w:rPr>
          <w:rFonts w:hint="eastAsia" w:eastAsia="仿宋_GB2312"/>
          <w:sz w:val="32"/>
          <w:szCs w:val="32"/>
        </w:rPr>
        <w:t>）：反映机关事业单位实施养老保险制度由单位缴纳的基本养老保险费支出。</w:t>
      </w:r>
    </w:p>
    <w:p>
      <w:pPr>
        <w:ind w:firstLine="640" w:firstLineChars="200"/>
        <w:rPr>
          <w:rFonts w:ascii="仿宋_GB2312" w:eastAsia="仿宋_GB2312"/>
          <w:sz w:val="32"/>
          <w:szCs w:val="32"/>
        </w:rPr>
      </w:pPr>
      <w:r>
        <w:rPr>
          <w:rFonts w:ascii="仿宋_GB2312" w:eastAsia="仿宋_GB2312"/>
          <w:sz w:val="32"/>
          <w:szCs w:val="32"/>
        </w:rPr>
        <w:t>11.</w:t>
      </w:r>
      <w:r>
        <w:rPr>
          <w:rFonts w:hint="eastAsia" w:eastAsia="仿宋_GB2312"/>
          <w:sz w:val="32"/>
          <w:szCs w:val="32"/>
        </w:rPr>
        <w:t>卫生监督机构（</w:t>
      </w:r>
      <w:r>
        <w:rPr>
          <w:rFonts w:eastAsia="仿宋_GB2312"/>
          <w:sz w:val="32"/>
          <w:szCs w:val="32"/>
        </w:rPr>
        <w:t>2100402</w:t>
      </w:r>
      <w:r>
        <w:rPr>
          <w:rFonts w:hint="eastAsia" w:eastAsia="仿宋_GB2312"/>
          <w:sz w:val="32"/>
          <w:szCs w:val="32"/>
        </w:rPr>
        <w:t>）：反映卫生和计划生育部门所属卫生监督机构的支出。</w:t>
      </w:r>
    </w:p>
    <w:p>
      <w:pPr>
        <w:ind w:firstLine="640" w:firstLineChars="200"/>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基本</w:t>
      </w:r>
      <w:r>
        <w:rPr>
          <w:rFonts w:hint="eastAsia" w:eastAsia="仿宋_GB2312"/>
          <w:sz w:val="32"/>
          <w:szCs w:val="32"/>
        </w:rPr>
        <w:t>公共卫生专项（</w:t>
      </w:r>
      <w:r>
        <w:rPr>
          <w:rFonts w:eastAsia="仿宋_GB2312"/>
          <w:sz w:val="32"/>
          <w:szCs w:val="32"/>
        </w:rPr>
        <w:t>210040</w:t>
      </w:r>
      <w:r>
        <w:rPr>
          <w:rFonts w:hint="eastAsia" w:eastAsia="仿宋_GB2312"/>
          <w:sz w:val="32"/>
          <w:szCs w:val="32"/>
        </w:rPr>
        <w:t>8）：反映重大疾病预防控制等基本公共卫生服务项目支出。</w:t>
      </w:r>
    </w:p>
    <w:p>
      <w:pPr>
        <w:ind w:firstLine="640" w:firstLineChars="200"/>
        <w:rPr>
          <w:rFonts w:ascii="仿宋_GB2312" w:eastAsia="仿宋_GB2312"/>
          <w:sz w:val="32"/>
          <w:szCs w:val="32"/>
        </w:rPr>
      </w:pPr>
      <w:r>
        <w:rPr>
          <w:rFonts w:ascii="仿宋_GB2312" w:eastAsia="仿宋_GB2312"/>
          <w:sz w:val="32"/>
          <w:szCs w:val="32"/>
        </w:rPr>
        <w:t>13.</w:t>
      </w:r>
      <w:r>
        <w:rPr>
          <w:rFonts w:hint="eastAsia" w:eastAsia="仿宋_GB2312"/>
          <w:sz w:val="32"/>
          <w:szCs w:val="32"/>
        </w:rPr>
        <w:t>重大公共卫生专项（</w:t>
      </w:r>
      <w:r>
        <w:rPr>
          <w:rFonts w:eastAsia="仿宋_GB2312"/>
          <w:sz w:val="32"/>
          <w:szCs w:val="32"/>
        </w:rPr>
        <w:t>2100409</w:t>
      </w:r>
      <w:r>
        <w:rPr>
          <w:rFonts w:hint="eastAsia" w:eastAsia="仿宋_GB2312"/>
          <w:sz w:val="32"/>
          <w:szCs w:val="32"/>
        </w:rPr>
        <w:t>）：反映重大疾病预防控制等重大公共卫生服务项目支出。</w:t>
      </w:r>
    </w:p>
    <w:p>
      <w:pPr>
        <w:ind w:firstLine="640" w:firstLineChars="200"/>
        <w:rPr>
          <w:rFonts w:eastAsia="仿宋_GB2312"/>
          <w:sz w:val="32"/>
          <w:szCs w:val="32"/>
        </w:rPr>
      </w:pPr>
      <w:r>
        <w:rPr>
          <w:rFonts w:ascii="仿宋_GB2312" w:eastAsia="仿宋_GB2312"/>
          <w:sz w:val="32"/>
          <w:szCs w:val="32"/>
        </w:rPr>
        <w:t>14.</w:t>
      </w:r>
      <w:r>
        <w:rPr>
          <w:rFonts w:hint="eastAsia" w:eastAsia="仿宋_GB2312"/>
          <w:sz w:val="32"/>
          <w:szCs w:val="32"/>
        </w:rPr>
        <w:t>其他中医药支出（</w:t>
      </w:r>
      <w:r>
        <w:rPr>
          <w:rFonts w:eastAsia="仿宋_GB2312"/>
          <w:sz w:val="32"/>
          <w:szCs w:val="32"/>
        </w:rPr>
        <w:t>2100601</w:t>
      </w:r>
      <w:r>
        <w:rPr>
          <w:rFonts w:hint="eastAsia" w:eastAsia="仿宋_GB2312"/>
          <w:sz w:val="32"/>
          <w:szCs w:val="32"/>
        </w:rPr>
        <w:t>）：反映除中医（民族医）药专项支出以外的其他中医药支出。</w:t>
      </w:r>
    </w:p>
    <w:p>
      <w:pPr>
        <w:ind w:firstLine="640" w:firstLineChars="200"/>
        <w:rPr>
          <w:rFonts w:ascii="仿宋_GB2312" w:eastAsia="仿宋_GB2312"/>
          <w:sz w:val="32"/>
          <w:szCs w:val="32"/>
        </w:rPr>
      </w:pPr>
      <w:r>
        <w:rPr>
          <w:rFonts w:ascii="仿宋_GB2312" w:eastAsia="仿宋_GB2312"/>
          <w:sz w:val="32"/>
          <w:szCs w:val="32"/>
        </w:rPr>
        <w:t>15.</w:t>
      </w:r>
      <w:r>
        <w:rPr>
          <w:rFonts w:hint="eastAsia" w:eastAsia="仿宋_GB2312"/>
          <w:sz w:val="32"/>
          <w:szCs w:val="32"/>
        </w:rPr>
        <w:t>其他卫生健康支出（</w:t>
      </w:r>
      <w:r>
        <w:rPr>
          <w:rFonts w:eastAsia="仿宋_GB2312"/>
          <w:sz w:val="32"/>
          <w:szCs w:val="32"/>
        </w:rPr>
        <w:t>21099</w:t>
      </w:r>
      <w:r>
        <w:rPr>
          <w:rFonts w:hint="eastAsia" w:eastAsia="仿宋_GB2312"/>
          <w:sz w:val="32"/>
          <w:szCs w:val="32"/>
        </w:rPr>
        <w:t>99）：指反映除上述项目以外其他用于其他卫生健康支出方面的支出。</w:t>
      </w:r>
    </w:p>
    <w:p>
      <w:pPr>
        <w:ind w:firstLine="640" w:firstLineChars="200"/>
        <w:rPr>
          <w:rFonts w:eastAsia="仿宋_GB2312"/>
          <w:sz w:val="32"/>
          <w:szCs w:val="32"/>
        </w:rPr>
      </w:pPr>
      <w:r>
        <w:rPr>
          <w:rFonts w:ascii="仿宋_GB2312" w:eastAsia="仿宋_GB2312"/>
          <w:sz w:val="32"/>
          <w:szCs w:val="32"/>
        </w:rPr>
        <w:t>16.</w:t>
      </w:r>
      <w:r>
        <w:rPr>
          <w:rFonts w:hint="eastAsia" w:ascii="仿宋_GB2312" w:eastAsia="仿宋_GB2312"/>
          <w:sz w:val="32"/>
          <w:szCs w:val="32"/>
        </w:rPr>
        <w:t>城乡社区支出（</w:t>
      </w:r>
      <w:r>
        <w:rPr>
          <w:rFonts w:hint="eastAsia" w:eastAsia="仿宋_GB2312"/>
          <w:sz w:val="32"/>
          <w:szCs w:val="32"/>
        </w:rPr>
        <w:t>2120802）</w:t>
      </w:r>
      <w:r>
        <w:rPr>
          <w:rFonts w:hint="eastAsia" w:ascii="仿宋_GB2312" w:eastAsia="仿宋_GB2312"/>
          <w:sz w:val="32"/>
          <w:szCs w:val="32"/>
        </w:rPr>
        <w:t>：反映2020年干部健康体检经费。</w:t>
      </w:r>
    </w:p>
    <w:p>
      <w:pPr>
        <w:ind w:firstLine="640" w:firstLineChars="200"/>
        <w:rPr>
          <w:rFonts w:ascii="仿宋_GB2312" w:eastAsia="仿宋_GB2312"/>
          <w:sz w:val="32"/>
          <w:szCs w:val="32"/>
        </w:rPr>
      </w:pPr>
      <w:r>
        <w:rPr>
          <w:rFonts w:ascii="仿宋_GB2312" w:eastAsia="仿宋_GB2312"/>
          <w:sz w:val="32"/>
          <w:szCs w:val="32"/>
        </w:rPr>
        <w:t>17.</w:t>
      </w:r>
      <w:r>
        <w:rPr>
          <w:rFonts w:hint="eastAsia" w:eastAsia="仿宋_GB2312"/>
          <w:sz w:val="32"/>
          <w:szCs w:val="32"/>
        </w:rPr>
        <w:t>住房公积金（</w:t>
      </w:r>
      <w:r>
        <w:rPr>
          <w:rFonts w:eastAsia="仿宋_GB2312"/>
          <w:sz w:val="32"/>
          <w:szCs w:val="32"/>
        </w:rPr>
        <w:t>2210201</w:t>
      </w:r>
      <w:r>
        <w:rPr>
          <w:rFonts w:hint="eastAsia" w:eastAsia="仿宋_GB2312"/>
          <w:sz w:val="32"/>
          <w:szCs w:val="32"/>
        </w:rPr>
        <w:t>）：反映行政事业单位按人力资源和社会保障部、财政部规定的基本工资和津贴补贴以及规定比例为职工缴纳的住房公积金。</w:t>
      </w:r>
    </w:p>
    <w:p>
      <w:pPr>
        <w:rPr>
          <w:rFonts w:ascii="仿宋_GB2312" w:eastAsia="仿宋_GB2312"/>
          <w:sz w:val="32"/>
          <w:szCs w:val="32"/>
        </w:rPr>
      </w:pPr>
      <w:r>
        <w:rPr>
          <w:rFonts w:hint="eastAsia" w:ascii="仿宋_GB2312" w:eastAsia="仿宋_GB2312"/>
          <w:sz w:val="32"/>
          <w:szCs w:val="32"/>
        </w:rPr>
        <w:t xml:space="preserve">    18</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19</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21</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22</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cs="黑体"/>
          <w:color w:val="auto"/>
          <w:sz w:val="32"/>
          <w:szCs w:val="32"/>
        </w:rPr>
      </w:pPr>
    </w:p>
    <w:p>
      <w:pPr>
        <w:spacing w:line="600" w:lineRule="exact"/>
        <w:jc w:val="center"/>
        <w:outlineLvl w:val="0"/>
        <w:rPr>
          <w:rStyle w:val="24"/>
          <w:rFonts w:ascii="黑体" w:hAnsi="黑体" w:eastAsia="黑体"/>
          <w:b w:val="0"/>
        </w:rPr>
      </w:pPr>
      <w:bookmarkStart w:id="97" w:name="_Toc15377226"/>
      <w:r>
        <w:rPr>
          <w:rFonts w:ascii="宋体"/>
          <w:b/>
          <w:sz w:val="44"/>
          <w:szCs w:val="44"/>
        </w:rPr>
        <w:br w:type="page"/>
      </w:r>
      <w:bookmarkStart w:id="98" w:name="_Toc15396614"/>
      <w:bookmarkStart w:id="99" w:name="_Toc104403891_WPSOffice_Level1"/>
      <w:r>
        <w:rPr>
          <w:rFonts w:hint="eastAsia" w:ascii="黑体" w:hAnsi="黑体" w:eastAsia="黑体"/>
          <w:sz w:val="44"/>
          <w:szCs w:val="44"/>
        </w:rPr>
        <w:t>第</w:t>
      </w:r>
      <w:r>
        <w:rPr>
          <w:rStyle w:val="24"/>
          <w:rFonts w:hint="eastAsia" w:ascii="黑体" w:hAnsi="黑体" w:eastAsia="黑体"/>
          <w:b w:val="0"/>
        </w:rPr>
        <w:t>四部分 附件</w:t>
      </w:r>
      <w:bookmarkEnd w:id="98"/>
      <w:bookmarkEnd w:id="99"/>
    </w:p>
    <w:p>
      <w:pPr>
        <w:spacing w:line="572" w:lineRule="exact"/>
        <w:jc w:val="left"/>
        <w:outlineLvl w:val="0"/>
        <w:rPr>
          <w:rFonts w:ascii="仿宋_GB2312" w:hAnsi="仿宋_GB2312" w:eastAsia="仿宋_GB2312" w:cs="仿宋_GB2312"/>
          <w:sz w:val="32"/>
          <w:szCs w:val="32"/>
        </w:rPr>
      </w:pPr>
      <w:r>
        <w:rPr>
          <w:rFonts w:hint="eastAsia" w:ascii="黑体" w:hAnsi="黑体" w:eastAsia="黑体" w:cs="黑体"/>
          <w:sz w:val="32"/>
          <w:szCs w:val="32"/>
        </w:rPr>
        <w:t>附件1</w:t>
      </w:r>
    </w:p>
    <w:tbl>
      <w:tblPr>
        <w:tblStyle w:val="12"/>
        <w:tblpPr w:leftFromText="180" w:rightFromText="180" w:vertAnchor="text" w:horzAnchor="page" w:tblpX="1272" w:tblpY="223"/>
        <w:tblOverlap w:val="never"/>
        <w:tblW w:w="9811" w:type="dxa"/>
        <w:tblInd w:w="0" w:type="dxa"/>
        <w:tblLayout w:type="fixed"/>
        <w:tblCellMar>
          <w:top w:w="0" w:type="dxa"/>
          <w:left w:w="108" w:type="dxa"/>
          <w:bottom w:w="0" w:type="dxa"/>
          <w:right w:w="108" w:type="dxa"/>
        </w:tblCellMar>
      </w:tblPr>
      <w:tblGrid>
        <w:gridCol w:w="1976"/>
        <w:gridCol w:w="1141"/>
        <w:gridCol w:w="850"/>
        <w:gridCol w:w="785"/>
        <w:gridCol w:w="1052"/>
        <w:gridCol w:w="1361"/>
        <w:gridCol w:w="475"/>
        <w:gridCol w:w="1935"/>
        <w:gridCol w:w="236"/>
      </w:tblGrid>
      <w:tr>
        <w:trPr>
          <w:trHeight w:val="675" w:hRule="atLeast"/>
        </w:trPr>
        <w:tc>
          <w:tcPr>
            <w:tcW w:w="9577" w:type="dxa"/>
            <w:gridSpan w:val="8"/>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bookmarkStart w:id="100" w:name="_Toc15396618"/>
            <w:r>
              <w:rPr>
                <w:rFonts w:hint="eastAsia" w:ascii="宋体" w:hAnsi="宋体" w:cs="宋体"/>
                <w:b/>
                <w:sz w:val="32"/>
                <w:szCs w:val="32"/>
              </w:rPr>
              <w:t>业务运行费项目绩效目标自评</w:t>
            </w:r>
          </w:p>
        </w:tc>
        <w:tc>
          <w:tcPr>
            <w:tcW w:w="234"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6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Cs w:val="21"/>
              </w:rPr>
              <w:t>攀枝花市卫生健康委员会</w:t>
            </w:r>
            <w:r>
              <w:rPr>
                <w:rFonts w:hint="eastAsia" w:ascii="宋体" w:hAnsi="宋体" w:cs="宋体"/>
                <w:sz w:val="24"/>
              </w:rPr>
              <w:t xml:space="preserve">  506001</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攀枝花市卫生和计划生育监督执法支队</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18"/>
                <w:szCs w:val="18"/>
              </w:rPr>
            </w:pPr>
            <w:r>
              <w:rPr>
                <w:rFonts w:hint="eastAsia" w:ascii="宋体" w:hAnsi="宋体" w:cs="宋体"/>
                <w:sz w:val="18"/>
                <w:szCs w:val="18"/>
              </w:rPr>
              <w:t>175310.30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Cs w:val="21"/>
              </w:rPr>
              <w:t>175310.30</w:t>
            </w: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18"/>
                <w:szCs w:val="18"/>
              </w:rPr>
            </w:pPr>
            <w:r>
              <w:rPr>
                <w:rFonts w:hint="eastAsia" w:ascii="宋体" w:hAnsi="宋体" w:cs="宋体"/>
                <w:sz w:val="18"/>
                <w:szCs w:val="18"/>
              </w:rPr>
              <w:t>175310.30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Cs w:val="21"/>
              </w:rPr>
              <w:t>175310.30</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0</w:t>
            </w: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234" w:type="dxa"/>
          <w:trHeight w:val="2638"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829" w:type="dxa"/>
            <w:gridSpan w:val="4"/>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在市委市政府及市卫生健康委的领导下，切实履行法律赋予卫生和计划生育监督执法职责，在公共场所、学校卫生、生活饮用水、医疗服务、传染病防治、消毒卫生、职业卫生、放射卫生、计划生育、妇幼保健、基本药物制度、卫生监督协管等领域开展综合监督执法工作，保障我市广大人民群众合法的健康权益。</w:t>
            </w:r>
          </w:p>
        </w:tc>
        <w:tc>
          <w:tcPr>
            <w:tcW w:w="3771"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在市委市政府及市卫生健康委的领导下，切实履行法律赋予卫生和计划生育监督执法职责，在公共场所、学校卫生、生活饮用水、医疗服务、传染病防治、消毒卫生、职业卫生、放射卫生、计划生育、妇幼保健、基本药物制度、卫生监督协管等领域开展综合监督执法工作，保障我市广大人民群众合法的健康权益。</w:t>
            </w: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4" w:type="dxa"/>
          <w:trHeight w:val="1897"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Cs w:val="21"/>
              </w:rPr>
              <w:t>完成双随机抽检和卫生行政许可172样，完成日常执法监督和稽查430户次，临时招聘人员1人。</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Cs w:val="21"/>
              </w:rPr>
              <w:t>完成双随机抽检和卫生行政许可172样，完成日常执法监督和稽查430户次，临时招聘人员1人。</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Cs w:val="21"/>
              </w:rPr>
              <w:t>完成双随机抽检和卫生行政许可172样，完成日常执法监督和稽查430户次，临时招聘人员1人。</w:t>
            </w:r>
          </w:p>
        </w:tc>
      </w:tr>
      <w:tr>
        <w:tblPrEx>
          <w:tblCellMar>
            <w:top w:w="0" w:type="dxa"/>
            <w:left w:w="108" w:type="dxa"/>
            <w:bottom w:w="0" w:type="dxa"/>
            <w:right w:w="108" w:type="dxa"/>
          </w:tblCellMar>
        </w:tblPrEx>
        <w:trPr>
          <w:gridAfter w:val="1"/>
          <w:wAfter w:w="234" w:type="dxa"/>
          <w:trHeight w:val="2317"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Cs w:val="21"/>
              </w:rPr>
              <w:t>完成卫生监督抽检和卫生行政许可完成率≥95%，完成日常监督和卫生监督稽查率100%，临时招聘人员工作质量较高。</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Cs w:val="21"/>
              </w:rPr>
              <w:t>完成卫生监督抽检和卫生行政许可完成率≥95%，完成日常监督和卫生监督稽查率100%，临时招聘人员工作质量较高。</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Cs w:val="21"/>
              </w:rPr>
              <w:t>完成卫生监督抽检和卫生行政许可完成率≥95%，完成日常监督和卫生监督稽查率100%，临时招聘人员工作质量较高。</w:t>
            </w:r>
          </w:p>
        </w:tc>
      </w:tr>
      <w:tr>
        <w:tblPrEx>
          <w:tblCellMar>
            <w:top w:w="0" w:type="dxa"/>
            <w:left w:w="108" w:type="dxa"/>
            <w:bottom w:w="0" w:type="dxa"/>
            <w:right w:w="108" w:type="dxa"/>
          </w:tblCellMar>
        </w:tblPrEx>
        <w:trPr>
          <w:gridAfter w:val="1"/>
          <w:wAfter w:w="234" w:type="dxa"/>
          <w:trHeight w:val="598"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2021年</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2021年</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2021年</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Cs w:val="21"/>
              </w:rPr>
              <w:t xml:space="preserve">175310.30元    </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Cs w:val="21"/>
              </w:rPr>
              <w:t xml:space="preserve">175310.30元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Cs w:val="21"/>
              </w:rPr>
              <w:t xml:space="preserve">175310.30元    </w:t>
            </w:r>
          </w:p>
        </w:tc>
      </w:tr>
      <w:tr>
        <w:tblPrEx>
          <w:tblCellMar>
            <w:top w:w="0" w:type="dxa"/>
            <w:left w:w="108" w:type="dxa"/>
            <w:bottom w:w="0" w:type="dxa"/>
            <w:right w:w="108" w:type="dxa"/>
          </w:tblCellMar>
        </w:tblPrEx>
        <w:trPr>
          <w:gridAfter w:val="1"/>
          <w:wAfter w:w="234" w:type="dxa"/>
          <w:trHeight w:val="97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850" w:type="dxa"/>
            <w:tcBorders>
              <w:top w:val="single" w:color="000000" w:sz="4" w:space="0"/>
              <w:left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837" w:type="dxa"/>
            <w:gridSpan w:val="2"/>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8"/>
                <w:szCs w:val="28"/>
              </w:rPr>
            </w:pPr>
            <w:r>
              <w:rPr>
                <w:rFonts w:hint="eastAsia" w:ascii="宋体" w:cs="宋体"/>
                <w:color w:val="000000"/>
                <w:szCs w:val="21"/>
              </w:rPr>
              <w:t>保证卫生计生监督执法工作有序开展，保障广大人民群众合法的健康权益。</w:t>
            </w:r>
          </w:p>
        </w:tc>
        <w:tc>
          <w:tcPr>
            <w:tcW w:w="1836" w:type="dxa"/>
            <w:gridSpan w:val="2"/>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8"/>
                <w:szCs w:val="28"/>
              </w:rPr>
            </w:pPr>
            <w:r>
              <w:rPr>
                <w:rFonts w:hint="eastAsia" w:ascii="宋体" w:cs="宋体"/>
                <w:color w:val="000000"/>
                <w:szCs w:val="21"/>
              </w:rPr>
              <w:t>保证卫生计生监督执法工作有序开展，保障广大人民群众合法的健康权益。</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8"/>
                <w:szCs w:val="28"/>
              </w:rPr>
            </w:pPr>
            <w:r>
              <w:rPr>
                <w:rFonts w:hint="eastAsia" w:ascii="宋体" w:cs="宋体"/>
                <w:color w:val="000000"/>
                <w:szCs w:val="21"/>
              </w:rPr>
              <w:t>保证卫生计生监督执法工作有序开展，保障广大人民群众合法的健康权益。</w:t>
            </w:r>
          </w:p>
        </w:tc>
      </w:tr>
      <w:tr>
        <w:tblPrEx>
          <w:tblCellMar>
            <w:top w:w="0" w:type="dxa"/>
            <w:left w:w="108" w:type="dxa"/>
            <w:bottom w:w="0" w:type="dxa"/>
            <w:right w:w="108" w:type="dxa"/>
          </w:tblCellMar>
        </w:tblPrEx>
        <w:trPr>
          <w:gridAfter w:val="1"/>
          <w:wAfter w:w="234" w:type="dxa"/>
          <w:trHeight w:val="132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850" w:type="dxa"/>
            <w:tcBorders>
              <w:top w:val="single" w:color="000000" w:sz="4" w:space="0"/>
              <w:left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837" w:type="dxa"/>
            <w:gridSpan w:val="2"/>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cs="宋体"/>
                <w:color w:val="000000"/>
                <w:szCs w:val="21"/>
              </w:rPr>
              <w:t>切实履行卫生和计划生育监督执法职责≥3年</w:t>
            </w:r>
          </w:p>
        </w:tc>
        <w:tc>
          <w:tcPr>
            <w:tcW w:w="1836" w:type="dxa"/>
            <w:gridSpan w:val="2"/>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cs="宋体"/>
                <w:color w:val="000000"/>
                <w:szCs w:val="21"/>
              </w:rPr>
              <w:t>切实履行卫生和计划生育监督执法职责≥3年</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cs="宋体"/>
                <w:color w:val="000000"/>
                <w:szCs w:val="21"/>
              </w:rPr>
              <w:t>切实履行卫生和计划生育监督执法职责≥3年</w:t>
            </w:r>
          </w:p>
        </w:tc>
      </w:tr>
      <w:tr>
        <w:tblPrEx>
          <w:tblCellMar>
            <w:top w:w="0" w:type="dxa"/>
            <w:left w:w="108" w:type="dxa"/>
            <w:bottom w:w="0" w:type="dxa"/>
            <w:right w:w="108" w:type="dxa"/>
          </w:tblCellMar>
        </w:tblPrEx>
        <w:trPr>
          <w:gridAfter w:val="1"/>
          <w:wAfter w:w="234" w:type="dxa"/>
          <w:trHeight w:val="931"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cs="宋体"/>
                <w:color w:val="000000"/>
                <w:szCs w:val="21"/>
              </w:rPr>
              <w:t>被监督对象满意度、管理部门满意度</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cs="宋体"/>
                <w:color w:val="000000"/>
                <w:szCs w:val="21"/>
              </w:rPr>
              <w:t>被监督对象满意度管理部门满意度≥90 %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cs="宋体"/>
                <w:color w:val="000000"/>
                <w:szCs w:val="21"/>
              </w:rPr>
              <w:t>被监督对象满意度管理部门满意度≥90 %</w:t>
            </w:r>
          </w:p>
        </w:tc>
      </w:tr>
      <w:tr>
        <w:tblPrEx>
          <w:tblCellMar>
            <w:top w:w="0" w:type="dxa"/>
            <w:left w:w="108" w:type="dxa"/>
            <w:bottom w:w="0" w:type="dxa"/>
            <w:right w:w="108" w:type="dxa"/>
          </w:tblCellMar>
        </w:tblPrEx>
        <w:trPr>
          <w:trHeight w:val="675" w:hRule="atLeast"/>
        </w:trPr>
        <w:tc>
          <w:tcPr>
            <w:tcW w:w="9577" w:type="dxa"/>
            <w:gridSpan w:val="8"/>
            <w:tcBorders>
              <w:top w:val="nil"/>
              <w:left w:val="nil"/>
              <w:bottom w:val="nil"/>
              <w:right w:val="nil"/>
            </w:tcBorders>
            <w:shd w:val="clear" w:color="auto" w:fill="auto"/>
            <w:vAlign w:val="center"/>
          </w:tcPr>
          <w:p>
            <w:pPr>
              <w:spacing w:line="572" w:lineRule="exact"/>
              <w:jc w:val="left"/>
              <w:outlineLvl w:val="0"/>
              <w:rPr>
                <w:rFonts w:ascii="黑体" w:hAnsi="黑体" w:eastAsia="黑体" w:cs="黑体"/>
                <w:sz w:val="32"/>
                <w:szCs w:val="32"/>
              </w:rPr>
            </w:pPr>
          </w:p>
          <w:p>
            <w:pPr>
              <w:spacing w:line="572" w:lineRule="exact"/>
              <w:jc w:val="left"/>
              <w:outlineLvl w:val="0"/>
              <w:rPr>
                <w:rFonts w:ascii="黑体" w:hAnsi="黑体" w:eastAsia="黑体" w:cs="黑体"/>
                <w:sz w:val="32"/>
                <w:szCs w:val="32"/>
              </w:rPr>
            </w:pPr>
          </w:p>
          <w:p>
            <w:pPr>
              <w:spacing w:line="572" w:lineRule="exact"/>
              <w:jc w:val="left"/>
              <w:outlineLvl w:val="0"/>
              <w:rPr>
                <w:rFonts w:ascii="黑体" w:hAnsi="黑体" w:eastAsia="黑体" w:cs="黑体"/>
                <w:sz w:val="32"/>
                <w:szCs w:val="32"/>
              </w:rPr>
            </w:pPr>
          </w:p>
          <w:p>
            <w:pPr>
              <w:spacing w:line="572" w:lineRule="exact"/>
              <w:jc w:val="left"/>
              <w:outlineLvl w:val="0"/>
              <w:rPr>
                <w:rFonts w:ascii="黑体" w:hAnsi="黑体" w:eastAsia="黑体" w:cs="黑体"/>
                <w:sz w:val="32"/>
                <w:szCs w:val="32"/>
              </w:rPr>
            </w:pPr>
          </w:p>
          <w:p>
            <w:pPr>
              <w:spacing w:line="572" w:lineRule="exact"/>
              <w:jc w:val="left"/>
              <w:outlineLvl w:val="0"/>
              <w:rPr>
                <w:rFonts w:ascii="黑体" w:hAnsi="黑体" w:eastAsia="黑体" w:cs="黑体"/>
                <w:sz w:val="32"/>
                <w:szCs w:val="32"/>
              </w:rPr>
            </w:pPr>
          </w:p>
          <w:p>
            <w:pPr>
              <w:spacing w:line="572" w:lineRule="exact"/>
              <w:jc w:val="left"/>
              <w:outlineLvl w:val="0"/>
              <w:rPr>
                <w:rFonts w:ascii="黑体" w:hAnsi="黑体" w:eastAsia="黑体" w:cs="黑体"/>
                <w:sz w:val="32"/>
                <w:szCs w:val="32"/>
              </w:rPr>
            </w:pPr>
          </w:p>
          <w:p>
            <w:pPr>
              <w:spacing w:line="572" w:lineRule="exact"/>
              <w:jc w:val="left"/>
              <w:outlineLvl w:val="0"/>
              <w:rPr>
                <w:rFonts w:ascii="黑体" w:hAnsi="黑体" w:eastAsia="黑体" w:cs="黑体"/>
                <w:sz w:val="32"/>
                <w:szCs w:val="32"/>
              </w:rPr>
            </w:pPr>
          </w:p>
          <w:p>
            <w:pPr>
              <w:spacing w:line="572" w:lineRule="exact"/>
              <w:jc w:val="left"/>
              <w:outlineLvl w:val="0"/>
              <w:rPr>
                <w:rFonts w:ascii="黑体" w:hAnsi="黑体" w:eastAsia="黑体" w:cs="黑体"/>
                <w:sz w:val="32"/>
                <w:szCs w:val="32"/>
              </w:rPr>
            </w:pPr>
          </w:p>
          <w:p>
            <w:pPr>
              <w:spacing w:line="572" w:lineRule="exact"/>
              <w:jc w:val="left"/>
              <w:outlineLvl w:val="0"/>
              <w:rPr>
                <w:rFonts w:ascii="黑体" w:hAnsi="黑体" w:eastAsia="黑体" w:cs="黑体"/>
                <w:sz w:val="32"/>
                <w:szCs w:val="32"/>
              </w:rPr>
            </w:pPr>
          </w:p>
          <w:p>
            <w:pPr>
              <w:spacing w:line="572" w:lineRule="exact"/>
              <w:jc w:val="left"/>
              <w:outlineLvl w:val="0"/>
              <w:rPr>
                <w:rFonts w:ascii="黑体" w:hAnsi="黑体" w:eastAsia="黑体" w:cs="黑体"/>
                <w:sz w:val="32"/>
                <w:szCs w:val="32"/>
              </w:rPr>
            </w:pPr>
          </w:p>
          <w:p>
            <w:pPr>
              <w:spacing w:line="572" w:lineRule="exact"/>
              <w:jc w:val="left"/>
              <w:outlineLvl w:val="0"/>
              <w:rPr>
                <w:rFonts w:ascii="黑体" w:hAnsi="黑体" w:eastAsia="黑体" w:cs="黑体"/>
                <w:sz w:val="32"/>
                <w:szCs w:val="32"/>
              </w:rPr>
            </w:pPr>
          </w:p>
          <w:p>
            <w:pPr>
              <w:spacing w:line="572" w:lineRule="exact"/>
              <w:jc w:val="left"/>
              <w:outlineLvl w:val="0"/>
              <w:rPr>
                <w:rFonts w:ascii="黑体" w:hAnsi="黑体" w:eastAsia="黑体" w:cs="黑体"/>
                <w:sz w:val="32"/>
                <w:szCs w:val="32"/>
              </w:rPr>
            </w:pPr>
          </w:p>
          <w:p>
            <w:pPr>
              <w:spacing w:line="572" w:lineRule="exact"/>
              <w:jc w:val="left"/>
              <w:outlineLvl w:val="0"/>
              <w:rPr>
                <w:rFonts w:ascii="黑体" w:hAnsi="黑体" w:eastAsia="黑体" w:cs="黑体"/>
                <w:sz w:val="32"/>
                <w:szCs w:val="32"/>
              </w:rPr>
            </w:pPr>
          </w:p>
          <w:p>
            <w:pPr>
              <w:spacing w:line="572" w:lineRule="exact"/>
              <w:jc w:val="left"/>
              <w:outlineLvl w:val="0"/>
              <w:rPr>
                <w:rFonts w:ascii="黑体" w:hAnsi="黑体" w:eastAsia="黑体" w:cs="黑体"/>
                <w:sz w:val="32"/>
                <w:szCs w:val="32"/>
              </w:rPr>
            </w:pPr>
          </w:p>
          <w:p>
            <w:pPr>
              <w:spacing w:line="572" w:lineRule="exact"/>
              <w:jc w:val="left"/>
              <w:outlineLvl w:val="0"/>
              <w:rPr>
                <w:rFonts w:ascii="黑体" w:hAnsi="黑体" w:eastAsia="黑体" w:cs="黑体"/>
                <w:sz w:val="32"/>
                <w:szCs w:val="32"/>
              </w:rPr>
            </w:pPr>
          </w:p>
          <w:p>
            <w:pPr>
              <w:spacing w:line="572" w:lineRule="exact"/>
              <w:jc w:val="left"/>
              <w:outlineLvl w:val="0"/>
              <w:rPr>
                <w:rFonts w:ascii="黑体" w:hAnsi="黑体" w:eastAsia="黑体" w:cs="黑体"/>
                <w:sz w:val="32"/>
                <w:szCs w:val="32"/>
              </w:rPr>
            </w:pPr>
          </w:p>
          <w:p>
            <w:pPr>
              <w:spacing w:line="572" w:lineRule="exact"/>
              <w:jc w:val="left"/>
              <w:outlineLvl w:val="0"/>
              <w:rPr>
                <w:rFonts w:ascii="黑体" w:hAnsi="黑体" w:eastAsia="黑体" w:cs="黑体"/>
                <w:sz w:val="32"/>
                <w:szCs w:val="32"/>
              </w:rPr>
            </w:pPr>
          </w:p>
          <w:p>
            <w:pPr>
              <w:spacing w:line="572" w:lineRule="exact"/>
              <w:jc w:val="left"/>
              <w:outlineLvl w:val="0"/>
              <w:rPr>
                <w:rFonts w:ascii="仿宋_GB2312" w:hAnsi="仿宋_GB2312" w:eastAsia="仿宋_GB2312" w:cs="仿宋_GB2312"/>
                <w:sz w:val="32"/>
                <w:szCs w:val="32"/>
              </w:rPr>
            </w:pPr>
            <w:r>
              <w:rPr>
                <w:rFonts w:hint="eastAsia" w:ascii="黑体" w:hAnsi="黑体" w:eastAsia="黑体" w:cs="黑体"/>
                <w:sz w:val="32"/>
                <w:szCs w:val="32"/>
              </w:rPr>
              <w:t>附件2</w:t>
            </w:r>
          </w:p>
          <w:p>
            <w:pPr>
              <w:widowControl/>
              <w:jc w:val="center"/>
              <w:textAlignment w:val="center"/>
              <w:rPr>
                <w:rFonts w:ascii="宋体" w:hAnsi="宋体" w:cs="宋体"/>
                <w:b/>
                <w:sz w:val="32"/>
                <w:szCs w:val="32"/>
              </w:rPr>
            </w:pPr>
            <w:r>
              <w:rPr>
                <w:rFonts w:hint="eastAsia" w:ascii="宋体" w:hAnsi="宋体" w:cs="宋体"/>
                <w:b/>
                <w:sz w:val="32"/>
                <w:szCs w:val="32"/>
              </w:rPr>
              <w:t>卫生监督执法服置装费项目绩效目标自评</w:t>
            </w:r>
          </w:p>
        </w:tc>
        <w:tc>
          <w:tcPr>
            <w:tcW w:w="234"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6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Cs w:val="21"/>
              </w:rPr>
              <w:t>攀枝花市卫生健康委员会</w:t>
            </w:r>
            <w:r>
              <w:rPr>
                <w:rFonts w:hint="eastAsia" w:ascii="宋体" w:hAnsi="宋体" w:cs="宋体"/>
                <w:sz w:val="24"/>
              </w:rPr>
              <w:t xml:space="preserve">  506001</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攀枝花市卫生和计划生育监督执法支队</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18"/>
                <w:szCs w:val="18"/>
              </w:rPr>
            </w:pPr>
            <w:r>
              <w:rPr>
                <w:rFonts w:hint="eastAsia" w:ascii="宋体" w:hAnsi="宋体" w:cs="宋体"/>
                <w:sz w:val="18"/>
                <w:szCs w:val="18"/>
              </w:rPr>
              <w:t>99395.00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18"/>
                <w:szCs w:val="18"/>
              </w:rPr>
              <w:t>99395.00</w:t>
            </w: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18"/>
                <w:szCs w:val="18"/>
              </w:rPr>
            </w:pPr>
            <w:r>
              <w:rPr>
                <w:rFonts w:hint="eastAsia" w:ascii="宋体" w:hAnsi="宋体" w:cs="宋体"/>
                <w:sz w:val="18"/>
                <w:szCs w:val="18"/>
              </w:rPr>
              <w:t>99395.00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18"/>
                <w:szCs w:val="18"/>
              </w:rPr>
              <w:t>99395.00</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0</w:t>
            </w: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234" w:type="dxa"/>
          <w:trHeight w:val="2638"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宋体" w:hAnsi="宋体" w:cs="宋体"/>
                <w:color w:val="000000"/>
                <w:kern w:val="0"/>
                <w:sz w:val="20"/>
                <w:szCs w:val="20"/>
              </w:rPr>
              <w:t>统一卫生监督员着装对于树立卫生执法监督整体形象，维护卫生监督队伍着装的统一性和严肃性起着重要的作用。根据《国务院办公厅关于整顿统一着装的通知》精神和《卫生部关于整顿卫生监督执法人员统一着装的通知》的要求，卫生监督人员服装原则上每2年换发1套，每换装两次加发1次，2021年应换发全套服装。</w:t>
            </w:r>
          </w:p>
        </w:tc>
        <w:tc>
          <w:tcPr>
            <w:tcW w:w="3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宋体" w:hAnsi="宋体" w:cs="宋体"/>
                <w:color w:val="000000"/>
                <w:kern w:val="0"/>
                <w:sz w:val="20"/>
                <w:szCs w:val="20"/>
              </w:rPr>
              <w:t>统一卫生监督员着装对于树立卫生执法监督整体形象，维护卫生监督队伍着装的统一性和严肃性起着重要的作用。根据《国务院办公厅关于整顿统一着装的通知》精神和《卫生部关于整顿卫生监督执法人员统一着装的通知》的要求，卫生监督人员服装原则上每2年换发1套，每换装两次加发1次，2021年应换发全套服装。</w:t>
            </w: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4" w:type="dxa"/>
          <w:trHeight w:val="9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 w:val="28"/>
                <w:szCs w:val="28"/>
              </w:rPr>
            </w:pPr>
            <w:r>
              <w:rPr>
                <w:rFonts w:hint="eastAsia" w:ascii="宋体" w:hAnsi="宋体" w:cs="宋体"/>
                <w:color w:val="000000"/>
                <w:kern w:val="0"/>
                <w:sz w:val="20"/>
                <w:szCs w:val="20"/>
              </w:rPr>
              <w:t>在职在岗换装人数</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Cs w:val="21"/>
              </w:rPr>
              <w:t>25人</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Cs w:val="21"/>
              </w:rPr>
              <w:t>25人</w:t>
            </w:r>
          </w:p>
        </w:tc>
      </w:tr>
      <w:tr>
        <w:tblPrEx>
          <w:tblCellMar>
            <w:top w:w="0" w:type="dxa"/>
            <w:left w:w="108" w:type="dxa"/>
            <w:bottom w:w="0" w:type="dxa"/>
            <w:right w:w="108" w:type="dxa"/>
          </w:tblCellMar>
        </w:tblPrEx>
        <w:trPr>
          <w:gridAfter w:val="1"/>
          <w:wAfter w:w="234" w:type="dxa"/>
          <w:trHeight w:val="9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 w:val="28"/>
                <w:szCs w:val="28"/>
              </w:rPr>
            </w:pPr>
            <w:r>
              <w:rPr>
                <w:rFonts w:hint="eastAsia" w:ascii="宋体" w:hAnsi="宋体" w:cs="宋体"/>
                <w:color w:val="000000"/>
                <w:kern w:val="0"/>
                <w:sz w:val="20"/>
                <w:szCs w:val="20"/>
              </w:rPr>
              <w:t>换装质量</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 w:val="28"/>
                <w:szCs w:val="28"/>
              </w:rPr>
            </w:pPr>
            <w:r>
              <w:rPr>
                <w:rFonts w:hint="eastAsia" w:ascii="宋体" w:hAnsi="宋体" w:cs="宋体"/>
                <w:color w:val="000000"/>
                <w:kern w:val="0"/>
                <w:sz w:val="20"/>
                <w:szCs w:val="20"/>
              </w:rPr>
              <w:t>符合国家标准及要求</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ajorEastAsia" w:hAnsiTheme="majorEastAsia" w:eastAsiaTheme="majorEastAsia" w:cstheme="majorEastAsia"/>
                <w:sz w:val="28"/>
                <w:szCs w:val="28"/>
              </w:rPr>
            </w:pPr>
            <w:r>
              <w:rPr>
                <w:rFonts w:hint="eastAsia" w:ascii="宋体" w:hAnsi="宋体" w:cs="宋体"/>
                <w:color w:val="000000"/>
                <w:kern w:val="0"/>
                <w:sz w:val="20"/>
                <w:szCs w:val="20"/>
              </w:rPr>
              <w:t>符合国家标准及要求</w:t>
            </w:r>
          </w:p>
        </w:tc>
      </w:tr>
      <w:tr>
        <w:tblPrEx>
          <w:tblCellMar>
            <w:top w:w="0" w:type="dxa"/>
            <w:left w:w="108" w:type="dxa"/>
            <w:bottom w:w="0" w:type="dxa"/>
            <w:right w:w="108" w:type="dxa"/>
          </w:tblCellMar>
        </w:tblPrEx>
        <w:trPr>
          <w:gridAfter w:val="1"/>
          <w:wAfter w:w="234" w:type="dxa"/>
          <w:trHeight w:val="598"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2021年</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2021年</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2021年</w:t>
            </w:r>
          </w:p>
        </w:tc>
      </w:tr>
      <w:tr>
        <w:tblPrEx>
          <w:tblCellMar>
            <w:top w:w="0" w:type="dxa"/>
            <w:left w:w="108" w:type="dxa"/>
            <w:bottom w:w="0" w:type="dxa"/>
            <w:right w:w="108" w:type="dxa"/>
          </w:tblCellMar>
        </w:tblPrEx>
        <w:trPr>
          <w:gridAfter w:val="1"/>
          <w:wAfter w:w="234" w:type="dxa"/>
          <w:trHeight w:val="1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ajorEastAsia" w:hAnsiTheme="majorEastAsia" w:eastAsiaTheme="majorEastAsia" w:cstheme="majorEastAsia"/>
                <w:sz w:val="28"/>
                <w:szCs w:val="28"/>
              </w:rPr>
            </w:pPr>
            <w:r>
              <w:rPr>
                <w:rFonts w:hint="eastAsia" w:ascii="宋体" w:hAnsi="宋体" w:cs="宋体"/>
                <w:sz w:val="18"/>
                <w:szCs w:val="18"/>
              </w:rPr>
              <w:t>99395.00</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ajorEastAsia" w:hAnsiTheme="majorEastAsia" w:eastAsiaTheme="majorEastAsia" w:cstheme="majorEastAsia"/>
                <w:sz w:val="28"/>
                <w:szCs w:val="28"/>
              </w:rPr>
            </w:pPr>
            <w:r>
              <w:rPr>
                <w:rFonts w:hint="eastAsia" w:ascii="宋体" w:hAnsi="宋体" w:cs="宋体"/>
                <w:sz w:val="18"/>
                <w:szCs w:val="18"/>
              </w:rPr>
              <w:t>99395.00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ajorEastAsia" w:hAnsiTheme="majorEastAsia" w:eastAsiaTheme="majorEastAsia" w:cstheme="majorEastAsia"/>
                <w:sz w:val="28"/>
                <w:szCs w:val="28"/>
              </w:rPr>
            </w:pPr>
            <w:r>
              <w:rPr>
                <w:rFonts w:hint="eastAsia" w:ascii="宋体" w:hAnsi="宋体" w:cs="宋体"/>
                <w:sz w:val="18"/>
                <w:szCs w:val="18"/>
              </w:rPr>
              <w:t>99395.00</w:t>
            </w:r>
          </w:p>
        </w:tc>
      </w:tr>
      <w:tr>
        <w:tblPrEx>
          <w:tblCellMar>
            <w:top w:w="0" w:type="dxa"/>
            <w:left w:w="108" w:type="dxa"/>
            <w:bottom w:w="0" w:type="dxa"/>
            <w:right w:w="108" w:type="dxa"/>
          </w:tblCellMar>
        </w:tblPrEx>
        <w:trPr>
          <w:gridAfter w:val="1"/>
          <w:wAfter w:w="234" w:type="dxa"/>
          <w:trHeight w:val="97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850" w:type="dxa"/>
            <w:tcBorders>
              <w:top w:val="single" w:color="000000" w:sz="4" w:space="0"/>
              <w:left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837" w:type="dxa"/>
            <w:gridSpan w:val="2"/>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保证卫生计生监督执法工作有序开展</w:t>
            </w:r>
          </w:p>
        </w:tc>
        <w:tc>
          <w:tcPr>
            <w:tcW w:w="1836" w:type="dxa"/>
            <w:gridSpan w:val="2"/>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规范着装，确保执法人员形象</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规范着装，确保执法人员形象</w:t>
            </w:r>
          </w:p>
        </w:tc>
      </w:tr>
      <w:tr>
        <w:tblPrEx>
          <w:tblCellMar>
            <w:top w:w="0" w:type="dxa"/>
            <w:left w:w="108" w:type="dxa"/>
            <w:bottom w:w="0" w:type="dxa"/>
            <w:right w:w="108" w:type="dxa"/>
          </w:tblCellMar>
        </w:tblPrEx>
        <w:trPr>
          <w:gridAfter w:val="1"/>
          <w:wAfter w:w="234" w:type="dxa"/>
          <w:trHeight w:val="1024"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850" w:type="dxa"/>
            <w:tcBorders>
              <w:top w:val="single" w:color="000000" w:sz="4" w:space="0"/>
              <w:left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837" w:type="dxa"/>
            <w:gridSpan w:val="2"/>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服装使用年限</w:t>
            </w:r>
          </w:p>
        </w:tc>
        <w:tc>
          <w:tcPr>
            <w:tcW w:w="1836" w:type="dxa"/>
            <w:gridSpan w:val="2"/>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≥4年</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≥4年</w:t>
            </w:r>
          </w:p>
        </w:tc>
      </w:tr>
      <w:tr>
        <w:tblPrEx>
          <w:tblCellMar>
            <w:top w:w="0" w:type="dxa"/>
            <w:left w:w="108" w:type="dxa"/>
            <w:bottom w:w="0" w:type="dxa"/>
            <w:right w:w="108" w:type="dxa"/>
          </w:tblCellMar>
        </w:tblPrEx>
        <w:trPr>
          <w:gridAfter w:val="1"/>
          <w:wAfter w:w="234" w:type="dxa"/>
          <w:trHeight w:val="931"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被监督单位满意度</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≥95%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≥95%</w:t>
            </w:r>
          </w:p>
        </w:tc>
      </w:tr>
      <w:tr>
        <w:tblPrEx>
          <w:tblCellMar>
            <w:top w:w="0" w:type="dxa"/>
            <w:left w:w="108" w:type="dxa"/>
            <w:bottom w:w="0" w:type="dxa"/>
            <w:right w:w="108" w:type="dxa"/>
          </w:tblCellMar>
        </w:tblPrEx>
        <w:trPr>
          <w:gridAfter w:val="1"/>
          <w:wAfter w:w="234" w:type="dxa"/>
          <w:trHeight w:val="675" w:hRule="atLeast"/>
        </w:trPr>
        <w:tc>
          <w:tcPr>
            <w:tcW w:w="9577" w:type="dxa"/>
            <w:gridSpan w:val="8"/>
            <w:tcBorders>
              <w:top w:val="nil"/>
              <w:left w:val="nil"/>
              <w:bottom w:val="nil"/>
              <w:right w:val="nil"/>
            </w:tcBorders>
            <w:shd w:val="clear" w:color="auto" w:fill="auto"/>
            <w:vAlign w:val="center"/>
          </w:tcPr>
          <w:p>
            <w:pPr>
              <w:spacing w:line="572" w:lineRule="exact"/>
              <w:jc w:val="left"/>
              <w:outlineLvl w:val="0"/>
              <w:rPr>
                <w:rFonts w:ascii="黑体" w:hAnsi="黑体" w:eastAsia="黑体" w:cs="黑体"/>
                <w:sz w:val="32"/>
                <w:szCs w:val="32"/>
              </w:rPr>
            </w:pPr>
          </w:p>
          <w:p>
            <w:pPr>
              <w:spacing w:line="572" w:lineRule="exact"/>
              <w:jc w:val="left"/>
              <w:outlineLvl w:val="0"/>
              <w:rPr>
                <w:rFonts w:ascii="仿宋_GB2312" w:hAnsi="仿宋_GB2312" w:eastAsia="仿宋_GB2312" w:cs="仿宋_GB2312"/>
                <w:sz w:val="32"/>
                <w:szCs w:val="32"/>
              </w:rPr>
            </w:pPr>
            <w:r>
              <w:rPr>
                <w:rFonts w:hint="eastAsia" w:ascii="黑体" w:hAnsi="黑体" w:eastAsia="黑体" w:cs="黑体"/>
                <w:sz w:val="32"/>
                <w:szCs w:val="32"/>
              </w:rPr>
              <w:t>附件3</w:t>
            </w:r>
          </w:p>
          <w:p>
            <w:pPr>
              <w:widowControl/>
              <w:jc w:val="center"/>
              <w:textAlignment w:val="center"/>
              <w:rPr>
                <w:rFonts w:ascii="宋体" w:hAnsi="宋体" w:cs="宋体"/>
                <w:b/>
                <w:sz w:val="32"/>
                <w:szCs w:val="32"/>
              </w:rPr>
            </w:pPr>
            <w:r>
              <w:rPr>
                <w:rFonts w:hint="eastAsia" w:ascii="宋体" w:hAnsi="宋体" w:cs="宋体"/>
                <w:b/>
                <w:sz w:val="32"/>
                <w:szCs w:val="32"/>
              </w:rPr>
              <w:t>驻木里卫生监督人员配套经费项目绩效目标自评</w:t>
            </w: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6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Cs w:val="21"/>
              </w:rPr>
              <w:t>攀枝花市卫生健康委员会</w:t>
            </w:r>
            <w:r>
              <w:rPr>
                <w:rFonts w:hint="eastAsia" w:ascii="宋体" w:hAnsi="宋体" w:cs="宋体"/>
                <w:sz w:val="24"/>
              </w:rPr>
              <w:t xml:space="preserve">  506001</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攀枝花市卫生和计划生育监督执法支队</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18"/>
                <w:szCs w:val="18"/>
              </w:rPr>
            </w:pPr>
            <w:r>
              <w:rPr>
                <w:rFonts w:hint="eastAsia" w:ascii="宋体" w:hAnsi="宋体" w:cs="宋体"/>
                <w:sz w:val="18"/>
                <w:szCs w:val="18"/>
              </w:rPr>
              <w:t>43100.00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18"/>
                <w:szCs w:val="18"/>
              </w:rPr>
              <w:t>43100.00</w:t>
            </w: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18"/>
                <w:szCs w:val="18"/>
              </w:rPr>
            </w:pPr>
            <w:r>
              <w:rPr>
                <w:rFonts w:hint="eastAsia" w:ascii="宋体" w:hAnsi="宋体" w:cs="宋体"/>
                <w:sz w:val="18"/>
                <w:szCs w:val="18"/>
              </w:rPr>
              <w:t>43100.00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18"/>
                <w:szCs w:val="18"/>
              </w:rPr>
              <w:t>43100.00</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0</w:t>
            </w: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234" w:type="dxa"/>
          <w:trHeight w:val="2243"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宋体" w:hAnsi="宋体" w:cs="宋体"/>
                <w:color w:val="000000"/>
                <w:kern w:val="0"/>
                <w:sz w:val="20"/>
                <w:szCs w:val="20"/>
              </w:rPr>
              <w:t>按照《四川省卫生和计划生育委员会四川省中医药管理局关于全面实施贫困地区城乡医疗卫生对口支援“传帮带”工程 打造一支愿承担有能力可支撑的本土医疗卫生人才队伍的意见》文件要求，从2018年—2020年三年，共计派出卫生监督员3人。</w:t>
            </w:r>
          </w:p>
        </w:tc>
        <w:tc>
          <w:tcPr>
            <w:tcW w:w="3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宋体" w:hAnsi="宋体" w:cs="宋体"/>
                <w:color w:val="000000"/>
                <w:kern w:val="0"/>
                <w:sz w:val="20"/>
                <w:szCs w:val="20"/>
              </w:rPr>
              <w:t>按照《四川省卫生和计划生育委员会四川省中医药管理局关于全面实施贫困地区城乡医疗卫生对口支援“传帮带”工程 打造一支愿承担有能力可支撑的本土医疗卫生人才队伍的意见》文件要求，从2018年—2020年三年，共计派出卫生监督员3人。</w:t>
            </w: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4" w:type="dxa"/>
          <w:trHeight w:val="9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 w:val="28"/>
                <w:szCs w:val="28"/>
              </w:rPr>
            </w:pPr>
            <w:r>
              <w:rPr>
                <w:rFonts w:hint="eastAsia" w:ascii="宋体" w:hAnsi="宋体" w:cs="宋体"/>
                <w:color w:val="000000"/>
                <w:kern w:val="0"/>
                <w:sz w:val="20"/>
                <w:szCs w:val="20"/>
              </w:rPr>
              <w:t>援藏援彝人数</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 w:val="28"/>
                <w:szCs w:val="28"/>
              </w:rPr>
            </w:pPr>
            <w:r>
              <w:rPr>
                <w:rFonts w:hint="eastAsia" w:ascii="宋体" w:hAnsi="宋体" w:cs="宋体"/>
                <w:color w:val="000000"/>
                <w:kern w:val="0"/>
                <w:sz w:val="20"/>
                <w:szCs w:val="20"/>
              </w:rPr>
              <w:t>3名</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 w:val="28"/>
                <w:szCs w:val="28"/>
              </w:rPr>
            </w:pPr>
            <w:r>
              <w:rPr>
                <w:rFonts w:hint="eastAsia" w:ascii="宋体" w:hAnsi="宋体" w:cs="宋体"/>
                <w:color w:val="000000"/>
                <w:kern w:val="0"/>
                <w:sz w:val="20"/>
                <w:szCs w:val="20"/>
              </w:rPr>
              <w:t>3名</w:t>
            </w:r>
          </w:p>
        </w:tc>
      </w:tr>
      <w:tr>
        <w:tblPrEx>
          <w:tblCellMar>
            <w:top w:w="0" w:type="dxa"/>
            <w:left w:w="108" w:type="dxa"/>
            <w:bottom w:w="0" w:type="dxa"/>
            <w:right w:w="108" w:type="dxa"/>
          </w:tblCellMar>
        </w:tblPrEx>
        <w:trPr>
          <w:gridAfter w:val="1"/>
          <w:wAfter w:w="234" w:type="dxa"/>
          <w:trHeight w:val="9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 w:val="28"/>
                <w:szCs w:val="28"/>
              </w:rPr>
            </w:pPr>
            <w:r>
              <w:rPr>
                <w:rFonts w:hint="eastAsia" w:ascii="宋体" w:hAnsi="宋体" w:cs="宋体"/>
                <w:color w:val="000000"/>
                <w:kern w:val="0"/>
                <w:sz w:val="20"/>
                <w:szCs w:val="20"/>
              </w:rPr>
              <w:t>工作质量</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 w:val="28"/>
                <w:szCs w:val="28"/>
              </w:rPr>
            </w:pPr>
            <w:r>
              <w:rPr>
                <w:rFonts w:hint="eastAsia" w:ascii="宋体" w:hAnsi="宋体" w:cs="宋体"/>
                <w:color w:val="000000"/>
                <w:kern w:val="0"/>
                <w:sz w:val="20"/>
                <w:szCs w:val="20"/>
              </w:rPr>
              <w:t>顺利完成“传帮带”工作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 w:val="28"/>
                <w:szCs w:val="28"/>
              </w:rPr>
            </w:pPr>
            <w:r>
              <w:rPr>
                <w:rFonts w:hint="eastAsia" w:ascii="宋体" w:hAnsi="宋体" w:cs="宋体"/>
                <w:color w:val="000000"/>
                <w:kern w:val="0"/>
                <w:sz w:val="20"/>
                <w:szCs w:val="20"/>
              </w:rPr>
              <w:t>顺利完成“传帮带”工作</w:t>
            </w:r>
          </w:p>
        </w:tc>
      </w:tr>
      <w:tr>
        <w:tblPrEx>
          <w:tblCellMar>
            <w:top w:w="0" w:type="dxa"/>
            <w:left w:w="108" w:type="dxa"/>
            <w:bottom w:w="0" w:type="dxa"/>
            <w:right w:w="108" w:type="dxa"/>
          </w:tblCellMar>
        </w:tblPrEx>
        <w:trPr>
          <w:gridAfter w:val="1"/>
          <w:wAfter w:w="234" w:type="dxa"/>
          <w:trHeight w:val="598"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 w:val="28"/>
                <w:szCs w:val="28"/>
              </w:rPr>
            </w:pPr>
            <w:r>
              <w:rPr>
                <w:rFonts w:hint="eastAsia" w:ascii="宋体" w:hAnsi="宋体" w:cs="宋体"/>
                <w:color w:val="000000"/>
                <w:kern w:val="0"/>
                <w:sz w:val="20"/>
                <w:szCs w:val="20"/>
              </w:rPr>
              <w:t>完成时间</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 w:val="28"/>
                <w:szCs w:val="28"/>
              </w:rPr>
            </w:pPr>
            <w:r>
              <w:rPr>
                <w:rFonts w:hint="eastAsia" w:ascii="宋体" w:hAnsi="宋体" w:cs="宋体"/>
                <w:color w:val="000000"/>
                <w:kern w:val="0"/>
                <w:sz w:val="20"/>
                <w:szCs w:val="20"/>
              </w:rPr>
              <w:t>2021年</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 w:val="28"/>
                <w:szCs w:val="28"/>
              </w:rPr>
            </w:pPr>
            <w:r>
              <w:rPr>
                <w:rFonts w:hint="eastAsia" w:ascii="宋体" w:hAnsi="宋体" w:cs="宋体"/>
                <w:color w:val="000000"/>
                <w:kern w:val="0"/>
                <w:sz w:val="20"/>
                <w:szCs w:val="20"/>
              </w:rPr>
              <w:t>2021年</w:t>
            </w:r>
          </w:p>
        </w:tc>
      </w:tr>
      <w:tr>
        <w:tblPrEx>
          <w:tblCellMar>
            <w:top w:w="0" w:type="dxa"/>
            <w:left w:w="108" w:type="dxa"/>
            <w:bottom w:w="0" w:type="dxa"/>
            <w:right w:w="108" w:type="dxa"/>
          </w:tblCellMar>
        </w:tblPrEx>
        <w:trPr>
          <w:gridAfter w:val="1"/>
          <w:wAfter w:w="234" w:type="dxa"/>
          <w:trHeight w:val="1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 w:val="28"/>
                <w:szCs w:val="28"/>
              </w:rPr>
            </w:pPr>
            <w:r>
              <w:rPr>
                <w:rFonts w:hint="eastAsia" w:ascii="宋体" w:hAnsi="宋体" w:cs="宋体"/>
                <w:color w:val="000000"/>
                <w:kern w:val="0"/>
                <w:sz w:val="20"/>
                <w:szCs w:val="20"/>
              </w:rPr>
              <w:t>生活补助及慰问金</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 w:val="28"/>
                <w:szCs w:val="28"/>
              </w:rPr>
            </w:pPr>
            <w:r>
              <w:rPr>
                <w:rFonts w:hint="eastAsia" w:ascii="宋体" w:hAnsi="宋体" w:cs="宋体"/>
                <w:color w:val="000000"/>
                <w:kern w:val="0"/>
                <w:sz w:val="20"/>
                <w:szCs w:val="20"/>
              </w:rPr>
              <w:t>4.31万元</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 w:val="28"/>
                <w:szCs w:val="28"/>
              </w:rPr>
            </w:pPr>
            <w:r>
              <w:rPr>
                <w:rFonts w:hint="eastAsia" w:ascii="宋体" w:hAnsi="宋体" w:cs="宋体"/>
                <w:color w:val="000000"/>
                <w:kern w:val="0"/>
                <w:sz w:val="20"/>
                <w:szCs w:val="20"/>
              </w:rPr>
              <w:t>4.31万元</w:t>
            </w:r>
          </w:p>
        </w:tc>
      </w:tr>
      <w:tr>
        <w:tblPrEx>
          <w:tblCellMar>
            <w:top w:w="0" w:type="dxa"/>
            <w:left w:w="108" w:type="dxa"/>
            <w:bottom w:w="0" w:type="dxa"/>
            <w:right w:w="108" w:type="dxa"/>
          </w:tblCellMar>
        </w:tblPrEx>
        <w:trPr>
          <w:gridAfter w:val="1"/>
          <w:wAfter w:w="234" w:type="dxa"/>
          <w:trHeight w:val="97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850" w:type="dxa"/>
            <w:tcBorders>
              <w:top w:val="single" w:color="000000" w:sz="4" w:space="0"/>
              <w:left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837" w:type="dxa"/>
            <w:gridSpan w:val="2"/>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顺利完成“传帮带”工作</w:t>
            </w:r>
          </w:p>
        </w:tc>
        <w:tc>
          <w:tcPr>
            <w:tcW w:w="1836" w:type="dxa"/>
            <w:gridSpan w:val="2"/>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木里县卫监人员能够满足当地服务需求</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木里县卫监人员能够满足当地服务需求</w:t>
            </w:r>
          </w:p>
        </w:tc>
      </w:tr>
      <w:tr>
        <w:tblPrEx>
          <w:tblCellMar>
            <w:top w:w="0" w:type="dxa"/>
            <w:left w:w="108" w:type="dxa"/>
            <w:bottom w:w="0" w:type="dxa"/>
            <w:right w:w="108" w:type="dxa"/>
          </w:tblCellMar>
        </w:tblPrEx>
        <w:trPr>
          <w:gridAfter w:val="1"/>
          <w:wAfter w:w="234" w:type="dxa"/>
          <w:trHeight w:val="1024"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850" w:type="dxa"/>
            <w:tcBorders>
              <w:top w:val="single" w:color="000000" w:sz="4" w:space="0"/>
              <w:left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837" w:type="dxa"/>
            <w:gridSpan w:val="2"/>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顺利完成“传帮带”工作</w:t>
            </w:r>
          </w:p>
        </w:tc>
        <w:tc>
          <w:tcPr>
            <w:tcW w:w="1836" w:type="dxa"/>
            <w:gridSpan w:val="2"/>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提升服务能力、改善管理水平</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提升服务能力、改善管理水平</w:t>
            </w:r>
          </w:p>
        </w:tc>
      </w:tr>
      <w:tr>
        <w:tblPrEx>
          <w:tblCellMar>
            <w:top w:w="0" w:type="dxa"/>
            <w:left w:w="108" w:type="dxa"/>
            <w:bottom w:w="0" w:type="dxa"/>
            <w:right w:w="108" w:type="dxa"/>
          </w:tblCellMar>
        </w:tblPrEx>
        <w:trPr>
          <w:gridAfter w:val="1"/>
          <w:wAfter w:w="234" w:type="dxa"/>
          <w:trHeight w:val="931"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木里县人民群众满意度</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≥95 %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≥95 %</w:t>
            </w:r>
          </w:p>
        </w:tc>
      </w:tr>
    </w:tbl>
    <w:p>
      <w:pPr>
        <w:widowControl/>
        <w:adjustRightInd w:val="0"/>
        <w:snapToGrid w:val="0"/>
        <w:spacing w:line="580" w:lineRule="exact"/>
        <w:contextualSpacing/>
        <w:jc w:val="left"/>
      </w:pPr>
      <w:r>
        <w:rPr>
          <w:rFonts w:hint="eastAsia" w:ascii="仿宋_GB2312" w:hAnsi="宋体" w:eastAsia="仿宋_GB2312" w:cs="宋体"/>
          <w:color w:val="000000"/>
          <w:kern w:val="0"/>
          <w:sz w:val="32"/>
          <w:szCs w:val="32"/>
          <w:shd w:val="clear" w:color="auto" w:fill="FFFFFF"/>
        </w:rPr>
        <w:t>（注：有两个及以上100万元以上（含）特定目标类部门预算项目的，需分别开展绩效目标自评并填写附表）</w:t>
      </w:r>
    </w:p>
    <w:p>
      <w:pPr>
        <w:spacing w:line="600" w:lineRule="exact"/>
        <w:jc w:val="center"/>
        <w:outlineLvl w:val="0"/>
        <w:rPr>
          <w:rFonts w:ascii="黑体" w:hAnsi="黑体" w:eastAsia="黑体"/>
          <w:sz w:val="44"/>
          <w:szCs w:val="44"/>
        </w:rPr>
      </w:pPr>
    </w:p>
    <w:p>
      <w:pPr>
        <w:spacing w:line="600" w:lineRule="exact"/>
        <w:jc w:val="center"/>
        <w:outlineLvl w:val="0"/>
        <w:rPr>
          <w:rFonts w:ascii="仿宋" w:hAnsi="仿宋" w:eastAsia="仿宋"/>
        </w:rPr>
      </w:pPr>
      <w:bookmarkStart w:id="101" w:name="_Toc2006878697_WPSOffice_Level1"/>
      <w:r>
        <w:rPr>
          <w:rFonts w:hint="eastAsia" w:ascii="黑体" w:hAnsi="黑体" w:eastAsia="黑体"/>
          <w:sz w:val="44"/>
          <w:szCs w:val="44"/>
        </w:rPr>
        <w:t>第</w:t>
      </w:r>
      <w:r>
        <w:rPr>
          <w:rStyle w:val="24"/>
          <w:rFonts w:hint="eastAsia" w:ascii="黑体" w:hAnsi="黑体" w:eastAsia="黑体"/>
          <w:b w:val="0"/>
        </w:rPr>
        <w:t>五部分 附表</w:t>
      </w:r>
      <w:bookmarkEnd w:id="97"/>
      <w:bookmarkEnd w:id="100"/>
      <w:bookmarkEnd w:id="101"/>
      <w:bookmarkStart w:id="102" w:name="_Toc15396619"/>
    </w:p>
    <w:p>
      <w:pPr>
        <w:pStyle w:val="4"/>
        <w:spacing w:before="0" w:after="0"/>
        <w:rPr>
          <w:rFonts w:ascii="仿宋" w:hAnsi="仿宋" w:eastAsia="仿宋"/>
        </w:rPr>
      </w:pPr>
      <w:bookmarkStart w:id="103" w:name="_Toc359064842_WPSOffice_Level2"/>
      <w:r>
        <w:rPr>
          <w:rFonts w:hint="eastAsia" w:ascii="仿宋" w:hAnsi="仿宋" w:eastAsia="仿宋"/>
          <w:b w:val="0"/>
        </w:rPr>
        <w:t>一、收</w:t>
      </w:r>
      <w:r>
        <w:rPr>
          <w:rStyle w:val="25"/>
          <w:rFonts w:hint="eastAsia" w:ascii="仿宋" w:hAnsi="仿宋" w:eastAsia="仿宋"/>
          <w:b w:val="0"/>
          <w:bCs w:val="0"/>
        </w:rPr>
        <w:t>入支出决算总表</w:t>
      </w:r>
      <w:bookmarkEnd w:id="102"/>
      <w:bookmarkEnd w:id="103"/>
    </w:p>
    <w:p>
      <w:pPr>
        <w:pStyle w:val="4"/>
        <w:spacing w:before="0" w:after="0"/>
        <w:rPr>
          <w:rFonts w:ascii="仿宋" w:hAnsi="仿宋" w:eastAsia="仿宋"/>
        </w:rPr>
      </w:pPr>
      <w:bookmarkStart w:id="104" w:name="_Toc416534673_WPSOffice_Level2"/>
      <w:bookmarkStart w:id="105" w:name="_Toc15396620"/>
      <w:r>
        <w:rPr>
          <w:rFonts w:hint="eastAsia" w:ascii="仿宋" w:hAnsi="仿宋" w:eastAsia="仿宋"/>
          <w:b w:val="0"/>
        </w:rPr>
        <w:t>二、收</w:t>
      </w:r>
      <w:r>
        <w:rPr>
          <w:rStyle w:val="25"/>
          <w:rFonts w:hint="eastAsia" w:ascii="仿宋" w:hAnsi="仿宋" w:eastAsia="仿宋"/>
          <w:b w:val="0"/>
          <w:bCs w:val="0"/>
        </w:rPr>
        <w:t>入决算表</w:t>
      </w:r>
      <w:bookmarkEnd w:id="104"/>
      <w:bookmarkEnd w:id="105"/>
    </w:p>
    <w:p>
      <w:pPr>
        <w:pStyle w:val="4"/>
        <w:spacing w:before="0" w:after="0"/>
        <w:rPr>
          <w:rFonts w:ascii="仿宋" w:hAnsi="仿宋" w:eastAsia="仿宋"/>
        </w:rPr>
      </w:pPr>
      <w:bookmarkStart w:id="106" w:name="_Toc2103002841_WPSOffice_Level2"/>
      <w:bookmarkStart w:id="107" w:name="_Toc15396621"/>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出决算表</w:t>
      </w:r>
      <w:bookmarkEnd w:id="106"/>
      <w:bookmarkEnd w:id="107"/>
    </w:p>
    <w:p>
      <w:pPr>
        <w:pStyle w:val="4"/>
        <w:spacing w:before="0" w:after="0"/>
        <w:rPr>
          <w:rFonts w:ascii="仿宋" w:hAnsi="仿宋" w:eastAsia="仿宋"/>
          <w:b w:val="0"/>
        </w:rPr>
      </w:pPr>
      <w:bookmarkStart w:id="108" w:name="_Toc15396622"/>
      <w:bookmarkStart w:id="109" w:name="_Toc1828028187_WPSOffice_Level2"/>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bookmarkEnd w:id="108"/>
      <w:bookmarkEnd w:id="109"/>
    </w:p>
    <w:p>
      <w:pPr>
        <w:pStyle w:val="4"/>
        <w:spacing w:before="0" w:after="0"/>
        <w:rPr>
          <w:rStyle w:val="25"/>
          <w:rFonts w:ascii="仿宋" w:hAnsi="仿宋" w:eastAsia="仿宋"/>
          <w:b w:val="0"/>
          <w:bCs w:val="0"/>
        </w:rPr>
      </w:pPr>
      <w:bookmarkStart w:id="110" w:name="_Toc1615470797_WPSOffice_Level2"/>
      <w:bookmarkStart w:id="111" w:name="_Toc15396623"/>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w:t>
      </w:r>
      <w:bookmarkEnd w:id="110"/>
      <w:bookmarkEnd w:id="111"/>
      <w:bookmarkStart w:id="112" w:name="_Toc15396624"/>
    </w:p>
    <w:p>
      <w:pPr>
        <w:pStyle w:val="4"/>
        <w:spacing w:before="0" w:after="0"/>
        <w:rPr>
          <w:rFonts w:ascii="仿宋" w:hAnsi="仿宋" w:eastAsia="仿宋"/>
        </w:rPr>
      </w:pPr>
      <w:bookmarkStart w:id="113" w:name="_Toc659851189_WPSOffice_Level2"/>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112"/>
      <w:bookmarkEnd w:id="113"/>
    </w:p>
    <w:p>
      <w:pPr>
        <w:pStyle w:val="4"/>
        <w:spacing w:before="0" w:after="0"/>
        <w:rPr>
          <w:rFonts w:ascii="仿宋" w:hAnsi="仿宋" w:eastAsia="仿宋"/>
        </w:rPr>
      </w:pPr>
      <w:bookmarkStart w:id="114" w:name="_Toc15396625"/>
      <w:bookmarkStart w:id="115" w:name="_Toc1720704405_WPSOffice_Level2"/>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114"/>
      <w:bookmarkEnd w:id="115"/>
    </w:p>
    <w:p>
      <w:pPr>
        <w:pStyle w:val="4"/>
        <w:spacing w:before="0" w:after="0"/>
        <w:rPr>
          <w:rFonts w:ascii="仿宋" w:hAnsi="仿宋" w:eastAsia="仿宋"/>
        </w:rPr>
      </w:pPr>
      <w:bookmarkStart w:id="116" w:name="_Toc2052850938_WPSOffice_Level2"/>
      <w:bookmarkStart w:id="117" w:name="_Toc15396626"/>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116"/>
      <w:bookmarkEnd w:id="117"/>
    </w:p>
    <w:p>
      <w:pPr>
        <w:pStyle w:val="4"/>
        <w:spacing w:before="0" w:after="0"/>
        <w:rPr>
          <w:rFonts w:ascii="仿宋" w:hAnsi="仿宋" w:eastAsia="仿宋"/>
        </w:rPr>
      </w:pPr>
      <w:bookmarkStart w:id="118" w:name="_Toc2065414960_WPSOffice_Level2"/>
      <w:bookmarkStart w:id="119" w:name="_Toc15396627"/>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118"/>
      <w:bookmarkEnd w:id="119"/>
    </w:p>
    <w:p>
      <w:pPr>
        <w:pStyle w:val="4"/>
        <w:spacing w:before="0" w:after="0"/>
        <w:rPr>
          <w:rFonts w:ascii="仿宋" w:hAnsi="仿宋" w:eastAsia="仿宋"/>
        </w:rPr>
      </w:pPr>
      <w:bookmarkStart w:id="120" w:name="_Toc49132101_WPSOffice_Level2"/>
      <w:bookmarkStart w:id="121" w:name="_Toc15396628"/>
      <w:r>
        <w:rPr>
          <w:rStyle w:val="25"/>
          <w:rFonts w:hint="eastAsia" w:ascii="仿宋" w:hAnsi="仿宋" w:eastAsia="仿宋"/>
          <w:b w:val="0"/>
          <w:bCs w:val="0"/>
        </w:rPr>
        <w:t>十、</w:t>
      </w:r>
      <w:r>
        <w:rPr>
          <w:rFonts w:hint="eastAsia" w:ascii="仿宋" w:hAnsi="仿宋" w:eastAsia="仿宋"/>
          <w:b w:val="0"/>
        </w:rPr>
        <w:t>一</w:t>
      </w:r>
      <w:r>
        <w:rPr>
          <w:rStyle w:val="25"/>
          <w:rFonts w:hint="eastAsia" w:ascii="仿宋" w:hAnsi="仿宋" w:eastAsia="仿宋"/>
          <w:b w:val="0"/>
          <w:bCs w:val="0"/>
        </w:rPr>
        <w:t>般公共预算财政拨款“三公”经费支出决算表</w:t>
      </w:r>
      <w:bookmarkEnd w:id="120"/>
      <w:bookmarkEnd w:id="121"/>
    </w:p>
    <w:p>
      <w:pPr>
        <w:pStyle w:val="4"/>
        <w:spacing w:before="0" w:after="0"/>
        <w:rPr>
          <w:rFonts w:ascii="仿宋" w:hAnsi="仿宋" w:eastAsia="仿宋"/>
        </w:rPr>
      </w:pPr>
      <w:bookmarkStart w:id="122" w:name="_Toc585633072_WPSOffice_Level2"/>
      <w:bookmarkStart w:id="123" w:name="_Toc15396629"/>
      <w:r>
        <w:rPr>
          <w:rStyle w:val="25"/>
          <w:rFonts w:hint="eastAsia" w:ascii="仿宋" w:hAnsi="仿宋" w:eastAsia="仿宋"/>
          <w:b w:val="0"/>
          <w:bCs w:val="0"/>
        </w:rPr>
        <w:t>十一、</w:t>
      </w:r>
      <w:r>
        <w:rPr>
          <w:rFonts w:hint="eastAsia" w:ascii="仿宋" w:hAnsi="仿宋" w:eastAsia="仿宋"/>
          <w:b w:val="0"/>
        </w:rPr>
        <w:t>政</w:t>
      </w:r>
      <w:r>
        <w:rPr>
          <w:rStyle w:val="25"/>
          <w:rFonts w:hint="eastAsia" w:ascii="仿宋" w:hAnsi="仿宋" w:eastAsia="仿宋"/>
          <w:b w:val="0"/>
          <w:bCs w:val="0"/>
        </w:rPr>
        <w:t>府性基金预算财政拨款收入支出决算表</w:t>
      </w:r>
      <w:bookmarkEnd w:id="122"/>
      <w:bookmarkEnd w:id="123"/>
    </w:p>
    <w:p>
      <w:pPr>
        <w:pStyle w:val="4"/>
        <w:spacing w:before="0" w:after="0"/>
        <w:rPr>
          <w:rFonts w:ascii="仿宋" w:hAnsi="仿宋" w:eastAsia="仿宋"/>
        </w:rPr>
      </w:pPr>
      <w:bookmarkStart w:id="124" w:name="_Toc15396630"/>
      <w:bookmarkStart w:id="125" w:name="_Toc649977118_WPSOffice_Level2"/>
      <w:r>
        <w:rPr>
          <w:rStyle w:val="25"/>
          <w:rFonts w:hint="eastAsia" w:ascii="仿宋" w:hAnsi="仿宋" w:eastAsia="仿宋"/>
          <w:b w:val="0"/>
          <w:bCs w:val="0"/>
        </w:rPr>
        <w:t>十二、</w:t>
      </w:r>
      <w:r>
        <w:rPr>
          <w:rFonts w:hint="eastAsia" w:ascii="仿宋" w:hAnsi="仿宋" w:eastAsia="仿宋"/>
          <w:b w:val="0"/>
        </w:rPr>
        <w:t>政</w:t>
      </w:r>
      <w:r>
        <w:rPr>
          <w:rStyle w:val="25"/>
          <w:rFonts w:hint="eastAsia" w:ascii="仿宋" w:hAnsi="仿宋" w:eastAsia="仿宋"/>
          <w:b w:val="0"/>
          <w:bCs w:val="0"/>
        </w:rPr>
        <w:t>府性基金预算财政拨款“三公”经费支出决算表</w:t>
      </w:r>
      <w:bookmarkEnd w:id="124"/>
      <w:r>
        <w:rPr>
          <w:rStyle w:val="25"/>
          <w:rFonts w:hint="eastAsia" w:ascii="仿宋" w:hAnsi="仿宋" w:eastAsia="仿宋"/>
          <w:b w:val="0"/>
          <w:bCs w:val="0"/>
        </w:rPr>
        <w:t>（此表无数据）</w:t>
      </w:r>
      <w:bookmarkEnd w:id="125"/>
    </w:p>
    <w:p>
      <w:pPr>
        <w:pStyle w:val="4"/>
        <w:spacing w:before="0" w:after="0"/>
        <w:rPr>
          <w:rStyle w:val="25"/>
          <w:rFonts w:ascii="仿宋" w:hAnsi="仿宋" w:eastAsia="仿宋"/>
          <w:b w:val="0"/>
          <w:bCs w:val="0"/>
        </w:rPr>
      </w:pPr>
      <w:bookmarkStart w:id="126" w:name="_Toc15396631"/>
      <w:bookmarkStart w:id="127" w:name="_Toc300599366_WPSOffice_Level2"/>
      <w:r>
        <w:rPr>
          <w:rStyle w:val="25"/>
          <w:rFonts w:hint="eastAsia" w:ascii="仿宋" w:hAnsi="仿宋" w:eastAsia="仿宋"/>
          <w:b w:val="0"/>
          <w:bCs w:val="0"/>
        </w:rPr>
        <w:t>十三、</w:t>
      </w:r>
      <w:r>
        <w:rPr>
          <w:rFonts w:hint="eastAsia" w:ascii="仿宋" w:hAnsi="仿宋" w:eastAsia="仿宋"/>
          <w:b w:val="0"/>
        </w:rPr>
        <w:t>国</w:t>
      </w:r>
      <w:r>
        <w:rPr>
          <w:rStyle w:val="25"/>
          <w:rFonts w:hint="eastAsia" w:ascii="仿宋" w:hAnsi="仿宋" w:eastAsia="仿宋"/>
          <w:b w:val="0"/>
          <w:bCs w:val="0"/>
        </w:rPr>
        <w:t>有资本经营预算财政拨款收入支出决算表</w:t>
      </w:r>
      <w:bookmarkEnd w:id="126"/>
      <w:r>
        <w:rPr>
          <w:rStyle w:val="25"/>
          <w:rFonts w:hint="eastAsia" w:ascii="仿宋" w:hAnsi="仿宋" w:eastAsia="仿宋"/>
          <w:b w:val="0"/>
          <w:bCs w:val="0"/>
        </w:rPr>
        <w:t>（此表无数据）</w:t>
      </w:r>
      <w:bookmarkEnd w:id="127"/>
    </w:p>
    <w:p>
      <w:pPr>
        <w:pStyle w:val="4"/>
        <w:spacing w:before="0" w:after="0"/>
        <w:rPr>
          <w:rFonts w:ascii="仿宋" w:hAnsi="仿宋" w:eastAsia="仿宋"/>
        </w:rPr>
      </w:pPr>
      <w:bookmarkStart w:id="128" w:name="_Toc1782935864_WPSOffice_Level2"/>
      <w:r>
        <w:rPr>
          <w:rStyle w:val="25"/>
          <w:rFonts w:hint="eastAsia" w:ascii="仿宋" w:hAnsi="仿宋" w:eastAsia="仿宋"/>
          <w:b w:val="0"/>
          <w:bCs w:val="0"/>
        </w:rPr>
        <w:t>十四、国有资本经营预算财政拨款支出决算表（此表无数据）</w:t>
      </w:r>
      <w:bookmarkEnd w:id="128"/>
    </w:p>
    <w:p>
      <w:pPr>
        <w:rPr>
          <w:rFonts w:eastAsia="仿宋"/>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6020202030204"/>
    <w:charset w:val="01"/>
    <w:family w:val="swiss"/>
    <w:pitch w:val="default"/>
    <w:sig w:usb0="00000287" w:usb1="00000800" w:usb2="00000000" w:usb3="00000000" w:csb0="2000009F" w:csb1="DFD7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方正书宋_GBK">
    <w:panose1 w:val="02000000000000000000"/>
    <w:charset w:val="86"/>
    <w:family w:val="auto"/>
    <w:pitch w:val="default"/>
    <w:sig w:usb0="00000001" w:usb1="08000000" w:usb2="00000000" w:usb3="00000000" w:csb0="00040000" w:csb1="00000000"/>
  </w:font>
  <w:font w:name="Cambria">
    <w:altName w:val="Calisto MT"/>
    <w:panose1 w:val="02040503050406030204"/>
    <w:charset w:val="00"/>
    <w:family w:val="roman"/>
    <w:pitch w:val="default"/>
    <w:sig w:usb0="00000000" w:usb1="00000000" w:usb2="00000000" w:usb3="00000000" w:csb0="0000019F" w:csb1="00000000"/>
  </w:font>
  <w:font w:name="Calisto MT">
    <w:panose1 w:val="02040603050505030304"/>
    <w:charset w:val="00"/>
    <w:family w:val="auto"/>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38D1"/>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2E3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578D8"/>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4BD7918"/>
    <w:rsid w:val="056414EE"/>
    <w:rsid w:val="0A2032A3"/>
    <w:rsid w:val="0A4B195E"/>
    <w:rsid w:val="0A4C2A15"/>
    <w:rsid w:val="0AD93F84"/>
    <w:rsid w:val="0B8A37D8"/>
    <w:rsid w:val="10C055FF"/>
    <w:rsid w:val="118107EC"/>
    <w:rsid w:val="119B21E8"/>
    <w:rsid w:val="11DD6519"/>
    <w:rsid w:val="167C1EB5"/>
    <w:rsid w:val="16BB723D"/>
    <w:rsid w:val="18015F3F"/>
    <w:rsid w:val="1AA3160D"/>
    <w:rsid w:val="1BE8440E"/>
    <w:rsid w:val="1D155CEE"/>
    <w:rsid w:val="20F57F95"/>
    <w:rsid w:val="2234664C"/>
    <w:rsid w:val="236D50CF"/>
    <w:rsid w:val="240371BF"/>
    <w:rsid w:val="25C741E6"/>
    <w:rsid w:val="27842671"/>
    <w:rsid w:val="29FD04D3"/>
    <w:rsid w:val="2ABE7A3E"/>
    <w:rsid w:val="2EFA178C"/>
    <w:rsid w:val="2F98371A"/>
    <w:rsid w:val="2FAF9151"/>
    <w:rsid w:val="30B46D73"/>
    <w:rsid w:val="31983240"/>
    <w:rsid w:val="319F7F4E"/>
    <w:rsid w:val="323B237E"/>
    <w:rsid w:val="32605411"/>
    <w:rsid w:val="35042757"/>
    <w:rsid w:val="36D21B28"/>
    <w:rsid w:val="371C3F4E"/>
    <w:rsid w:val="37D32D4C"/>
    <w:rsid w:val="37FEAFBE"/>
    <w:rsid w:val="39AE70AB"/>
    <w:rsid w:val="3C0C0783"/>
    <w:rsid w:val="3C775072"/>
    <w:rsid w:val="3F5643D4"/>
    <w:rsid w:val="3F9F3A96"/>
    <w:rsid w:val="3FE16A76"/>
    <w:rsid w:val="41F96633"/>
    <w:rsid w:val="46B22313"/>
    <w:rsid w:val="481169E0"/>
    <w:rsid w:val="482B06F0"/>
    <w:rsid w:val="493C27E9"/>
    <w:rsid w:val="496F39ED"/>
    <w:rsid w:val="49FF41D3"/>
    <w:rsid w:val="4A05374C"/>
    <w:rsid w:val="4BE068DB"/>
    <w:rsid w:val="4BF6002B"/>
    <w:rsid w:val="4E052EF5"/>
    <w:rsid w:val="4ECE2238"/>
    <w:rsid w:val="4F1C34D7"/>
    <w:rsid w:val="5017F4CA"/>
    <w:rsid w:val="51DB4B86"/>
    <w:rsid w:val="55333C3E"/>
    <w:rsid w:val="582F69FB"/>
    <w:rsid w:val="5A690871"/>
    <w:rsid w:val="60911069"/>
    <w:rsid w:val="62895ECD"/>
    <w:rsid w:val="63D92BF0"/>
    <w:rsid w:val="64CA39A1"/>
    <w:rsid w:val="65746B59"/>
    <w:rsid w:val="67597264"/>
    <w:rsid w:val="6C4A05C8"/>
    <w:rsid w:val="6E5965B7"/>
    <w:rsid w:val="6FBD9183"/>
    <w:rsid w:val="71A15CA7"/>
    <w:rsid w:val="72734D90"/>
    <w:rsid w:val="72FFDE8B"/>
    <w:rsid w:val="73612891"/>
    <w:rsid w:val="7434735A"/>
    <w:rsid w:val="75C604F7"/>
    <w:rsid w:val="76A355CC"/>
    <w:rsid w:val="789D2E4F"/>
    <w:rsid w:val="78B919D2"/>
    <w:rsid w:val="79C553AD"/>
    <w:rsid w:val="79E7B28D"/>
    <w:rsid w:val="7F5DC2F8"/>
    <w:rsid w:val="7F9F20EE"/>
    <w:rsid w:val="9E3A10E2"/>
    <w:rsid w:val="BEF90525"/>
    <w:rsid w:val="BFAF2049"/>
    <w:rsid w:val="D6FD076E"/>
    <w:rsid w:val="DDFFD87B"/>
    <w:rsid w:val="DF6DCBCE"/>
    <w:rsid w:val="DFBABD33"/>
    <w:rsid w:val="EF3FB558"/>
    <w:rsid w:val="F2E1F9D4"/>
    <w:rsid w:val="F71B5077"/>
    <w:rsid w:val="F7880819"/>
    <w:rsid w:val="FBF4B2F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3">
    <w:name w:val="列出段落1"/>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0">
    <w:name w:val="WPSOffice手动目录 1"/>
    <w:qFormat/>
    <w:uiPriority w:val="0"/>
    <w:rPr>
      <w:rFonts w:ascii="Times New Roman" w:hAnsi="Times New Roman" w:eastAsia="宋体" w:cs="Times New Roman"/>
      <w:lang w:val="en-US" w:eastAsia="zh-CN" w:bidi="ar-SA"/>
    </w:rPr>
  </w:style>
  <w:style w:type="paragraph" w:customStyle="1" w:styleId="31">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2">
    <w:name w:val="标题 2 Char1"/>
    <w:basedOn w:val="13"/>
    <w:link w:val="4"/>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37096;&#38376;&#20915;&#31639;\2021&#20915;&#31639;&#20844;&#24320;\&#26032;&#24314;%20Microsoft%20Excel%2097-2003%20&#24037;&#20316;&#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37096;&#38376;&#20915;&#31639;\2021&#20915;&#31639;&#20844;&#24320;\&#26032;&#24314;%20Microsoft%20Excel%2097-2003%20&#24037;&#20316;&#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37096;&#38376;&#20915;&#31639;\2021&#20915;&#31639;&#20844;&#24320;\&#26032;&#24314;%20Microsoft%20Excel%2097-2003%20&#24037;&#20316;&#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37096;&#38376;&#20915;&#31639;\2021&#20915;&#31639;&#20844;&#24320;\&#26032;&#24314;%20Microsoft%20Excel%2097-2003%20&#24037;&#20316;&#3492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37096;&#38376;&#20915;&#31639;\2021&#20915;&#31639;&#20844;&#24320;\&#26032;&#24314;%20Microsoft%20Excel%2097-2003%20&#24037;&#20316;&#3492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37096;&#38376;&#20915;&#31639;\2021&#20915;&#31639;&#20844;&#24320;\&#26032;&#24314;%20Microsoft%20Excel%2097-2003%20&#24037;&#20316;&#3492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37096;&#38376;&#20915;&#31639;\2021&#20915;&#31639;&#20844;&#24320;\&#26032;&#24314;%20Microsoft%20Excel%2097-2003%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manualLayout>
          <c:xMode val="edge"/>
          <c:yMode val="edge"/>
          <c:x val="0.256713601393526"/>
          <c:y val="0.0287461773700306"/>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Lbl>
              <c:idx val="2"/>
              <c:layout>
                <c:manualLayout>
                  <c:x val="-0.00394529195160442"/>
                  <c:y val="0.098760650658404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394529195160442"/>
                  <c:y val="0.090046475600309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'[新建 Microsoft Excel 97-2003 工作表.xls]Sheet1'!$A$3:$A$6</c:f>
              <c:strCache>
                <c:ptCount val="4"/>
                <c:pt idx="0">
                  <c:v>本年度</c:v>
                </c:pt>
                <c:pt idx="1">
                  <c:v>上年度</c:v>
                </c:pt>
                <c:pt idx="2">
                  <c:v>比上年增减</c:v>
                </c:pt>
                <c:pt idx="3">
                  <c:v>增减％</c:v>
                </c:pt>
              </c:strCache>
            </c:strRef>
          </c:cat>
          <c:val>
            <c:numRef>
              <c:f>'[新建 Microsoft Excel 97-2003 工作表.xls]Sheet1'!$B$3:$B$6</c:f>
              <c:numCache>
                <c:formatCode>General</c:formatCode>
                <c:ptCount val="4"/>
                <c:pt idx="0">
                  <c:v>822.31</c:v>
                </c:pt>
                <c:pt idx="1">
                  <c:v>840.92</c:v>
                </c:pt>
                <c:pt idx="2">
                  <c:v>-18.61</c:v>
                </c:pt>
                <c:pt idx="3" c:formatCode="0.00_ ">
                  <c:v>-2.21305237121248</c:v>
                </c:pt>
              </c:numCache>
            </c:numRef>
          </c:val>
        </c:ser>
        <c:dLbls>
          <c:showLegendKey val="0"/>
          <c:showVal val="1"/>
          <c:showCatName val="0"/>
          <c:showSerName val="0"/>
          <c:showPercent val="0"/>
          <c:showBubbleSize val="0"/>
        </c:dLbls>
        <c:gapWidth val="219"/>
        <c:overlap val="-27"/>
        <c:axId val="87499520"/>
        <c:axId val="87501056"/>
      </c:barChart>
      <c:catAx>
        <c:axId val="8749952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501056"/>
        <c:crosses val="autoZero"/>
        <c:auto val="1"/>
        <c:lblAlgn val="ctr"/>
        <c:lblOffset val="100"/>
        <c:noMultiLvlLbl val="0"/>
      </c:catAx>
      <c:valAx>
        <c:axId val="8750105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499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a:p>
            <a:pPr defTabSz="914400">
              <a:defRPr lang="zh-CN" sz="1400" b="0" i="0" u="none" strike="noStrike" kern="1200" spc="0" baseline="0">
                <a:solidFill>
                  <a:schemeClr val="tx1">
                    <a:lumMod val="65000"/>
                    <a:lumOff val="35000"/>
                  </a:schemeClr>
                </a:solidFill>
                <a:latin typeface="+mn-lt"/>
                <a:ea typeface="+mn-ea"/>
                <a:cs typeface="+mn-cs"/>
              </a:defRPr>
            </a:pPr>
            <a:r>
              <a:t>本年收入</a:t>
            </a:r>
            <a:r>
              <a:rPr lang="en-US" altLang="zh-CN"/>
              <a:t>/一般公共预算财政拨款收入</a:t>
            </a:r>
            <a:endParaRPr lang="en-US" altLang="zh-CN"/>
          </a:p>
        </c:rich>
      </c:tx>
      <c:layout>
        <c:manualLayout>
          <c:xMode val="edge"/>
          <c:yMode val="edge"/>
          <c:x val="0.188055555555556"/>
          <c:y val="0.0487238979118329"/>
        </c:manualLayout>
      </c:layout>
      <c:overlay val="0"/>
      <c:spPr>
        <a:noFill/>
        <a:ln>
          <a:noFill/>
        </a:ln>
        <a:effectLst/>
      </c:spPr>
    </c:title>
    <c:autoTitleDeleted val="0"/>
    <c:plotArea>
      <c:layout/>
      <c:pieChart>
        <c:varyColors val="1"/>
        <c:ser>
          <c:idx val="0"/>
          <c:order val="0"/>
          <c:tx>
            <c:strRef>
              <c:f>'[新建 Microsoft Excel 97-2003 工作表.xls]Sheet1'!$A$9</c:f>
              <c:strCache>
                <c:ptCount val="1"/>
                <c:pt idx="0">
                  <c:v>本年财政拨款收入</c:v>
                </c:pt>
              </c:strCache>
            </c:strRef>
          </c:tx>
          <c:explosion val="0"/>
          <c:dPt>
            <c:idx val="0"/>
            <c:bubble3D val="0"/>
            <c:spPr>
              <a:solidFill>
                <a:schemeClr val="accent1"/>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725.84</a:t>
                    </a:r>
                    <a:endParaRPr lang="en-US" altLang="zh-CN"/>
                  </a:p>
                  <a:p>
                    <a:pPr>
                      <a:defRPr lang="zh-CN" sz="900" b="0" i="0" u="none" strike="noStrike" kern="1200" baseline="0">
                        <a:solidFill>
                          <a:schemeClr val="tx1">
                            <a:lumMod val="75000"/>
                            <a:lumOff val="25000"/>
                          </a:schemeClr>
                        </a:solidFill>
                        <a:latin typeface="+mn-lt"/>
                        <a:ea typeface="+mn-ea"/>
                        <a:cs typeface="+mn-cs"/>
                      </a:defRPr>
                    </a:pPr>
                    <a:r>
                      <a:t>100%</a:t>
                    </a:r>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val>
            <c:numRef>
              <c:f>'[新建 Microsoft Excel 97-2003 工作表.xls]Sheet1'!$B$9</c:f>
              <c:numCache>
                <c:formatCode>General</c:formatCode>
                <c:ptCount val="1"/>
                <c:pt idx="0">
                  <c:v>725.84</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'[新建 Microsoft Excel 97-2003 工作表.xls]Sheet1'!$A$14:$B$14</c:f>
              <c:strCache>
                <c:ptCount val="2"/>
                <c:pt idx="0">
                  <c:v>基本支出:611.56</c:v>
                </c:pt>
                <c:pt idx="1">
                  <c:v>项目支出:208.56</c:v>
                </c:pt>
              </c:strCache>
            </c:strRef>
          </c:cat>
          <c:val>
            <c:numRef>
              <c:f>'[新建 Microsoft Excel 97-2003 工作表.xls]Sheet1'!$A$15:$B$15</c:f>
              <c:numCache>
                <c:formatCode>#,##0.00</c:formatCode>
                <c:ptCount val="2"/>
                <c:pt idx="0">
                  <c:v>611.56</c:v>
                </c:pt>
                <c:pt idx="1">
                  <c:v>208.56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287943552593149"/>
          <c:y val="0.14023609828665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财政拨款收、支决算总计变动情况图</a:t>
            </a:r>
          </a:p>
        </c:rich>
      </c:tx>
      <c:layout>
        <c:manualLayout>
          <c:xMode val="edge"/>
          <c:yMode val="edge"/>
          <c:x val="0.218975616401035"/>
          <c:y val="0.0309198660139139"/>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'[新建 Microsoft Excel 97-2003 工作表.xls]Sheet1'!$C$3:$C$6</c:f>
              <c:strCache>
                <c:ptCount val="4"/>
                <c:pt idx="0">
                  <c:v>本年度</c:v>
                </c:pt>
                <c:pt idx="1">
                  <c:v>上年度</c:v>
                </c:pt>
                <c:pt idx="2">
                  <c:v>比上年增减</c:v>
                </c:pt>
                <c:pt idx="3">
                  <c:v>增减％</c:v>
                </c:pt>
              </c:strCache>
            </c:strRef>
          </c:cat>
          <c:val>
            <c:numRef>
              <c:f>'[新建 Microsoft Excel 97-2003 工作表.xls]Sheet1'!$D$3:$D$6</c:f>
              <c:numCache>
                <c:formatCode>General</c:formatCode>
                <c:ptCount val="4"/>
                <c:pt idx="0">
                  <c:v>808.18</c:v>
                </c:pt>
                <c:pt idx="1">
                  <c:v>826.69</c:v>
                </c:pt>
                <c:pt idx="2">
                  <c:v>-18.5100000000001</c:v>
                </c:pt>
                <c:pt idx="3" c:formatCode="0.00_ ">
                  <c:v>-2.23</c:v>
                </c:pt>
              </c:numCache>
            </c:numRef>
          </c:val>
        </c:ser>
        <c:dLbls>
          <c:showLegendKey val="0"/>
          <c:showVal val="0"/>
          <c:showCatName val="0"/>
          <c:showSerName val="0"/>
          <c:showPercent val="0"/>
          <c:showBubbleSize val="0"/>
        </c:dLbls>
        <c:gapWidth val="150"/>
        <c:axId val="87694720"/>
        <c:axId val="87704704"/>
      </c:barChart>
      <c:catAx>
        <c:axId val="8769472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704704"/>
        <c:crosses val="autoZero"/>
        <c:auto val="1"/>
        <c:lblAlgn val="ctr"/>
        <c:lblOffset val="100"/>
        <c:noMultiLvlLbl val="0"/>
      </c:catAx>
      <c:valAx>
        <c:axId val="8770470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694720"/>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194444444444"/>
          <c:y val="0.0511627906976744"/>
          <c:w val="0.894638888888889"/>
          <c:h val="0.73079069767442"/>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'[新建 Microsoft Excel 97-2003 工作表.xls]Sheet1'!$C$3:$C$6</c:f>
              <c:strCache>
                <c:ptCount val="4"/>
                <c:pt idx="0">
                  <c:v>本年度</c:v>
                </c:pt>
                <c:pt idx="1">
                  <c:v>上年度</c:v>
                </c:pt>
                <c:pt idx="2">
                  <c:v>比上年增减</c:v>
                </c:pt>
                <c:pt idx="3">
                  <c:v>增减％</c:v>
                </c:pt>
              </c:strCache>
            </c:strRef>
          </c:cat>
          <c:val>
            <c:numRef>
              <c:f>'[新建 Microsoft Excel 97-2003 工作表.xls]Sheet1'!$D$3:$D$6</c:f>
            </c:numRef>
          </c:val>
        </c:ser>
        <c:ser>
          <c:idx val="1"/>
          <c:order val="1"/>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'[新建 Microsoft Excel 97-2003 工作表.xls]Sheet1'!$C$3:$C$6</c:f>
              <c:strCache>
                <c:ptCount val="4"/>
                <c:pt idx="0">
                  <c:v>本年度</c:v>
                </c:pt>
                <c:pt idx="1">
                  <c:v>上年度</c:v>
                </c:pt>
                <c:pt idx="2">
                  <c:v>比上年增减</c:v>
                </c:pt>
                <c:pt idx="3">
                  <c:v>增减％</c:v>
                </c:pt>
              </c:strCache>
            </c:strRef>
          </c:cat>
          <c:val>
            <c:numRef>
              <c:f>'[新建 Microsoft Excel 97-2003 工作表.xls]Sheet1'!$E$3:$E$6</c:f>
              <c:numCache>
                <c:formatCode>General</c:formatCode>
                <c:ptCount val="4"/>
                <c:pt idx="0">
                  <c:v>808.15</c:v>
                </c:pt>
                <c:pt idx="1">
                  <c:v>733.27</c:v>
                </c:pt>
                <c:pt idx="2">
                  <c:v>74.88</c:v>
                </c:pt>
                <c:pt idx="3">
                  <c:v>10.21</c:v>
                </c:pt>
              </c:numCache>
            </c:numRef>
          </c:val>
        </c:ser>
        <c:dLbls>
          <c:showLegendKey val="0"/>
          <c:showVal val="1"/>
          <c:showCatName val="0"/>
          <c:showSerName val="0"/>
          <c:showPercent val="0"/>
          <c:showBubbleSize val="0"/>
        </c:dLbls>
        <c:gapWidth val="75"/>
        <c:axId val="87731584"/>
        <c:axId val="87749760"/>
      </c:barChart>
      <c:catAx>
        <c:axId val="8773158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749760"/>
        <c:crosses val="autoZero"/>
        <c:auto val="1"/>
        <c:lblAlgn val="ctr"/>
        <c:lblOffset val="100"/>
        <c:noMultiLvlLbl val="0"/>
      </c:catAx>
      <c:valAx>
        <c:axId val="87749760"/>
        <c:scaling>
          <c:orientation val="minMax"/>
        </c:scaling>
        <c:delete val="0"/>
        <c:axPos val="l"/>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73158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一般公共预算财政拨款支出决算结构图</a:t>
            </a:r>
          </a:p>
        </c:rich>
      </c:tx>
      <c:layout/>
      <c:overlay val="0"/>
      <c:spPr>
        <a:noFill/>
        <a:ln>
          <a:noFill/>
        </a:ln>
        <a:effectLst/>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'[新建 Microsoft Excel 97-2003 工作表.xls]Sheet1'!$F$2:$F$4</c:f>
              <c:strCache>
                <c:ptCount val="3"/>
                <c:pt idx="0">
                  <c:v>社会保障和就业支出59.51</c:v>
                </c:pt>
                <c:pt idx="1">
                  <c:v>卫生健康支出705.76</c:v>
                </c:pt>
                <c:pt idx="2">
                  <c:v>住房保障支出42.87</c:v>
                </c:pt>
              </c:strCache>
            </c:strRef>
          </c:cat>
          <c:val>
            <c:numRef>
              <c:f>'[新建 Microsoft Excel 97-2003 工作表.xls]Sheet1'!$G$2:$G$4</c:f>
              <c:numCache>
                <c:formatCode>#,##0.00</c:formatCode>
                <c:ptCount val="3"/>
                <c:pt idx="0">
                  <c:v>59.51</c:v>
                </c:pt>
                <c:pt idx="1">
                  <c:v>705.77</c:v>
                </c:pt>
                <c:pt idx="2">
                  <c:v>42.87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“三公”经费财政拨款支出结构图</a:t>
            </a:r>
          </a:p>
        </c:rich>
      </c:tx>
      <c:layout/>
      <c:overlay val="0"/>
      <c:spPr>
        <a:noFill/>
        <a:ln>
          <a:noFill/>
        </a:ln>
        <a:effectLst/>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'[新建 Microsoft Excel 97-2003 工作表.xls]Sheet1'!$A$17:$A$18</c:f>
              <c:strCache>
                <c:ptCount val="2"/>
                <c:pt idx="0">
                  <c:v>公务用车运行费2.22
</c:v>
                </c:pt>
                <c:pt idx="1">
                  <c:v>公务接待费0.4</c:v>
                </c:pt>
              </c:strCache>
            </c:strRef>
          </c:cat>
          <c:val>
            <c:numRef>
              <c:f>'[新建 Microsoft Excel 97-2003 工作表.xls]Sheet1'!$B$17:$B$18</c:f>
              <c:numCache>
                <c:formatCode>#,##0.00</c:formatCode>
                <c:ptCount val="2"/>
                <c:pt idx="0">
                  <c:v>2.22</c:v>
                </c:pt>
                <c:pt idx="1">
                  <c:v>0.4</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35</Pages>
  <Words>2792</Words>
  <Characters>15916</Characters>
  <Lines>132</Lines>
  <Paragraphs>37</Paragraphs>
  <TotalTime>2</TotalTime>
  <ScaleCrop>false</ScaleCrop>
  <LinksUpToDate>false</LinksUpToDate>
  <CharactersWithSpaces>18671</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2020-08-07T17:49:00Z</dcterms:created>
  <dc:creator>曹颖</dc:creator>
  <cp:lastModifiedBy>user</cp:lastModifiedBy>
  <cp:lastPrinted>2022-09-01T17:17:00Z</cp:lastPrinted>
  <dcterms:modified xsi:type="dcterms:W3CDTF">2025-08-18T08:50:39Z</dcterms:modified>
  <dc:title>四川省***</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73951399750A89C9FC6B5A684B88B66C</vt:lpwstr>
  </property>
</Properties>
</file>