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bCs/>
          <w:sz w:val="32"/>
          <w:szCs w:val="32"/>
        </w:rPr>
      </w:pPr>
      <w:r>
        <w:rPr>
          <w:rFonts w:hint="eastAsia" w:ascii="黑体" w:eastAsia="黑体"/>
          <w:bCs/>
          <w:sz w:val="32"/>
          <w:szCs w:val="32"/>
        </w:rPr>
        <w:t>附件4</w:t>
      </w:r>
    </w:p>
    <w:p>
      <w:pPr>
        <w:jc w:val="center"/>
        <w:rPr>
          <w:rFonts w:hint="eastAsia" w:ascii="方正小标宋_GBK" w:eastAsia="方正小标宋_GBK"/>
          <w:b/>
          <w:bCs/>
          <w:sz w:val="36"/>
          <w:szCs w:val="44"/>
        </w:rPr>
      </w:pPr>
      <w:r>
        <w:rPr>
          <w:rFonts w:hint="eastAsia" w:ascii="方正小标宋_GBK" w:eastAsia="方正小标宋_GBK"/>
          <w:b/>
          <w:bCs/>
          <w:sz w:val="36"/>
          <w:szCs w:val="44"/>
        </w:rPr>
        <w:t>攀枝花市卫生健康委员会</w:t>
      </w:r>
    </w:p>
    <w:p>
      <w:pPr>
        <w:jc w:val="center"/>
        <w:rPr>
          <w:rFonts w:hint="eastAsia" w:ascii="方正小标宋_GBK" w:eastAsia="方正小标宋_GBK" w:cs="宋体"/>
          <w:b/>
          <w:bCs/>
          <w:sz w:val="36"/>
          <w:szCs w:val="44"/>
        </w:rPr>
      </w:pPr>
      <w:r>
        <w:rPr>
          <w:rFonts w:hint="eastAsia" w:ascii="方正小标宋_GBK" w:eastAsia="方正小标宋_GBK" w:cs="Arial"/>
          <w:b/>
          <w:bCs/>
          <w:sz w:val="36"/>
          <w:szCs w:val="44"/>
        </w:rPr>
        <w:t>2021</w:t>
      </w:r>
      <w:r>
        <w:rPr>
          <w:rFonts w:hint="eastAsia" w:ascii="方正小标宋_GBK" w:eastAsia="方正小标宋_GBK" w:cs="宋体"/>
          <w:b/>
          <w:bCs/>
          <w:sz w:val="36"/>
          <w:szCs w:val="44"/>
        </w:rPr>
        <w:t>年度项目（政策）绩效自评报告</w:t>
      </w:r>
    </w:p>
    <w:p>
      <w:pPr>
        <w:jc w:val="center"/>
        <w:rPr>
          <w:rFonts w:hint="eastAsia" w:ascii="方正楷体_GBK" w:eastAsia="方正楷体_GBK"/>
          <w:b/>
          <w:bCs/>
          <w:szCs w:val="32"/>
        </w:rPr>
      </w:pPr>
      <w:r>
        <w:rPr>
          <w:rFonts w:hint="eastAsia" w:ascii="方正楷体_GBK" w:eastAsia="方正楷体_GBK"/>
          <w:b/>
          <w:bCs/>
          <w:szCs w:val="32"/>
        </w:rPr>
        <w:t>（中央资金）</w:t>
      </w:r>
    </w:p>
    <w:p>
      <w:pPr>
        <w:jc w:val="center"/>
        <w:rPr>
          <w:rFonts w:ascii="仿宋_GB2312"/>
          <w:bCs/>
          <w:szCs w:val="32"/>
        </w:rPr>
      </w:pPr>
    </w:p>
    <w:p>
      <w:pPr>
        <w:ind w:firstLine="600" w:firstLineChars="200"/>
        <w:rPr>
          <w:rFonts w:hint="eastAsia" w:ascii="方正黑体_GBK" w:eastAsia="方正黑体_GBK"/>
          <w:bCs/>
          <w:szCs w:val="30"/>
        </w:rPr>
      </w:pPr>
      <w:r>
        <w:rPr>
          <w:rFonts w:hint="eastAsia" w:ascii="方正黑体_GBK" w:eastAsia="方正黑体_GBK"/>
          <w:bCs/>
          <w:szCs w:val="30"/>
        </w:rPr>
        <w:t>一、绩效目标完成情况分析</w:t>
      </w:r>
    </w:p>
    <w:p>
      <w:pPr>
        <w:ind w:firstLine="602" w:firstLineChars="200"/>
        <w:outlineLvl w:val="0"/>
        <w:rPr>
          <w:rFonts w:hint="eastAsia" w:ascii="方正楷体_GBK" w:eastAsia="方正楷体_GBK"/>
          <w:b/>
          <w:bCs/>
          <w:szCs w:val="30"/>
        </w:rPr>
      </w:pPr>
      <w:r>
        <w:rPr>
          <w:rFonts w:hint="eastAsia" w:ascii="方正楷体_GBK" w:eastAsia="方正楷体_GBK"/>
          <w:b/>
          <w:bCs/>
          <w:szCs w:val="30"/>
        </w:rPr>
        <w:t>（一）资金投入情况分析</w:t>
      </w:r>
    </w:p>
    <w:p>
      <w:pPr>
        <w:ind w:firstLine="600" w:firstLineChars="200"/>
        <w:outlineLvl w:val="0"/>
        <w:rPr>
          <w:rFonts w:eastAsia="方正仿宋_GBK"/>
          <w:szCs w:val="30"/>
        </w:rPr>
      </w:pPr>
      <w:r>
        <w:rPr>
          <w:rFonts w:eastAsia="方正仿宋_GBK"/>
          <w:szCs w:val="30"/>
        </w:rPr>
        <w:t>2021年，我市中央资金涉及六大类项目，分别是计划生育转移支付资金、重大传染病防治、基本公共卫生服务、实施国家基本药物制度补助资金、医疗服务与保障能力提升、疾病应急救助补助资金。六大类项目中央资金执行情况如下：</w:t>
      </w:r>
    </w:p>
    <w:tbl>
      <w:tblPr>
        <w:tblStyle w:val="8"/>
        <w:tblW w:w="8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2581"/>
        <w:gridCol w:w="1659"/>
        <w:gridCol w:w="1865"/>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序号</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项目</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中央下达资金（万元）</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执行数（万元）</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1</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计划生育转移支付资金</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2196.55</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2195.99</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2</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重大传染病防治</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1616.56</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800.11</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49.49%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3</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基本公共卫生服务</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8440.75</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8094.66</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95.90%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4</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实施国家基本药物制度补助资金</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1015.22</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1015.02</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5</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医疗服务与保障能力提升</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3652.2</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3457.11</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94.66%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6</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疾病应急救助补助资金</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46.15</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0</w:t>
            </w:r>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eastAsia="方正仿宋_GBK"/>
                <w:sz w:val="24"/>
              </w:rPr>
            </w:pPr>
            <w:r>
              <w:rPr>
                <w:rFonts w:eastAsia="方正仿宋_GBK"/>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hint="default" w:eastAsia="方正仿宋_GBK"/>
                <w:sz w:val="24"/>
                <w:lang w:val="en"/>
              </w:rPr>
            </w:pPr>
            <w:r>
              <w:rPr>
                <w:rFonts w:hint="default" w:eastAsia="方正仿宋_GBK"/>
                <w:sz w:val="24"/>
                <w:lang w:val="en"/>
              </w:rPr>
              <w:t>7</w:t>
            </w:r>
          </w:p>
        </w:tc>
        <w:tc>
          <w:tcPr>
            <w:tcW w:w="2581"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hint="eastAsia" w:eastAsia="方正仿宋_GBK"/>
                <w:sz w:val="24"/>
                <w:lang w:val="en" w:eastAsia="zh-CN"/>
              </w:rPr>
            </w:pPr>
            <w:r>
              <w:rPr>
                <w:rFonts w:hint="default" w:eastAsia="方正仿宋_GBK"/>
                <w:sz w:val="24"/>
                <w:lang w:val="en"/>
              </w:rPr>
              <w:t xml:space="preserve"> </w:t>
            </w:r>
            <w:r>
              <w:rPr>
                <w:rFonts w:hint="eastAsia" w:eastAsia="方正仿宋_GBK"/>
                <w:sz w:val="24"/>
                <w:lang w:val="en" w:eastAsia="zh-CN"/>
              </w:rPr>
              <w:t>合计：</w:t>
            </w:r>
          </w:p>
        </w:tc>
        <w:tc>
          <w:tcPr>
            <w:tcW w:w="1659"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hint="default" w:eastAsia="方正仿宋_GBK"/>
                <w:sz w:val="24"/>
                <w:lang w:val="en-US" w:eastAsia="zh-CN"/>
              </w:rPr>
            </w:pPr>
            <w:r>
              <w:rPr>
                <w:rFonts w:hint="eastAsia" w:eastAsia="方正仿宋_GBK"/>
                <w:sz w:val="24"/>
                <w:lang w:val="en-US" w:eastAsia="zh-CN"/>
              </w:rPr>
              <w:t>16967.43</w:t>
            </w:r>
          </w:p>
        </w:tc>
        <w:tc>
          <w:tcPr>
            <w:tcW w:w="1865"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hint="default" w:eastAsia="方正仿宋_GBK"/>
                <w:sz w:val="24"/>
                <w:lang w:val="en-US" w:eastAsia="zh-CN"/>
              </w:rPr>
            </w:pPr>
            <w:r>
              <w:rPr>
                <w:rFonts w:hint="eastAsia" w:eastAsia="方正仿宋_GBK"/>
                <w:sz w:val="24"/>
                <w:lang w:val="en-US" w:eastAsia="zh-CN"/>
              </w:rPr>
              <w:t>15562.89</w:t>
            </w:r>
            <w:bookmarkStart w:id="0" w:name="_GoBack"/>
            <w:bookmarkEnd w:id="0"/>
          </w:p>
        </w:tc>
        <w:tc>
          <w:tcPr>
            <w:tcW w:w="1673" w:type="dxa"/>
            <w:vAlign w:val="center"/>
          </w:tcPr>
          <w:p>
            <w:pPr>
              <w:pBdr>
                <w:top w:val="none" w:color="auto" w:sz="0" w:space="0"/>
                <w:left w:val="none" w:color="auto" w:sz="0" w:space="0"/>
                <w:bottom w:val="none" w:color="auto" w:sz="0" w:space="0"/>
                <w:right w:val="none" w:color="auto" w:sz="0" w:space="0"/>
              </w:pBdr>
              <w:spacing w:line="400" w:lineRule="exact"/>
              <w:jc w:val="center"/>
              <w:outlineLvl w:val="0"/>
              <w:rPr>
                <w:rFonts w:hint="default" w:eastAsia="方正仿宋_GBK"/>
                <w:sz w:val="24"/>
                <w:lang w:val="en-US" w:eastAsia="zh-CN"/>
              </w:rPr>
            </w:pPr>
            <w:r>
              <w:rPr>
                <w:rFonts w:hint="eastAsia" w:eastAsia="方正仿宋_GBK"/>
                <w:sz w:val="24"/>
                <w:lang w:val="en-US" w:eastAsia="zh-CN"/>
              </w:rPr>
              <w:t>91.72%</w:t>
            </w:r>
          </w:p>
        </w:tc>
      </w:tr>
    </w:tbl>
    <w:p>
      <w:pPr>
        <w:ind w:firstLine="600" w:firstLineChars="200"/>
        <w:outlineLvl w:val="0"/>
        <w:rPr>
          <w:rFonts w:eastAsia="方正仿宋_GBK"/>
          <w:szCs w:val="30"/>
        </w:rPr>
      </w:pPr>
    </w:p>
    <w:p>
      <w:pPr>
        <w:ind w:firstLine="602" w:firstLineChars="200"/>
        <w:outlineLvl w:val="0"/>
        <w:rPr>
          <w:rFonts w:hint="eastAsia" w:ascii="方正楷体_GBK" w:eastAsia="方正楷体_GBK"/>
          <w:b/>
          <w:bCs/>
          <w:szCs w:val="30"/>
        </w:rPr>
      </w:pPr>
      <w:r>
        <w:rPr>
          <w:rFonts w:hint="eastAsia" w:ascii="方正楷体_GBK" w:eastAsia="方正楷体_GBK"/>
          <w:b/>
          <w:bCs/>
          <w:szCs w:val="30"/>
        </w:rPr>
        <w:t>（二）总体绩效目标完成情况分析</w:t>
      </w:r>
    </w:p>
    <w:p>
      <w:pPr>
        <w:ind w:firstLine="602" w:firstLineChars="200"/>
        <w:outlineLvl w:val="0"/>
        <w:rPr>
          <w:rFonts w:eastAsia="方正仿宋_GBK"/>
          <w:b/>
          <w:bCs/>
          <w:szCs w:val="30"/>
        </w:rPr>
      </w:pPr>
      <w:r>
        <w:rPr>
          <w:rFonts w:eastAsia="方正仿宋_GBK"/>
          <w:b/>
          <w:bCs/>
          <w:szCs w:val="30"/>
        </w:rPr>
        <w:t>1.计划生育转移支付资金</w:t>
      </w:r>
    </w:p>
    <w:p>
      <w:pPr>
        <w:ind w:firstLine="600" w:firstLineChars="200"/>
        <w:outlineLvl w:val="0"/>
        <w:rPr>
          <w:rFonts w:eastAsia="方正仿宋_GBK"/>
          <w:szCs w:val="30"/>
        </w:rPr>
      </w:pPr>
      <w:r>
        <w:rPr>
          <w:rFonts w:eastAsia="方正仿宋_GBK"/>
          <w:szCs w:val="30"/>
        </w:rPr>
        <w:t>该项目的实施解决了农村独生子女和双女家庭的养老问题，提高了家庭发展能力；缓解了计划生育特殊家庭在生产、生活、医疗和养老等方面的困难，进一步保障和改善民生，促进社会和谐。</w:t>
      </w:r>
    </w:p>
    <w:p>
      <w:pPr>
        <w:ind w:firstLine="602" w:firstLineChars="200"/>
        <w:outlineLvl w:val="0"/>
        <w:rPr>
          <w:rFonts w:eastAsia="方正仿宋_GBK"/>
          <w:b/>
          <w:bCs/>
          <w:szCs w:val="30"/>
        </w:rPr>
      </w:pPr>
      <w:r>
        <w:rPr>
          <w:rFonts w:eastAsia="方正仿宋_GBK"/>
          <w:b/>
          <w:bCs/>
          <w:szCs w:val="30"/>
        </w:rPr>
        <w:t>2.重大传染病防治</w:t>
      </w:r>
    </w:p>
    <w:p>
      <w:pPr>
        <w:ind w:firstLine="600" w:firstLineChars="200"/>
        <w:outlineLvl w:val="0"/>
        <w:rPr>
          <w:rFonts w:eastAsia="方正仿宋_GBK"/>
          <w:szCs w:val="30"/>
        </w:rPr>
      </w:pPr>
      <w:r>
        <w:rPr>
          <w:rFonts w:eastAsia="方正仿宋_GBK"/>
          <w:szCs w:val="30"/>
        </w:rPr>
        <w:t>完成0-6岁适龄儿童常规接种；持续减少艾滋病新发感染，降低艾滋病病死率，全国艾滋病疫情继续控制在低流行水平；进一步减少结核感染、患病和死亡，切实降低结核病疾病负担；持续巩固全省血吸虫病消除成果，提高人民群众健康水平；开展重大慢性病早期筛查干预项目，落实慢性病及其相关危险因素监测；加强严重精神障碍患者筛查、登记报告随访服务；分别完成以新冠肺炎为主的病毒性传染病监测、基于国家致病性识别网的细菌性传染病监测、重点区域病媒生物监测。</w:t>
      </w:r>
    </w:p>
    <w:p>
      <w:pPr>
        <w:ind w:firstLine="602" w:firstLineChars="200"/>
        <w:outlineLvl w:val="0"/>
        <w:rPr>
          <w:rFonts w:eastAsia="方正仿宋_GBK"/>
          <w:b/>
          <w:bCs/>
          <w:szCs w:val="30"/>
        </w:rPr>
      </w:pPr>
      <w:r>
        <w:rPr>
          <w:rFonts w:eastAsia="方正仿宋_GBK"/>
          <w:b/>
          <w:bCs/>
          <w:szCs w:val="30"/>
        </w:rPr>
        <w:t>3.基本公共卫生服务</w:t>
      </w:r>
    </w:p>
    <w:p>
      <w:pPr>
        <w:ind w:firstLine="600" w:firstLineChars="200"/>
        <w:outlineLvl w:val="0"/>
        <w:rPr>
          <w:rFonts w:eastAsia="方正仿宋_GBK"/>
          <w:szCs w:val="30"/>
        </w:rPr>
      </w:pPr>
      <w:r>
        <w:rPr>
          <w:rFonts w:eastAsia="方正仿宋_GBK"/>
          <w:szCs w:val="30"/>
        </w:rPr>
        <w:t>免费向城乡居民提供基本公共卫生服务；通过监测职业性尘肺病等职业病，研究分析我省重点职业病的发病特点、变化趋势和规律，逐步摸清职业性尘肺病等重点职业病底数，为制定职业病防治有关政策、法规和标准提供科学依据；开展尘肺病康复站建设工作，确保基层患者得到及时有效的康复治疗，改善生活质量，提高生活水平；开展对重点疾病及危害因素监测，有效控制疾病流行，为制定相关政策提供科学依据；推进妇幼卫生、健康素养促进、医养结合和老年健康服务、卫生应急、计划生育等方面工作。</w:t>
      </w:r>
    </w:p>
    <w:p>
      <w:pPr>
        <w:ind w:firstLine="602" w:firstLineChars="200"/>
        <w:outlineLvl w:val="0"/>
        <w:rPr>
          <w:rFonts w:eastAsia="方正仿宋_GBK"/>
          <w:b/>
          <w:bCs/>
          <w:szCs w:val="30"/>
        </w:rPr>
      </w:pPr>
      <w:r>
        <w:rPr>
          <w:rFonts w:eastAsia="方正仿宋_GBK"/>
          <w:b/>
          <w:bCs/>
          <w:szCs w:val="30"/>
        </w:rPr>
        <w:t>4.实施国家基本药物制度补助资金</w:t>
      </w:r>
    </w:p>
    <w:p>
      <w:pPr>
        <w:ind w:firstLine="600" w:firstLineChars="200"/>
        <w:outlineLvl w:val="0"/>
        <w:rPr>
          <w:rFonts w:eastAsia="方正仿宋_GBK"/>
          <w:szCs w:val="30"/>
        </w:rPr>
      </w:pPr>
      <w:r>
        <w:rPr>
          <w:rFonts w:eastAsia="方正仿宋_GBK"/>
          <w:szCs w:val="30"/>
        </w:rPr>
        <w:t>所有政府办基层医疗卫生机构实施国家基本药物制度，推进综合改革顺利进行；对实施基本药物制度的村卫生室给予补助，支持国家基本药物制度在村卫生室顺利实施。</w:t>
      </w:r>
    </w:p>
    <w:p>
      <w:pPr>
        <w:ind w:firstLine="602" w:firstLineChars="200"/>
        <w:outlineLvl w:val="0"/>
        <w:rPr>
          <w:rFonts w:eastAsia="方正仿宋_GBK"/>
          <w:b/>
          <w:bCs/>
          <w:szCs w:val="30"/>
        </w:rPr>
      </w:pPr>
      <w:r>
        <w:rPr>
          <w:rFonts w:eastAsia="方正仿宋_GBK"/>
          <w:b/>
          <w:bCs/>
          <w:szCs w:val="30"/>
        </w:rPr>
        <w:t>5.医疗服务与保障能力提升</w:t>
      </w:r>
    </w:p>
    <w:p>
      <w:pPr>
        <w:ind w:firstLine="600" w:firstLineChars="200"/>
        <w:outlineLvl w:val="0"/>
        <w:rPr>
          <w:rFonts w:eastAsia="方正仿宋_GBK"/>
          <w:szCs w:val="30"/>
        </w:rPr>
      </w:pPr>
      <w:r>
        <w:rPr>
          <w:rFonts w:eastAsia="方正仿宋_GBK"/>
          <w:szCs w:val="30"/>
        </w:rPr>
        <w:t>加强基层应对新冠肺炎等重大疫情防控能力，进一步提高基层卫生人员对常见病、多发病的诊疗能力以及实操能力，提高基层医疗卫生机构尘肺病患者救治水平和康复工作成效。</w:t>
      </w:r>
    </w:p>
    <w:p>
      <w:pPr>
        <w:ind w:firstLine="600" w:firstLineChars="200"/>
        <w:outlineLvl w:val="0"/>
        <w:rPr>
          <w:rFonts w:eastAsia="方正仿宋_GBK"/>
          <w:szCs w:val="30"/>
        </w:rPr>
      </w:pPr>
      <w:r>
        <w:rPr>
          <w:rFonts w:eastAsia="方正仿宋_GBK"/>
          <w:szCs w:val="30"/>
        </w:rPr>
        <w:t>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w:t>
      </w:r>
    </w:p>
    <w:p>
      <w:pPr>
        <w:ind w:firstLine="600" w:firstLineChars="200"/>
        <w:outlineLvl w:val="0"/>
        <w:rPr>
          <w:rFonts w:eastAsia="方正仿宋_GBK"/>
          <w:szCs w:val="30"/>
        </w:rPr>
      </w:pPr>
      <w:r>
        <w:rPr>
          <w:rFonts w:eastAsia="方正仿宋_GBK"/>
          <w:szCs w:val="30"/>
        </w:rPr>
        <w:t>深化公立医院综合改革，协调推进药品耗材改革、人事薪酬制度改革等，提高医疗卫生服务质量，提升患者满意度。</w:t>
      </w:r>
    </w:p>
    <w:p>
      <w:pPr>
        <w:ind w:firstLine="602" w:firstLineChars="200"/>
        <w:outlineLvl w:val="0"/>
        <w:rPr>
          <w:rFonts w:eastAsia="方正仿宋_GBK"/>
          <w:b/>
          <w:bCs/>
          <w:szCs w:val="30"/>
        </w:rPr>
      </w:pPr>
      <w:r>
        <w:rPr>
          <w:rFonts w:eastAsia="方正仿宋_GBK"/>
          <w:b/>
          <w:bCs/>
          <w:szCs w:val="30"/>
        </w:rPr>
        <w:t>6.疾病应急救助补助资金</w:t>
      </w:r>
    </w:p>
    <w:p>
      <w:pPr>
        <w:ind w:firstLine="600" w:firstLineChars="200"/>
        <w:outlineLvl w:val="0"/>
        <w:rPr>
          <w:rFonts w:eastAsia="方正仿宋_GBK"/>
          <w:szCs w:val="30"/>
        </w:rPr>
      </w:pPr>
      <w:r>
        <w:rPr>
          <w:rFonts w:eastAsia="方正仿宋_GBK"/>
          <w:szCs w:val="30"/>
        </w:rPr>
        <w:t>身份不明或无力支付费用的急危重伤病患者得到及时、有效的救助；补助医疗机构资金及时拨付到位。</w:t>
      </w:r>
    </w:p>
    <w:p>
      <w:pPr>
        <w:ind w:firstLine="602" w:firstLineChars="200"/>
        <w:outlineLvl w:val="0"/>
        <w:rPr>
          <w:rFonts w:hint="eastAsia" w:ascii="方正楷体_GBK" w:eastAsia="方正楷体_GBK"/>
          <w:szCs w:val="30"/>
        </w:rPr>
      </w:pPr>
      <w:r>
        <w:rPr>
          <w:rFonts w:hint="eastAsia" w:ascii="方正楷体_GBK" w:eastAsia="方正楷体_GBK"/>
          <w:b/>
          <w:bCs/>
          <w:szCs w:val="30"/>
        </w:rPr>
        <w:t>（三）绩效指标完成情况分析</w:t>
      </w:r>
    </w:p>
    <w:p>
      <w:pPr>
        <w:ind w:firstLine="602" w:firstLineChars="200"/>
        <w:outlineLvl w:val="0"/>
        <w:rPr>
          <w:rFonts w:eastAsia="方正仿宋_GBK"/>
          <w:b/>
          <w:bCs/>
          <w:szCs w:val="30"/>
        </w:rPr>
      </w:pPr>
      <w:r>
        <w:rPr>
          <w:rFonts w:eastAsia="方正仿宋_GBK"/>
          <w:b/>
          <w:bCs/>
          <w:szCs w:val="30"/>
        </w:rPr>
        <w:t>1.计划生育转移支付资金</w:t>
      </w:r>
    </w:p>
    <w:p>
      <w:pPr>
        <w:ind w:firstLine="600" w:firstLineChars="200"/>
        <w:outlineLvl w:val="0"/>
        <w:rPr>
          <w:rFonts w:eastAsia="方正仿宋_GBK"/>
          <w:szCs w:val="30"/>
        </w:rPr>
      </w:pPr>
      <w:r>
        <w:rPr>
          <w:rFonts w:eastAsia="方正仿宋_GBK"/>
          <w:szCs w:val="30"/>
        </w:rPr>
        <w:t>数量指标：扶助计划生育特别扶助（其他）人数、扶助独生子女伤残家庭人数、扶助独生子女死亡家庭人数、农村部分计划生育家庭奖励扶助人数、少生快富工程奖励家庭数量完成率均为100%。</w:t>
      </w:r>
    </w:p>
    <w:p>
      <w:pPr>
        <w:ind w:firstLine="600" w:firstLineChars="200"/>
        <w:outlineLvl w:val="0"/>
        <w:rPr>
          <w:rFonts w:eastAsia="方正仿宋_GBK"/>
          <w:szCs w:val="30"/>
        </w:rPr>
      </w:pPr>
      <w:r>
        <w:rPr>
          <w:rFonts w:eastAsia="方正仿宋_GBK"/>
          <w:szCs w:val="30"/>
        </w:rPr>
        <w:t>质量指标：符合条件申报对象覆盖率达到100%。</w:t>
      </w:r>
    </w:p>
    <w:p>
      <w:pPr>
        <w:ind w:firstLine="600" w:firstLineChars="200"/>
        <w:outlineLvl w:val="0"/>
        <w:rPr>
          <w:rFonts w:eastAsia="方正仿宋_GBK"/>
          <w:szCs w:val="30"/>
        </w:rPr>
      </w:pPr>
      <w:r>
        <w:rPr>
          <w:rFonts w:eastAsia="方正仿宋_GBK"/>
          <w:szCs w:val="30"/>
        </w:rPr>
        <w:t>时效指标：奖励和扶助资金到位率达到100%。</w:t>
      </w:r>
    </w:p>
    <w:p>
      <w:pPr>
        <w:ind w:firstLine="600" w:firstLineChars="200"/>
        <w:outlineLvl w:val="0"/>
        <w:rPr>
          <w:rFonts w:eastAsia="方正仿宋_GBK"/>
          <w:szCs w:val="30"/>
        </w:rPr>
      </w:pPr>
      <w:r>
        <w:rPr>
          <w:rFonts w:eastAsia="方正仿宋_GBK"/>
          <w:szCs w:val="30"/>
        </w:rPr>
        <w:t>社会效益：家庭发展能力、社会稳定水平均逐步提高。</w:t>
      </w:r>
    </w:p>
    <w:p>
      <w:pPr>
        <w:ind w:firstLine="602" w:firstLineChars="200"/>
        <w:outlineLvl w:val="0"/>
        <w:rPr>
          <w:rFonts w:eastAsia="方正仿宋_GBK"/>
          <w:b/>
          <w:bCs/>
          <w:szCs w:val="30"/>
        </w:rPr>
      </w:pPr>
      <w:r>
        <w:rPr>
          <w:rFonts w:eastAsia="方正仿宋_GBK"/>
          <w:b/>
          <w:bCs/>
          <w:szCs w:val="30"/>
        </w:rPr>
        <w:t>2.重大传染病防治</w:t>
      </w:r>
    </w:p>
    <w:p>
      <w:pPr>
        <w:ind w:firstLine="600" w:firstLineChars="200"/>
        <w:outlineLvl w:val="0"/>
        <w:rPr>
          <w:rFonts w:eastAsia="方正仿宋_GBK"/>
          <w:szCs w:val="30"/>
        </w:rPr>
      </w:pPr>
      <w:r>
        <w:rPr>
          <w:rFonts w:eastAsia="方正仿宋_GBK"/>
          <w:szCs w:val="30"/>
        </w:rPr>
        <w:t>数量指标：艾滋病免费抗病毒治疗、艾滋病血液样本核酸检测、病原学阳性肺结核患者的密切接触者筛查率、新冠肺炎网络实验室建设任务完成率等指标完成率均为100%。</w:t>
      </w:r>
    </w:p>
    <w:p>
      <w:pPr>
        <w:ind w:firstLine="600" w:firstLineChars="200"/>
        <w:outlineLvl w:val="0"/>
        <w:rPr>
          <w:rFonts w:eastAsia="方正仿宋_GBK"/>
          <w:szCs w:val="30"/>
        </w:rPr>
      </w:pPr>
      <w:r>
        <w:rPr>
          <w:rFonts w:eastAsia="方正仿宋_GBK"/>
          <w:szCs w:val="30"/>
        </w:rPr>
        <w:t>质量指标：以乡镇（街道）为单位适龄儿童国家免疫规划疫苗接种率、病媒生物监测结果分析报告率等指标完成率均为100%。</w:t>
      </w:r>
    </w:p>
    <w:p>
      <w:pPr>
        <w:ind w:firstLine="600" w:firstLineChars="200"/>
        <w:outlineLvl w:val="0"/>
        <w:rPr>
          <w:rFonts w:eastAsia="方正仿宋_GBK"/>
          <w:szCs w:val="30"/>
        </w:rPr>
      </w:pPr>
      <w:r>
        <w:rPr>
          <w:rFonts w:eastAsia="方正仿宋_GBK"/>
          <w:szCs w:val="30"/>
        </w:rPr>
        <w:t>可持续影响指标：居民健康水平持续提高。</w:t>
      </w:r>
    </w:p>
    <w:p>
      <w:pPr>
        <w:ind w:firstLine="602" w:firstLineChars="200"/>
        <w:outlineLvl w:val="0"/>
        <w:rPr>
          <w:rFonts w:eastAsia="方正仿宋_GBK"/>
          <w:b/>
          <w:bCs/>
          <w:szCs w:val="30"/>
        </w:rPr>
      </w:pPr>
      <w:r>
        <w:rPr>
          <w:rFonts w:eastAsia="方正仿宋_GBK"/>
          <w:b/>
          <w:bCs/>
          <w:szCs w:val="30"/>
        </w:rPr>
        <w:t>3.基本公共卫生服务</w:t>
      </w:r>
    </w:p>
    <w:p>
      <w:pPr>
        <w:ind w:firstLine="600" w:firstLineChars="200"/>
        <w:outlineLvl w:val="0"/>
        <w:rPr>
          <w:rFonts w:eastAsia="方正仿宋_GBK"/>
          <w:szCs w:val="30"/>
        </w:rPr>
      </w:pPr>
      <w:r>
        <w:rPr>
          <w:rFonts w:eastAsia="方正仿宋_GBK"/>
          <w:szCs w:val="30"/>
        </w:rPr>
        <w:t>数量指标：适龄儿童国家免疫规划疫苗接种率、职业健康核心指标监测区县覆盖率、完成国家和省级双随机抽查任务、专项整治、3岁以下儿童系统管理率等指标完成率均为100%。</w:t>
      </w:r>
    </w:p>
    <w:p>
      <w:pPr>
        <w:ind w:firstLine="600" w:firstLineChars="200"/>
        <w:outlineLvl w:val="0"/>
        <w:rPr>
          <w:rFonts w:eastAsia="方正仿宋_GBK"/>
          <w:szCs w:val="30"/>
        </w:rPr>
      </w:pPr>
      <w:r>
        <w:rPr>
          <w:rFonts w:eastAsia="方正仿宋_GBK"/>
          <w:szCs w:val="30"/>
        </w:rPr>
        <w:t>质量指标：肺结核患者管理率、传染病及突发公共卫生事件报告率等指标完成率均为100%。</w:t>
      </w:r>
    </w:p>
    <w:p>
      <w:pPr>
        <w:ind w:firstLine="600" w:firstLineChars="200"/>
        <w:outlineLvl w:val="0"/>
        <w:rPr>
          <w:rFonts w:eastAsia="方正仿宋_GBK"/>
          <w:szCs w:val="30"/>
        </w:rPr>
      </w:pPr>
      <w:r>
        <w:rPr>
          <w:rFonts w:eastAsia="方正仿宋_GBK"/>
          <w:szCs w:val="30"/>
        </w:rPr>
        <w:t>社会效益：城乡居民公共卫生服务差距不断缩小。</w:t>
      </w:r>
    </w:p>
    <w:p>
      <w:pPr>
        <w:ind w:firstLine="602" w:firstLineChars="200"/>
        <w:outlineLvl w:val="0"/>
        <w:rPr>
          <w:rFonts w:eastAsia="方正仿宋_GBK"/>
          <w:b/>
          <w:bCs/>
          <w:szCs w:val="30"/>
        </w:rPr>
      </w:pPr>
      <w:r>
        <w:rPr>
          <w:rFonts w:eastAsia="方正仿宋_GBK"/>
          <w:b/>
          <w:bCs/>
          <w:szCs w:val="30"/>
        </w:rPr>
        <w:t>4.实施国家基本药物制度补助资金</w:t>
      </w:r>
    </w:p>
    <w:p>
      <w:pPr>
        <w:ind w:firstLine="600" w:firstLineChars="200"/>
        <w:outlineLvl w:val="0"/>
        <w:rPr>
          <w:rFonts w:eastAsia="方正仿宋_GBK"/>
          <w:szCs w:val="30"/>
        </w:rPr>
      </w:pPr>
      <w:r>
        <w:rPr>
          <w:rFonts w:eastAsia="方正仿宋_GBK"/>
          <w:szCs w:val="30"/>
        </w:rPr>
        <w:t>数量指标：政府办基层医疗卫生机构实施国家基本药物制度覆盖率、村卫生室实施国家基本药物制度覆盖率完成率均为100%。</w:t>
      </w:r>
    </w:p>
    <w:p>
      <w:pPr>
        <w:ind w:firstLine="600" w:firstLineChars="200"/>
        <w:outlineLvl w:val="0"/>
        <w:rPr>
          <w:rFonts w:eastAsia="方正仿宋_GBK"/>
          <w:szCs w:val="30"/>
        </w:rPr>
      </w:pPr>
      <w:r>
        <w:rPr>
          <w:rFonts w:eastAsia="方正仿宋_GBK"/>
          <w:szCs w:val="30"/>
        </w:rPr>
        <w:t>可持续影响指标：国家基本药物制度在基层持续实施。</w:t>
      </w:r>
    </w:p>
    <w:p>
      <w:pPr>
        <w:ind w:firstLine="602" w:firstLineChars="200"/>
        <w:outlineLvl w:val="0"/>
        <w:rPr>
          <w:rFonts w:eastAsia="方正仿宋_GBK"/>
          <w:b/>
          <w:bCs/>
          <w:szCs w:val="30"/>
        </w:rPr>
      </w:pPr>
      <w:r>
        <w:rPr>
          <w:rFonts w:eastAsia="方正仿宋_GBK"/>
          <w:b/>
          <w:bCs/>
          <w:szCs w:val="30"/>
        </w:rPr>
        <w:t>5.医疗服务与保障能力提升</w:t>
      </w:r>
    </w:p>
    <w:p>
      <w:pPr>
        <w:ind w:firstLine="600" w:firstLineChars="200"/>
        <w:outlineLvl w:val="0"/>
        <w:rPr>
          <w:rFonts w:eastAsia="方正仿宋_GBK"/>
          <w:szCs w:val="30"/>
        </w:rPr>
      </w:pPr>
      <w:r>
        <w:rPr>
          <w:rFonts w:eastAsia="方正仿宋_GBK"/>
          <w:szCs w:val="30"/>
        </w:rPr>
        <w:t>数量指标：全科医生转岗培训人数、按要求培训乡镇卫生院、社区卫生服务中心骨干人员、公立医院资产负债率、1000张及以上床位大型公立医院安防系统建设达标率等指标完成率均为100%。</w:t>
      </w:r>
    </w:p>
    <w:p>
      <w:pPr>
        <w:ind w:firstLine="600" w:firstLineChars="200"/>
        <w:outlineLvl w:val="0"/>
        <w:rPr>
          <w:rFonts w:eastAsia="方正仿宋_GBK"/>
          <w:szCs w:val="30"/>
        </w:rPr>
      </w:pPr>
      <w:r>
        <w:rPr>
          <w:rFonts w:eastAsia="方正仿宋_GBK"/>
          <w:szCs w:val="30"/>
        </w:rPr>
        <w:t>质量指标：住院医师规范化培训结业考核通过率、助理全科医生规范化培训结业考核通过率等指标完成率均为100%。</w:t>
      </w:r>
    </w:p>
    <w:p>
      <w:pPr>
        <w:ind w:firstLine="600" w:firstLineChars="200"/>
        <w:outlineLvl w:val="0"/>
        <w:rPr>
          <w:rFonts w:eastAsia="方正仿宋_GBK"/>
          <w:szCs w:val="30"/>
        </w:rPr>
      </w:pPr>
      <w:r>
        <w:rPr>
          <w:rFonts w:eastAsia="方正仿宋_GBK"/>
          <w:szCs w:val="30"/>
        </w:rPr>
        <w:t>服务对象满意度指标：学员、职工、患者等满意度均为90%以上。</w:t>
      </w:r>
    </w:p>
    <w:p>
      <w:pPr>
        <w:ind w:firstLine="602" w:firstLineChars="200"/>
        <w:outlineLvl w:val="0"/>
        <w:rPr>
          <w:rFonts w:eastAsia="方正仿宋_GBK"/>
          <w:b/>
          <w:bCs/>
          <w:szCs w:val="30"/>
        </w:rPr>
      </w:pPr>
      <w:r>
        <w:rPr>
          <w:rFonts w:eastAsia="方正仿宋_GBK"/>
          <w:b/>
          <w:bCs/>
          <w:szCs w:val="30"/>
        </w:rPr>
        <w:t>6.疾病应急救助补助资金</w:t>
      </w:r>
    </w:p>
    <w:p>
      <w:pPr>
        <w:ind w:firstLine="600" w:firstLineChars="200"/>
        <w:outlineLvl w:val="0"/>
        <w:rPr>
          <w:rFonts w:eastAsia="方正仿宋_GBK"/>
          <w:szCs w:val="30"/>
        </w:rPr>
      </w:pPr>
      <w:r>
        <w:rPr>
          <w:rFonts w:eastAsia="方正仿宋_GBK"/>
          <w:szCs w:val="30"/>
        </w:rPr>
        <w:t>数量指标：疾病应急救助制度覆盖率达到100%。</w:t>
      </w:r>
    </w:p>
    <w:p>
      <w:pPr>
        <w:ind w:firstLine="600" w:firstLineChars="200"/>
        <w:outlineLvl w:val="0"/>
        <w:rPr>
          <w:rFonts w:eastAsia="方正仿宋_GBK"/>
          <w:szCs w:val="30"/>
        </w:rPr>
      </w:pPr>
      <w:r>
        <w:rPr>
          <w:rFonts w:eastAsia="方正仿宋_GBK"/>
          <w:szCs w:val="30"/>
        </w:rPr>
        <w:t>质量指标：救治对象为符合制度要求的患者比率等指标完成率均为100%。</w:t>
      </w:r>
    </w:p>
    <w:p>
      <w:pPr>
        <w:ind w:firstLine="600" w:firstLineChars="200"/>
        <w:outlineLvl w:val="0"/>
        <w:rPr>
          <w:rFonts w:eastAsia="方正仿宋_GBK"/>
          <w:szCs w:val="30"/>
        </w:rPr>
      </w:pPr>
      <w:r>
        <w:rPr>
          <w:rFonts w:eastAsia="方正仿宋_GBK"/>
          <w:szCs w:val="30"/>
        </w:rPr>
        <w:t>服务对象满意度指标：患者、医疗机构满意度均为90%以上。</w:t>
      </w:r>
    </w:p>
    <w:p>
      <w:pPr>
        <w:ind w:firstLine="600" w:firstLineChars="200"/>
        <w:rPr>
          <w:rFonts w:hint="eastAsia" w:ascii="方正黑体_GBK" w:eastAsia="方正黑体_GBK"/>
          <w:szCs w:val="30"/>
        </w:rPr>
      </w:pPr>
      <w:r>
        <w:rPr>
          <w:rFonts w:hint="eastAsia" w:ascii="方正黑体_GBK" w:eastAsia="方正黑体_GBK"/>
          <w:bCs/>
          <w:szCs w:val="30"/>
        </w:rPr>
        <w:t>二、偏离绩效目标的原因和下一步改进措施</w:t>
      </w:r>
    </w:p>
    <w:p>
      <w:pPr>
        <w:ind w:firstLine="600" w:firstLineChars="200"/>
        <w:rPr>
          <w:rFonts w:eastAsia="方正仿宋_GBK"/>
          <w:szCs w:val="30"/>
        </w:rPr>
      </w:pPr>
      <w:r>
        <w:rPr>
          <w:rFonts w:eastAsia="方正仿宋_GBK"/>
          <w:szCs w:val="30"/>
        </w:rPr>
        <w:t>无。</w:t>
      </w:r>
    </w:p>
    <w:p>
      <w:pPr>
        <w:ind w:firstLine="600" w:firstLineChars="200"/>
        <w:rPr>
          <w:rFonts w:hint="eastAsia" w:ascii="方正黑体_GBK" w:eastAsia="方正黑体_GBK"/>
          <w:bCs/>
          <w:szCs w:val="30"/>
        </w:rPr>
      </w:pPr>
      <w:r>
        <w:rPr>
          <w:rFonts w:hint="eastAsia" w:ascii="方正黑体_GBK" w:eastAsia="方正黑体_GBK"/>
          <w:bCs/>
          <w:szCs w:val="30"/>
        </w:rPr>
        <w:t>三、绩效自评结果拟应用和公开情况</w:t>
      </w:r>
    </w:p>
    <w:p>
      <w:pPr>
        <w:ind w:firstLine="600" w:firstLineChars="200"/>
        <w:rPr>
          <w:rFonts w:eastAsia="方正仿宋_GBK"/>
          <w:bCs/>
          <w:szCs w:val="30"/>
        </w:rPr>
      </w:pPr>
      <w:r>
        <w:rPr>
          <w:rFonts w:eastAsia="方正仿宋_GBK"/>
          <w:bCs/>
          <w:szCs w:val="30"/>
        </w:rPr>
        <w:t>绩效自评结果依申请公开。</w:t>
      </w:r>
    </w:p>
    <w:p>
      <w:pPr>
        <w:ind w:firstLine="600" w:firstLineChars="200"/>
        <w:rPr>
          <w:rFonts w:hint="eastAsia" w:ascii="方正黑体_GBK" w:eastAsia="方正黑体_GBK"/>
          <w:bCs/>
          <w:szCs w:val="30"/>
        </w:rPr>
      </w:pPr>
      <w:r>
        <w:rPr>
          <w:rFonts w:hint="eastAsia" w:ascii="方正黑体_GBK" w:eastAsia="方正黑体_GBK"/>
          <w:bCs/>
          <w:szCs w:val="30"/>
        </w:rPr>
        <w:t>四、其他需要说明的问题</w:t>
      </w:r>
    </w:p>
    <w:p>
      <w:pPr>
        <w:ind w:firstLine="600" w:firstLineChars="200"/>
        <w:rPr>
          <w:rFonts w:eastAsia="方正仿宋_GBK"/>
          <w:szCs w:val="30"/>
        </w:rPr>
      </w:pPr>
      <w:r>
        <w:rPr>
          <w:rFonts w:eastAsia="方正仿宋_GBK"/>
          <w:szCs w:val="30"/>
        </w:rPr>
        <w:t>无。</w:t>
      </w:r>
    </w:p>
    <w:p>
      <w:pPr>
        <w:ind w:left="0"/>
        <w:rPr>
          <w:rFonts w:eastAsia="方正仿宋_GBK"/>
          <w:szCs w:val="30"/>
        </w:rPr>
      </w:pPr>
    </w:p>
    <w:p>
      <w:pPr>
        <w:ind w:left="0"/>
        <w:rPr>
          <w:rFonts w:eastAsia="方正仿宋_GBK"/>
          <w:szCs w:val="30"/>
        </w:rPr>
      </w:pPr>
    </w:p>
    <w:p>
      <w:pPr>
        <w:ind w:left="0" w:firstLine="4200" w:firstLineChars="1400"/>
        <w:rPr>
          <w:rFonts w:eastAsia="方正仿宋_GBK"/>
          <w:szCs w:val="30"/>
        </w:rPr>
      </w:pPr>
      <w:r>
        <w:rPr>
          <w:rFonts w:eastAsia="方正仿宋_GBK"/>
          <w:szCs w:val="30"/>
        </w:rPr>
        <w:t>攀枝花市卫生健康委员会</w:t>
      </w:r>
    </w:p>
    <w:p>
      <w:pPr>
        <w:ind w:left="0" w:firstLine="4800" w:firstLineChars="1600"/>
        <w:rPr>
          <w:rFonts w:eastAsia="方正仿宋_GBK"/>
          <w:szCs w:val="30"/>
        </w:rPr>
      </w:pPr>
      <w:r>
        <w:rPr>
          <w:rFonts w:eastAsia="方正仿宋_GBK"/>
          <w:szCs w:val="30"/>
        </w:rPr>
        <w:t>2022年3月23日</w:t>
      </w:r>
    </w:p>
    <w:p>
      <w:r>
        <w:rPr>
          <w:rFonts w:hint="eastAsia"/>
        </w:rPr>
        <w:t xml:space="preserve">    </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Luxi Sans">
    <w:altName w:val="Arial"/>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50"/>
  <w:drawingGridVerticalSpacing w:val="581"/>
  <w:displayHorizontalDrawingGridEvery w:val="0"/>
  <w:displayVerticalDrawingGridEvery w:val="1"/>
  <w:characterSpacingControl w:val="compressPunctuation"/>
  <w:compat>
    <w:spaceForUL/>
    <w:balanceSingleByteDoubleByteWidth/>
    <w:ulTrailSpace/>
    <w:doNotExpandShiftReturn/>
    <w:adjustLineHeightInTable/>
    <w:useFELayout/>
    <w:compatSetting w:name="compatibilityMode" w:uri="http://schemas.microsoft.com/office/word" w:val="15"/>
  </w:compat>
  <w:rsids>
    <w:rsidRoot w:val="00000000"/>
    <w:rsid w:val="F8FEFF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9">
    <w:name w:val="Default Paragraph Font"/>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6</Pages>
  <Words>2299</Words>
  <Characters>2480</Characters>
  <Lines>154</Lines>
  <Paragraphs>90</Paragraphs>
  <TotalTime>246</TotalTime>
  <ScaleCrop>false</ScaleCrop>
  <LinksUpToDate>false</LinksUpToDate>
  <CharactersWithSpaces>2484</CharactersWithSpaces>
  <Application>WPS Office_11.8.2.9864_F1E327BC-269C-435d-A152-05C5408002CA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2019-02-12T14:26:00Z</dcterms:created>
  <dc:creator>lhn</dc:creator>
  <cp:lastModifiedBy>user</cp:lastModifiedBy>
  <cp:lastPrinted>2021-02-26T11:07:00Z</cp:lastPrinted>
  <dcterms:modified xsi:type="dcterms:W3CDTF">2022-03-28T15:41:48Z</dcterms:modified>
  <dc:title>财政支出绩效评价报告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ies>
</file>