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425"/>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96476"/>
      <w:bookmarkStart w:id="8" w:name="_Toc15377426"/>
      <w:bookmarkStart w:id="9" w:name="_Toc15377194"/>
      <w:bookmarkStart w:id="10" w:name="_Toc15378442"/>
      <w:bookmarkStart w:id="11" w:name="_Toc15396598"/>
      <w:r>
        <w:rPr>
          <w:rFonts w:hint="eastAsia" w:ascii="方正小标宋简体" w:hAnsi="方正小标宋简体" w:eastAsia="方正小标宋简体" w:cs="方正小标宋简体"/>
          <w:sz w:val="72"/>
          <w:szCs w:val="72"/>
        </w:rPr>
        <w:t>攀枝花市中心血站决算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w:t>
      </w:r>
      <w:r>
        <w:rPr>
          <w:rFonts w:hint="default"/>
          <w:lang w:val="en"/>
        </w:rPr>
        <w:t>18</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3"/>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12"/>
        <w:adjustRightInd w:val="0"/>
        <w:snapToGrid w:val="0"/>
        <w:spacing w:before="0" w:line="440" w:lineRule="exact"/>
        <w:jc w:val="left"/>
        <w:rPr>
          <w:sz w:val="24"/>
          <w:szCs w:val="24"/>
        </w:rPr>
      </w:pPr>
      <w:r>
        <w:rPr>
          <w:rFonts w:hint="eastAsia"/>
          <w:sz w:val="24"/>
        </w:rPr>
        <w:t>第二部分 2023年度单位决算情况说明</w:t>
      </w:r>
      <w:r>
        <w:rPr>
          <w:rFonts w:cstheme="minorBidi"/>
          <w:sz w:val="24"/>
        </w:rPr>
        <w:tab/>
      </w:r>
      <w:r>
        <w:rPr>
          <w:rFonts w:hint="eastAsia" w:cstheme="minorBidi"/>
          <w:sz w:val="24"/>
        </w:rPr>
        <w:t>5</w:t>
      </w:r>
    </w:p>
    <w:p>
      <w:pPr>
        <w:pStyle w:val="13"/>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3"/>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3"/>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11</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13</w:t>
      </w:r>
    </w:p>
    <w:p>
      <w:pPr>
        <w:pStyle w:val="13"/>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13</w:t>
      </w:r>
    </w:p>
    <w:p>
      <w:pPr>
        <w:pStyle w:val="13"/>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13</w:t>
      </w:r>
    </w:p>
    <w:p>
      <w:pPr>
        <w:pStyle w:val="12"/>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15</w:t>
      </w:r>
    </w:p>
    <w:p>
      <w:pPr>
        <w:pStyle w:val="12"/>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17</w:t>
      </w:r>
    </w:p>
    <w:p>
      <w:pPr>
        <w:pStyle w:val="12"/>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18</w:t>
      </w:r>
    </w:p>
    <w:p>
      <w:pPr>
        <w:pStyle w:val="13"/>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18</w:t>
      </w:r>
    </w:p>
    <w:p>
      <w:pPr>
        <w:widowControl/>
        <w:spacing w:line="440" w:lineRule="exact"/>
        <w:jc w:val="left"/>
        <w:rPr>
          <w:rFonts w:ascii="仿宋" w:hAnsi="仿宋" w:eastAsia="仿宋"/>
          <w:bCs/>
          <w:kern w:val="44"/>
          <w:sz w:val="24"/>
        </w:rPr>
      </w:pPr>
      <w:bookmarkStart w:id="67" w:name="_GoBack"/>
      <w:bookmarkEnd w:id="67"/>
      <w:bookmarkStart w:id="12" w:name="_Toc15396599"/>
      <w:bookmarkStart w:id="13"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rPr>
        <w:t>主要职责</w:t>
      </w:r>
    </w:p>
    <w:p>
      <w:pPr>
        <w:ind w:firstLine="640" w:firstLineChars="200"/>
      </w:pPr>
      <w:r>
        <w:rPr>
          <w:rFonts w:hint="eastAsia" w:ascii="仿宋" w:hAnsi="仿宋" w:eastAsia="仿宋"/>
          <w:sz w:val="32"/>
          <w:szCs w:val="32"/>
        </w:rPr>
        <w:t>攀枝花市中心血站为全市唯一一家采供血机构，负责在全市范围内开展无偿献血者的招募、血液的采集与制备、血液检测、临床用血供应以及医疗用血的业务指导等工作。</w:t>
      </w:r>
    </w:p>
    <w:p/>
    <w:p>
      <w:pPr>
        <w:pStyle w:val="4"/>
        <w:rPr>
          <w:rFonts w:ascii="黑体" w:hAnsi="黑体" w:eastAsia="黑体"/>
          <w:b w:val="0"/>
        </w:rPr>
      </w:pPr>
      <w:r>
        <w:rPr>
          <w:rFonts w:hint="eastAsia" w:ascii="黑体" w:hAnsi="黑体" w:eastAsia="黑体"/>
          <w:b w:val="0"/>
        </w:rPr>
        <w:t>二、机构设置</w:t>
      </w:r>
    </w:p>
    <w:p>
      <w:pPr>
        <w:ind w:firstLine="640" w:firstLineChars="200"/>
      </w:pPr>
      <w:r>
        <w:rPr>
          <w:rFonts w:hint="eastAsia" w:ascii="仿宋" w:hAnsi="仿宋" w:eastAsia="仿宋"/>
          <w:sz w:val="32"/>
          <w:szCs w:val="32"/>
        </w:rPr>
        <w:t>血站核定领导职数3名，2023年12月，实配领导班子成员2名，副站长2名（正科级）；核定内设科室6个，分别为：办公室、体采科、检验科、成分供血科、质量管理科、综合业务科；配备内设科室领导职数7名（4名正科级，3名副科级）。</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2105.43</w:t>
      </w:r>
      <w:r>
        <w:rPr>
          <w:rFonts w:hint="eastAsia" w:ascii="仿宋" w:hAnsi="仿宋" w:eastAsia="仿宋"/>
          <w:sz w:val="32"/>
          <w:szCs w:val="32"/>
        </w:rPr>
        <w:t>万元。与2022年度相比，收、支总计各增加245.45万元，增长13.2</w:t>
      </w:r>
      <w:r>
        <w:rPr>
          <w:rFonts w:ascii="仿宋" w:hAnsi="仿宋" w:eastAsia="仿宋"/>
          <w:sz w:val="32"/>
          <w:szCs w:val="32"/>
        </w:rPr>
        <w:t>%</w:t>
      </w:r>
      <w:r>
        <w:rPr>
          <w:rFonts w:hint="eastAsia" w:ascii="仿宋" w:hAnsi="仿宋" w:eastAsia="仿宋"/>
          <w:sz w:val="32"/>
          <w:szCs w:val="32"/>
        </w:rPr>
        <w:t>。主要变动原因是2023年项目经费有所增加。</w:t>
      </w:r>
    </w:p>
    <w:p>
      <w:pPr>
        <w:rPr>
          <w:rFonts w:ascii="仿宋" w:hAnsi="仿宋" w:eastAsia="仿宋"/>
          <w:sz w:val="32"/>
          <w:szCs w:val="32"/>
        </w:rPr>
      </w:pPr>
      <w:r>
        <w:rPr>
          <w:rFonts w:hint="eastAsia"/>
        </w:rPr>
        <w:drawing>
          <wp:inline distT="0" distB="0" distL="114300" distR="114300">
            <wp:extent cx="5276850" cy="28098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2105.43</w:t>
      </w:r>
      <w:r>
        <w:rPr>
          <w:rFonts w:hint="eastAsia" w:ascii="仿宋" w:hAnsi="仿宋" w:eastAsia="仿宋"/>
          <w:sz w:val="32"/>
          <w:szCs w:val="32"/>
        </w:rPr>
        <w:t>万元，其中：一般公共预算财政拨款收入</w:t>
      </w:r>
      <w:r>
        <w:rPr>
          <w:rFonts w:ascii="仿宋" w:hAnsi="仿宋" w:eastAsia="仿宋"/>
          <w:b/>
          <w:sz w:val="32"/>
          <w:szCs w:val="32"/>
        </w:rPr>
        <w:t>1305.55</w:t>
      </w:r>
      <w:r>
        <w:rPr>
          <w:rFonts w:hint="eastAsia" w:ascii="仿宋" w:hAnsi="仿宋" w:eastAsia="仿宋"/>
          <w:sz w:val="32"/>
          <w:szCs w:val="32"/>
        </w:rPr>
        <w:t>万元，占</w:t>
      </w:r>
      <w:r>
        <w:rPr>
          <w:rFonts w:ascii="仿宋" w:hAnsi="仿宋" w:eastAsia="仿宋"/>
          <w:b/>
          <w:sz w:val="32"/>
          <w:szCs w:val="32"/>
        </w:rPr>
        <w:t>62%</w:t>
      </w:r>
      <w:r>
        <w:rPr>
          <w:rFonts w:hint="eastAsia" w:ascii="仿宋" w:hAnsi="仿宋" w:eastAsia="仿宋"/>
          <w:sz w:val="32"/>
          <w:szCs w:val="32"/>
        </w:rPr>
        <w:t>；政府性基金预算财政拨款收入</w:t>
      </w:r>
      <w:r>
        <w:rPr>
          <w:rFonts w:ascii="仿宋" w:hAnsi="仿宋" w:eastAsia="仿宋"/>
          <w:b/>
          <w:sz w:val="32"/>
          <w:szCs w:val="32"/>
        </w:rPr>
        <w:t>799.89</w:t>
      </w:r>
      <w:r>
        <w:rPr>
          <w:rFonts w:hint="eastAsia" w:ascii="仿宋" w:hAnsi="仿宋" w:eastAsia="仿宋"/>
          <w:sz w:val="32"/>
          <w:szCs w:val="32"/>
        </w:rPr>
        <w:t>万元，占</w:t>
      </w:r>
      <w:r>
        <w:rPr>
          <w:rFonts w:ascii="仿宋" w:hAnsi="仿宋" w:eastAsia="仿宋"/>
          <w:b/>
          <w:sz w:val="32"/>
          <w:szCs w:val="32"/>
        </w:rPr>
        <w:t>37.99</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drawing>
          <wp:inline distT="0" distB="0" distL="0" distR="0">
            <wp:extent cx="5200650" cy="27813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pPr>
      <w:r>
        <w:rPr>
          <w:rFonts w:hint="eastAsia" w:ascii="仿宋" w:hAnsi="仿宋" w:eastAsia="仿宋"/>
          <w:sz w:val="32"/>
          <w:szCs w:val="32"/>
        </w:rPr>
        <w:t>2023年度本年支出合计</w:t>
      </w:r>
      <w:r>
        <w:rPr>
          <w:rFonts w:ascii="仿宋" w:hAnsi="仿宋" w:eastAsia="仿宋"/>
          <w:b/>
          <w:sz w:val="32"/>
          <w:szCs w:val="32"/>
        </w:rPr>
        <w:t>2105.43</w:t>
      </w:r>
      <w:r>
        <w:rPr>
          <w:rFonts w:hint="eastAsia" w:ascii="仿宋" w:hAnsi="仿宋" w:eastAsia="仿宋"/>
          <w:sz w:val="32"/>
          <w:szCs w:val="32"/>
        </w:rPr>
        <w:t>万元，其中：基本支出</w:t>
      </w:r>
      <w:r>
        <w:rPr>
          <w:rFonts w:ascii="仿宋" w:hAnsi="仿宋" w:eastAsia="仿宋"/>
          <w:b/>
          <w:sz w:val="32"/>
          <w:szCs w:val="32"/>
        </w:rPr>
        <w:t>1165.1</w:t>
      </w:r>
      <w:r>
        <w:rPr>
          <w:rFonts w:hint="eastAsia" w:ascii="仿宋" w:hAnsi="仿宋" w:eastAsia="仿宋"/>
          <w:sz w:val="32"/>
          <w:szCs w:val="32"/>
        </w:rPr>
        <w:t>万元，占</w:t>
      </w:r>
      <w:r>
        <w:rPr>
          <w:rFonts w:ascii="仿宋" w:hAnsi="仿宋" w:eastAsia="仿宋"/>
          <w:b/>
          <w:sz w:val="32"/>
          <w:szCs w:val="32"/>
        </w:rPr>
        <w:t>55.33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940.34</w:t>
      </w:r>
      <w:r>
        <w:rPr>
          <w:rFonts w:hint="eastAsia" w:ascii="仿宋" w:hAnsi="仿宋" w:eastAsia="仿宋"/>
          <w:sz w:val="32"/>
          <w:szCs w:val="32"/>
        </w:rPr>
        <w:t>万元，占</w:t>
      </w:r>
      <w:r>
        <w:rPr>
          <w:rFonts w:ascii="仿宋" w:hAnsi="仿宋" w:eastAsia="仿宋"/>
          <w:b/>
          <w:sz w:val="32"/>
          <w:szCs w:val="32"/>
        </w:rPr>
        <w:t>44.66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drawing>
          <wp:inline distT="0" distB="0" distL="0" distR="0">
            <wp:extent cx="5200650" cy="27813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pPr>
      <w:r>
        <w:rPr>
          <w:rFonts w:hint="eastAsia" w:ascii="仿宋" w:hAnsi="仿宋" w:eastAsia="仿宋"/>
          <w:sz w:val="32"/>
          <w:szCs w:val="32"/>
        </w:rPr>
        <w:t>2023年度财政拨款收、支总计均为</w:t>
      </w:r>
      <w:r>
        <w:rPr>
          <w:rFonts w:ascii="仿宋" w:hAnsi="仿宋" w:eastAsia="仿宋"/>
          <w:b/>
          <w:sz w:val="32"/>
          <w:szCs w:val="32"/>
        </w:rPr>
        <w:t>2105.43</w:t>
      </w:r>
      <w:r>
        <w:rPr>
          <w:rFonts w:hint="eastAsia" w:ascii="仿宋" w:hAnsi="仿宋" w:eastAsia="仿宋"/>
          <w:sz w:val="32"/>
          <w:szCs w:val="32"/>
        </w:rPr>
        <w:t>万元。与2022年度相比，财政拨款收、支总计各增加245.45万元，增长13.2</w:t>
      </w:r>
      <w:r>
        <w:rPr>
          <w:rFonts w:ascii="仿宋" w:hAnsi="仿宋" w:eastAsia="仿宋"/>
          <w:sz w:val="32"/>
          <w:szCs w:val="32"/>
        </w:rPr>
        <w:t>%</w:t>
      </w:r>
      <w:r>
        <w:rPr>
          <w:rFonts w:hint="eastAsia" w:ascii="仿宋" w:hAnsi="仿宋" w:eastAsia="仿宋"/>
          <w:sz w:val="32"/>
          <w:szCs w:val="32"/>
        </w:rPr>
        <w:t>。主要变动原因是2023年项目经费有所增加。</w:t>
      </w:r>
    </w:p>
    <w:p>
      <w:r>
        <w:rPr>
          <w:rFonts w:hint="eastAsia"/>
        </w:rPr>
        <w:drawing>
          <wp:inline distT="0" distB="0" distL="114300" distR="114300">
            <wp:extent cx="5276850" cy="2886075"/>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1305.55</w:t>
      </w:r>
      <w:r>
        <w:rPr>
          <w:rFonts w:hint="eastAsia" w:ascii="仿宋" w:hAnsi="仿宋" w:eastAsia="仿宋"/>
          <w:sz w:val="32"/>
          <w:szCs w:val="32"/>
        </w:rPr>
        <w:t>万元，占本年支出合计的</w:t>
      </w:r>
      <w:r>
        <w:rPr>
          <w:rFonts w:ascii="仿宋" w:hAnsi="仿宋" w:eastAsia="仿宋"/>
          <w:b/>
          <w:sz w:val="32"/>
          <w:szCs w:val="32"/>
        </w:rPr>
        <w:t>62</w:t>
      </w:r>
      <w:r>
        <w:rPr>
          <w:rFonts w:ascii="仿宋" w:hAnsi="仿宋" w:eastAsia="仿宋"/>
          <w:sz w:val="32"/>
          <w:szCs w:val="32"/>
        </w:rPr>
        <w:t>%</w:t>
      </w:r>
      <w:r>
        <w:rPr>
          <w:rFonts w:hint="eastAsia" w:ascii="仿宋" w:hAnsi="仿宋" w:eastAsia="仿宋"/>
          <w:sz w:val="32"/>
          <w:szCs w:val="32"/>
        </w:rPr>
        <w:t>。与2022年度相比，一般公共预算财政拨款支出减少554.43万元，下降29.81</w:t>
      </w:r>
      <w:r>
        <w:rPr>
          <w:rFonts w:ascii="仿宋" w:hAnsi="仿宋" w:eastAsia="仿宋"/>
          <w:sz w:val="32"/>
          <w:szCs w:val="32"/>
        </w:rPr>
        <w:t>%</w:t>
      </w:r>
      <w:r>
        <w:rPr>
          <w:rFonts w:hint="eastAsia" w:ascii="仿宋" w:hAnsi="仿宋" w:eastAsia="仿宋"/>
          <w:sz w:val="32"/>
          <w:szCs w:val="32"/>
        </w:rPr>
        <w:t>。主要变动原因是去年的所有支出均为一般公共预算财政拨款支出，今年有政府性基金预算财政拨款支出，故今年的一般公共预算财政拨款支出下降较多。</w:t>
      </w:r>
    </w:p>
    <w:p>
      <w:pPr>
        <w:rPr>
          <w:rFonts w:ascii="仿宋" w:hAnsi="仿宋" w:eastAsia="仿宋"/>
          <w:sz w:val="32"/>
          <w:szCs w:val="32"/>
        </w:rPr>
      </w:pPr>
    </w:p>
    <w:p>
      <w:pPr>
        <w:rPr>
          <w:rFonts w:ascii="仿宋" w:hAnsi="仿宋" w:eastAsia="仿宋"/>
          <w:sz w:val="32"/>
          <w:szCs w:val="32"/>
        </w:rPr>
      </w:pPr>
      <w:r>
        <w:rPr>
          <w:rFonts w:hint="eastAsia"/>
        </w:rPr>
        <w:drawing>
          <wp:inline distT="0" distB="0" distL="114300" distR="114300">
            <wp:extent cx="5276850" cy="291465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1305.55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294.56万元，占22.57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932.80万元，占71.45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78.19万元，占5.98</w:t>
      </w:r>
      <w:r>
        <w:rPr>
          <w:rFonts w:ascii="仿宋" w:hAnsi="仿宋" w:eastAsia="仿宋"/>
          <w:sz w:val="32"/>
          <w:szCs w:val="32"/>
        </w:rPr>
        <w:t>%</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drawing>
          <wp:inline distT="0" distB="0" distL="0" distR="0">
            <wp:extent cx="5276850" cy="2505075"/>
            <wp:effectExtent l="19050" t="0" r="190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1305.55</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pPr>
        <w:spacing w:line="600" w:lineRule="exact"/>
        <w:ind w:firstLine="642" w:firstLineChars="200"/>
        <w:rPr>
          <w:rStyle w:val="18"/>
          <w:rFonts w:ascii="仿宋" w:hAnsi="仿宋" w:eastAsia="仿宋"/>
          <w:b w:val="0"/>
          <w:bCs/>
          <w:sz w:val="32"/>
          <w:szCs w:val="32"/>
        </w:rPr>
      </w:pPr>
      <w:r>
        <w:rPr>
          <w:rStyle w:val="18"/>
          <w:rFonts w:hint="eastAsia" w:ascii="仿宋" w:hAnsi="仿宋" w:eastAsia="仿宋"/>
          <w:bCs/>
          <w:sz w:val="32"/>
          <w:szCs w:val="32"/>
        </w:rPr>
        <w:t>1.社会保障和就业支出（类）人力资源和社会保障管理事务（款）其他人力资源和社会保障管理事务支出（项）</w:t>
      </w:r>
      <w:r>
        <w:rPr>
          <w:rStyle w:val="18"/>
          <w:rFonts w:ascii="仿宋" w:hAnsi="仿宋" w:eastAsia="仿宋"/>
          <w:bCs/>
          <w:sz w:val="32"/>
          <w:szCs w:val="32"/>
        </w:rPr>
        <w:t>:</w:t>
      </w:r>
      <w:r>
        <w:rPr>
          <w:rStyle w:val="18"/>
          <w:rFonts w:hint="eastAsia" w:ascii="仿宋" w:hAnsi="仿宋" w:eastAsia="仿宋"/>
          <w:b w:val="0"/>
          <w:bCs/>
          <w:sz w:val="32"/>
          <w:szCs w:val="32"/>
        </w:rPr>
        <w:t>支出决算为14.4万元，完成预算100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pPr>
        <w:pStyle w:val="6"/>
        <w:spacing w:before="93"/>
        <w:ind w:firstLine="642" w:firstLineChars="200"/>
        <w:rPr>
          <w:rStyle w:val="18"/>
          <w:rFonts w:ascii="仿宋" w:hAnsi="仿宋" w:eastAsia="仿宋"/>
          <w:bCs/>
          <w:sz w:val="32"/>
          <w:szCs w:val="32"/>
        </w:rPr>
      </w:pPr>
      <w:r>
        <w:rPr>
          <w:rStyle w:val="18"/>
          <w:rFonts w:hint="eastAsia" w:ascii="仿宋" w:hAnsi="仿宋" w:eastAsia="仿宋"/>
          <w:bCs/>
          <w:sz w:val="32"/>
          <w:szCs w:val="32"/>
        </w:rPr>
        <w:t>2.社会保障和就业支出（类）行政事业单位养老支出（款）机关事业单位基本养老保险缴费支出（项）</w:t>
      </w:r>
      <w:r>
        <w:rPr>
          <w:rStyle w:val="18"/>
          <w:rFonts w:ascii="仿宋" w:hAnsi="仿宋" w:eastAsia="仿宋"/>
          <w:bCs/>
          <w:sz w:val="32"/>
          <w:szCs w:val="32"/>
        </w:rPr>
        <w:t>:</w:t>
      </w:r>
      <w:r>
        <w:rPr>
          <w:rStyle w:val="18"/>
          <w:rFonts w:hint="eastAsia" w:ascii="仿宋" w:hAnsi="仿宋" w:eastAsia="仿宋"/>
          <w:bCs/>
          <w:sz w:val="32"/>
          <w:szCs w:val="32"/>
        </w:rPr>
        <w:t>支出决算</w:t>
      </w:r>
      <w:r>
        <w:rPr>
          <w:rStyle w:val="18"/>
          <w:rFonts w:hint="eastAsia" w:ascii="仿宋" w:hAnsi="仿宋" w:eastAsia="仿宋" w:cstheme="minorBidi"/>
          <w:bCs/>
          <w:sz w:val="32"/>
          <w:szCs w:val="32"/>
        </w:rPr>
        <w:t>为</w:t>
      </w:r>
      <w:r>
        <w:rPr>
          <w:rStyle w:val="18"/>
          <w:rFonts w:hint="eastAsia" w:ascii="仿宋" w:hAnsi="仿宋" w:eastAsia="仿宋"/>
          <w:b w:val="0"/>
          <w:bCs/>
          <w:kern w:val="2"/>
          <w:sz w:val="32"/>
          <w:szCs w:val="32"/>
        </w:rPr>
        <w:t>114.49万元，完成预算100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ind w:firstLine="642" w:firstLineChars="200"/>
        <w:rPr>
          <w:b/>
          <w:kern w:val="2"/>
        </w:rPr>
      </w:pPr>
      <w:r>
        <w:rPr>
          <w:rStyle w:val="18"/>
          <w:rFonts w:hint="eastAsia" w:ascii="仿宋" w:hAnsi="仿宋" w:eastAsia="仿宋"/>
          <w:bCs/>
          <w:sz w:val="32"/>
          <w:szCs w:val="32"/>
        </w:rPr>
        <w:t>3.社会保障和就业支出（类）行政事业单位养老支出（款）事业单位离退休（项）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支出决算为150.65万元，完成预算100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ind w:firstLine="642" w:firstLineChars="200"/>
        <w:rPr>
          <w:rStyle w:val="18"/>
          <w:rFonts w:ascii="仿宋" w:hAnsi="仿宋" w:eastAsia="仿宋"/>
          <w:bCs/>
          <w:sz w:val="32"/>
          <w:szCs w:val="32"/>
        </w:rPr>
      </w:pPr>
      <w:r>
        <w:rPr>
          <w:rStyle w:val="18"/>
          <w:rFonts w:hint="eastAsia" w:ascii="仿宋" w:hAnsi="仿宋" w:eastAsia="仿宋"/>
          <w:bCs/>
          <w:sz w:val="32"/>
          <w:szCs w:val="32"/>
        </w:rPr>
        <w:t>4.社会保障和就业支出（类）行政事业单位养老支出（款）机关事业单位职业年金缴费支出（项）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支出决算为15.02万元，完成预算100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numPr>
          <w:ilvl w:val="255"/>
          <w:numId w:val="0"/>
        </w:numPr>
        <w:spacing w:before="93"/>
        <w:ind w:firstLine="642" w:firstLineChars="200"/>
        <w:rPr>
          <w:rStyle w:val="18"/>
          <w:rFonts w:ascii="仿宋" w:hAnsi="仿宋" w:eastAsia="仿宋" w:cstheme="minorBidi"/>
          <w:b w:val="0"/>
          <w:bCs/>
          <w:sz w:val="32"/>
          <w:szCs w:val="32"/>
        </w:rPr>
      </w:pPr>
      <w:r>
        <w:rPr>
          <w:rStyle w:val="18"/>
          <w:rFonts w:hint="eastAsia" w:ascii="仿宋" w:hAnsi="仿宋" w:eastAsia="仿宋"/>
          <w:bCs/>
          <w:sz w:val="32"/>
          <w:szCs w:val="32"/>
        </w:rPr>
        <w:t>5</w:t>
      </w:r>
      <w:r>
        <w:rPr>
          <w:rStyle w:val="18"/>
          <w:rFonts w:ascii="仿宋" w:hAnsi="仿宋" w:eastAsia="仿宋"/>
          <w:bCs/>
          <w:sz w:val="32"/>
          <w:szCs w:val="32"/>
        </w:rPr>
        <w:t>.</w:t>
      </w:r>
      <w:r>
        <w:rPr>
          <w:rFonts w:hint="eastAsia" w:ascii="仿宋" w:hAnsi="仿宋" w:eastAsia="仿宋"/>
          <w:b/>
          <w:bCs/>
          <w:sz w:val="32"/>
          <w:szCs w:val="32"/>
        </w:rPr>
        <w:t>卫生健康支出</w:t>
      </w:r>
      <w:r>
        <w:rPr>
          <w:rStyle w:val="18"/>
          <w:rFonts w:hint="eastAsia" w:ascii="仿宋" w:hAnsi="仿宋" w:eastAsia="仿宋"/>
          <w:bCs/>
          <w:sz w:val="32"/>
          <w:szCs w:val="32"/>
        </w:rPr>
        <w:t>（类）公共卫生（款）采供血机构（项）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支出决算为740.08万元，完成预算100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numPr>
          <w:ilvl w:val="255"/>
          <w:numId w:val="0"/>
        </w:numPr>
        <w:spacing w:before="93"/>
        <w:ind w:firstLine="642" w:firstLineChars="200"/>
        <w:rPr>
          <w:rStyle w:val="18"/>
          <w:rFonts w:ascii="仿宋" w:hAnsi="仿宋" w:eastAsia="仿宋"/>
          <w:b w:val="0"/>
          <w:bCs/>
          <w:sz w:val="32"/>
          <w:szCs w:val="32"/>
        </w:rPr>
      </w:pPr>
      <w:r>
        <w:rPr>
          <w:rStyle w:val="18"/>
          <w:rFonts w:hint="eastAsia" w:ascii="仿宋" w:hAnsi="仿宋" w:eastAsia="仿宋"/>
          <w:bCs/>
          <w:sz w:val="32"/>
          <w:szCs w:val="32"/>
        </w:rPr>
        <w:t>6.</w:t>
      </w:r>
      <w:r>
        <w:rPr>
          <w:rFonts w:hint="eastAsia" w:ascii="仿宋" w:hAnsi="仿宋" w:eastAsia="仿宋"/>
          <w:b/>
          <w:bCs/>
          <w:sz w:val="32"/>
          <w:szCs w:val="32"/>
        </w:rPr>
        <w:t>卫生健康支出</w:t>
      </w:r>
      <w:r>
        <w:rPr>
          <w:rStyle w:val="18"/>
          <w:rFonts w:hint="eastAsia" w:ascii="仿宋" w:hAnsi="仿宋" w:eastAsia="仿宋"/>
          <w:bCs/>
          <w:sz w:val="32"/>
          <w:szCs w:val="32"/>
        </w:rPr>
        <w:t>（类）公共卫生（款）重大公共卫生服务（项）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支出决算为111.08万元，完成预算100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42" w:firstLineChars="200"/>
        <w:rPr>
          <w:rStyle w:val="18"/>
          <w:rFonts w:ascii="仿宋" w:hAnsi="仿宋" w:eastAsia="仿宋"/>
          <w:b w:val="0"/>
          <w:bCs/>
          <w:kern w:val="2"/>
          <w:sz w:val="32"/>
          <w:szCs w:val="32"/>
        </w:rPr>
      </w:pPr>
      <w:r>
        <w:rPr>
          <w:rFonts w:hint="eastAsia" w:ascii="仿宋" w:hAnsi="仿宋" w:eastAsia="仿宋"/>
          <w:b/>
          <w:bCs/>
          <w:sz w:val="32"/>
          <w:szCs w:val="32"/>
        </w:rPr>
        <w:t>7.卫生健康支出</w:t>
      </w:r>
      <w:r>
        <w:rPr>
          <w:rStyle w:val="18"/>
          <w:rFonts w:hint="eastAsia" w:ascii="仿宋" w:hAnsi="仿宋" w:eastAsia="仿宋"/>
          <w:bCs/>
          <w:sz w:val="32"/>
          <w:szCs w:val="32"/>
        </w:rPr>
        <w:t>（类）公共卫生（款）基本公共卫生服务（项）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支出决算为5万元，完成预算100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42" w:firstLineChars="200"/>
        <w:rPr>
          <w:rStyle w:val="18"/>
          <w:rFonts w:ascii="仿宋" w:hAnsi="仿宋" w:eastAsia="仿宋"/>
          <w:b w:val="0"/>
          <w:bCs/>
          <w:kern w:val="2"/>
          <w:sz w:val="32"/>
          <w:szCs w:val="32"/>
        </w:rPr>
      </w:pPr>
      <w:r>
        <w:rPr>
          <w:rFonts w:hint="eastAsia" w:ascii="仿宋" w:hAnsi="仿宋" w:eastAsia="仿宋"/>
          <w:b/>
          <w:bCs/>
          <w:sz w:val="32"/>
          <w:szCs w:val="32"/>
        </w:rPr>
        <w:t>8.卫生健康支出</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支出决算为50.62万元，完成预算100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42" w:firstLineChars="200"/>
        <w:rPr>
          <w:rStyle w:val="18"/>
          <w:rFonts w:ascii="仿宋" w:hAnsi="仿宋" w:eastAsia="仿宋"/>
          <w:b w:val="0"/>
          <w:bCs/>
          <w:kern w:val="2"/>
          <w:sz w:val="32"/>
          <w:szCs w:val="32"/>
        </w:rPr>
      </w:pPr>
      <w:r>
        <w:rPr>
          <w:rFonts w:hint="eastAsia" w:ascii="仿宋" w:hAnsi="仿宋" w:eastAsia="仿宋"/>
          <w:b/>
          <w:bCs/>
          <w:sz w:val="32"/>
          <w:szCs w:val="32"/>
        </w:rPr>
        <w:t>9.卫生健康支出</w:t>
      </w:r>
      <w:r>
        <w:rPr>
          <w:rStyle w:val="18"/>
          <w:rFonts w:hint="eastAsia" w:ascii="仿宋" w:hAnsi="仿宋" w:eastAsia="仿宋"/>
          <w:bCs/>
          <w:sz w:val="32"/>
          <w:szCs w:val="32"/>
        </w:rPr>
        <w:t>（类）行政事业单位医疗（款）公务员医疗补助（项）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支出决算为5.49万元，完成预算100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42" w:firstLineChars="200"/>
        <w:rPr>
          <w:rFonts w:ascii="仿宋" w:hAnsi="仿宋" w:eastAsia="仿宋"/>
          <w:b/>
          <w:sz w:val="32"/>
          <w:szCs w:val="32"/>
        </w:rPr>
      </w:pPr>
      <w:r>
        <w:rPr>
          <w:rFonts w:hint="eastAsia" w:ascii="仿宋" w:hAnsi="仿宋" w:eastAsia="仿宋"/>
          <w:b/>
          <w:bCs/>
          <w:sz w:val="32"/>
          <w:szCs w:val="32"/>
        </w:rPr>
        <w:t>10.卫生健康支出</w:t>
      </w:r>
      <w:r>
        <w:rPr>
          <w:rStyle w:val="18"/>
          <w:rFonts w:hint="eastAsia" w:ascii="仿宋" w:hAnsi="仿宋" w:eastAsia="仿宋"/>
          <w:bCs/>
          <w:sz w:val="32"/>
          <w:szCs w:val="32"/>
        </w:rPr>
        <w:t>（类）行政事业单位医疗（款）其他行政事业单位医疗支出（项）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支出决算为6.60万元，完成预算100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42" w:firstLineChars="200"/>
        <w:rPr>
          <w:rStyle w:val="18"/>
          <w:rFonts w:ascii="仿宋" w:hAnsi="仿宋" w:eastAsia="仿宋"/>
          <w:b w:val="0"/>
          <w:bCs/>
          <w:kern w:val="2"/>
          <w:sz w:val="32"/>
          <w:szCs w:val="32"/>
        </w:rPr>
      </w:pPr>
      <w:r>
        <w:rPr>
          <w:rFonts w:hint="eastAsia" w:ascii="仿宋" w:hAnsi="仿宋" w:eastAsia="仿宋"/>
          <w:b/>
          <w:bCs/>
          <w:sz w:val="32"/>
          <w:szCs w:val="32"/>
        </w:rPr>
        <w:t>11.卫生健康支出</w:t>
      </w:r>
      <w:r>
        <w:rPr>
          <w:rStyle w:val="18"/>
          <w:rFonts w:hint="eastAsia" w:ascii="仿宋" w:hAnsi="仿宋" w:eastAsia="仿宋"/>
          <w:bCs/>
          <w:sz w:val="32"/>
          <w:szCs w:val="32"/>
        </w:rPr>
        <w:t>（类）其他卫生健康支出（款）其他卫生健康支出（项）</w:t>
      </w:r>
      <w:r>
        <w:rPr>
          <w:rStyle w:val="18"/>
          <w:rFonts w:ascii="仿宋" w:hAnsi="仿宋" w:eastAsia="仿宋"/>
          <w:bCs/>
          <w:sz w:val="32"/>
          <w:szCs w:val="32"/>
        </w:rPr>
        <w:t>:</w:t>
      </w:r>
      <w:r>
        <w:rPr>
          <w:rStyle w:val="18"/>
          <w:rFonts w:hint="eastAsia" w:ascii="仿宋" w:hAnsi="仿宋" w:eastAsia="仿宋"/>
          <w:b w:val="0"/>
          <w:bCs/>
          <w:kern w:val="2"/>
          <w:sz w:val="32"/>
          <w:szCs w:val="32"/>
        </w:rPr>
        <w:t>支出决算为13.92万元，完成预算100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42" w:firstLineChars="200"/>
        <w:rPr>
          <w:rStyle w:val="18"/>
          <w:rFonts w:ascii="仿宋" w:hAnsi="仿宋" w:eastAsia="仿宋"/>
          <w:b w:val="0"/>
          <w:bCs/>
          <w:kern w:val="2"/>
          <w:sz w:val="32"/>
          <w:szCs w:val="32"/>
        </w:rPr>
      </w:pPr>
      <w:r>
        <w:rPr>
          <w:rFonts w:hint="eastAsia" w:ascii="仿宋" w:hAnsi="仿宋" w:eastAsia="仿宋"/>
          <w:b/>
          <w:bCs/>
          <w:sz w:val="32"/>
          <w:szCs w:val="32"/>
        </w:rPr>
        <w:t>12.住房保障支出（类）住房改革支出（款）住房公积金（项）：</w:t>
      </w:r>
      <w:r>
        <w:rPr>
          <w:rStyle w:val="18"/>
          <w:rFonts w:hint="eastAsia" w:ascii="仿宋" w:hAnsi="仿宋" w:eastAsia="仿宋"/>
          <w:b w:val="0"/>
          <w:bCs/>
          <w:kern w:val="2"/>
          <w:sz w:val="32"/>
          <w:szCs w:val="32"/>
        </w:rPr>
        <w:t>支出决算为78.19万元，完成预算100</w:t>
      </w:r>
      <w:r>
        <w:rPr>
          <w:rStyle w:val="18"/>
          <w:rFonts w:ascii="仿宋" w:hAnsi="仿宋" w:eastAsia="仿宋"/>
          <w:b w:val="0"/>
          <w:bCs/>
          <w:kern w:val="2"/>
          <w:sz w:val="32"/>
          <w:szCs w:val="32"/>
        </w:rPr>
        <w:t>%</w:t>
      </w:r>
      <w:r>
        <w:rPr>
          <w:rStyle w:val="18"/>
          <w:rFonts w:hint="eastAsia" w:ascii="仿宋" w:hAnsi="仿宋" w:eastAsia="仿宋"/>
          <w:b w:val="0"/>
          <w:bCs/>
          <w:kern w:val="2"/>
          <w:sz w:val="32"/>
          <w:szCs w:val="32"/>
        </w:rPr>
        <w:t>，决算数等于预算数。</w:t>
      </w:r>
    </w:p>
    <w:p>
      <w:pPr>
        <w:pStyle w:val="6"/>
        <w:spacing w:before="93" w:line="600" w:lineRule="exact"/>
        <w:ind w:firstLine="602" w:firstLineChars="200"/>
        <w:rPr>
          <w:b/>
          <w:bCs/>
          <w:kern w:val="2"/>
        </w:rPr>
      </w:pPr>
    </w:p>
    <w:p>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1165.1</w:t>
      </w:r>
      <w:r>
        <w:rPr>
          <w:rFonts w:hint="eastAsia" w:ascii="仿宋" w:hAnsi="仿宋" w:eastAsia="仿宋"/>
          <w:sz w:val="32"/>
          <w:szCs w:val="32"/>
        </w:rPr>
        <w:t>万元，其中：</w:t>
      </w:r>
    </w:p>
    <w:p>
      <w:pPr>
        <w:spacing w:line="600" w:lineRule="exact"/>
        <w:ind w:firstLine="645"/>
        <w:rPr>
          <w:rFonts w:ascii="仿宋_GB2312" w:hAnsi="仿宋" w:eastAsia="仿宋_GB2312"/>
          <w:sz w:val="32"/>
          <w:szCs w:val="32"/>
        </w:rPr>
      </w:pPr>
      <w:r>
        <w:rPr>
          <w:rFonts w:hint="eastAsia" w:ascii="仿宋" w:hAnsi="仿宋" w:eastAsia="仿宋"/>
          <w:sz w:val="32"/>
          <w:szCs w:val="32"/>
        </w:rPr>
        <w:t>人员经费</w:t>
      </w:r>
      <w:r>
        <w:rPr>
          <w:rFonts w:ascii="仿宋" w:hAnsi="仿宋" w:eastAsia="仿宋"/>
          <w:b/>
          <w:sz w:val="32"/>
          <w:szCs w:val="32"/>
        </w:rPr>
        <w:t>1071.45</w:t>
      </w:r>
      <w:r>
        <w:rPr>
          <w:rFonts w:hint="eastAsia" w:ascii="仿宋" w:hAnsi="仿宋" w:eastAsia="仿宋"/>
          <w:sz w:val="32"/>
          <w:szCs w:val="32"/>
        </w:rPr>
        <w:t>万元，主要包括：基本工资200.9万元、津贴补贴25.64万元、奖金1.35万元、绩效工资393.02万元、机关事业单位基本养老保险缴费114.49万元、职业年金缴费15.02万元、职工基本医疗保险缴费50.62万元、公务员医疗补助缴费12.10万元、其他社会保障缴费7.11万元、住房公积金78.19万元、其他工资福利支出13.71万元、离休费20.1万元、生活补助109.29万元、医疗费补助15.49万元、其他对个人和家庭的补助支出14.4万元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93.65</w:t>
      </w:r>
      <w:r>
        <w:rPr>
          <w:rFonts w:hint="eastAsia" w:ascii="仿宋" w:hAnsi="仿宋" w:eastAsia="仿宋"/>
          <w:sz w:val="32"/>
          <w:szCs w:val="32"/>
        </w:rPr>
        <w:t>万元，主要包括：办公费6.61万元、水费1.32万元、电费6.29万元、邮电费5.49万元、差旅费</w:t>
      </w:r>
      <w:r>
        <w:rPr>
          <w:rFonts w:hint="eastAsia" w:ascii="仿宋_GB2312" w:hAnsi="仿宋" w:eastAsia="仿宋_GB2312"/>
          <w:sz w:val="32"/>
          <w:szCs w:val="32"/>
        </w:rPr>
        <w:t>26.32万元、公务接待费0.22万元、工会经费13.21万元、福利费8.01万元、公务用车运行维护费14.71万元、其他交通费2.6万元、其他商品和服务支出8.89万元等。</w:t>
      </w:r>
    </w:p>
    <w:p>
      <w:pPr>
        <w:spacing w:line="600" w:lineRule="exact"/>
        <w:ind w:firstLine="640"/>
        <w:outlineLvl w:val="1"/>
        <w:rPr>
          <w:rFonts w:ascii="仿宋_GB2312" w:eastAsia="仿宋_GB2312"/>
        </w:rPr>
      </w:pPr>
      <w:bookmarkStart w:id="36" w:name="_Toc15377215"/>
      <w:bookmarkStart w:id="37" w:name="_Toc15396609"/>
    </w:p>
    <w:p>
      <w:pPr>
        <w:spacing w:line="600" w:lineRule="exact"/>
        <w:ind w:firstLine="640"/>
        <w:outlineLvl w:val="1"/>
        <w:rPr>
          <w:rStyle w:val="29"/>
          <w:rFonts w:ascii="黑体" w:hAnsi="黑体" w:eastAsia="黑体"/>
          <w:b w:val="0"/>
        </w:rPr>
      </w:pPr>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14.92</w:t>
      </w:r>
      <w:r>
        <w:rPr>
          <w:rFonts w:hint="eastAsia" w:ascii="仿宋" w:hAnsi="仿宋" w:eastAsia="仿宋"/>
          <w:sz w:val="32"/>
          <w:szCs w:val="32"/>
        </w:rPr>
        <w:t>万元，完成预算</w:t>
      </w:r>
      <w:r>
        <w:rPr>
          <w:rFonts w:ascii="仿宋" w:hAnsi="仿宋" w:eastAsia="仿宋"/>
          <w:b/>
          <w:sz w:val="32"/>
          <w:szCs w:val="32"/>
        </w:rPr>
        <w:t>87.96</w:t>
      </w:r>
      <w:r>
        <w:rPr>
          <w:rFonts w:ascii="仿宋" w:hAnsi="仿宋" w:eastAsia="仿宋"/>
          <w:sz w:val="32"/>
          <w:szCs w:val="32"/>
        </w:rPr>
        <w:t>%</w:t>
      </w:r>
      <w:r>
        <w:rPr>
          <w:rFonts w:hint="eastAsia" w:ascii="仿宋" w:hAnsi="仿宋" w:eastAsia="仿宋"/>
          <w:sz w:val="32"/>
          <w:szCs w:val="32"/>
        </w:rPr>
        <w:t>，较上年度增加8.33万元，增长126.41%。决算数小于预算数0.59万元的主要原因是本单位厉行节约，减少了公务接待，并严格管理公务用车。</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14.71</w:t>
      </w:r>
      <w:r>
        <w:rPr>
          <w:rFonts w:hint="eastAsia" w:ascii="仿宋" w:hAnsi="仿宋" w:eastAsia="仿宋"/>
          <w:sz w:val="32"/>
          <w:szCs w:val="32"/>
        </w:rPr>
        <w:t>万元，占</w:t>
      </w:r>
      <w:r>
        <w:rPr>
          <w:rFonts w:ascii="仿宋" w:hAnsi="仿宋" w:eastAsia="仿宋"/>
          <w:b/>
          <w:sz w:val="32"/>
          <w:szCs w:val="32"/>
        </w:rPr>
        <w:t>98.54</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0.22</w:t>
      </w:r>
      <w:r>
        <w:rPr>
          <w:rFonts w:hint="eastAsia" w:ascii="仿宋" w:hAnsi="仿宋" w:eastAsia="仿宋"/>
          <w:sz w:val="32"/>
          <w:szCs w:val="32"/>
        </w:rPr>
        <w:t>万元，占</w:t>
      </w:r>
      <w:r>
        <w:rPr>
          <w:rFonts w:ascii="仿宋" w:hAnsi="仿宋" w:eastAsia="仿宋"/>
          <w:b/>
          <w:sz w:val="32"/>
          <w:szCs w:val="32"/>
        </w:rPr>
        <w:t>1.45</w:t>
      </w:r>
      <w:r>
        <w:rPr>
          <w:rFonts w:ascii="仿宋" w:hAnsi="仿宋" w:eastAsia="仿宋"/>
          <w:sz w:val="32"/>
          <w:szCs w:val="32"/>
        </w:rPr>
        <w:t>%</w:t>
      </w:r>
      <w:r>
        <w:rPr>
          <w:rFonts w:hint="eastAsia" w:ascii="仿宋" w:hAnsi="仿宋" w:eastAsia="仿宋"/>
          <w:sz w:val="32"/>
          <w:szCs w:val="32"/>
        </w:rPr>
        <w:t>。具体情况如下：</w:t>
      </w:r>
    </w:p>
    <w:p>
      <w:r>
        <w:rPr>
          <w:rFonts w:hint="eastAsia" w:ascii="仿宋" w:hAnsi="仿宋" w:eastAsia="仿宋"/>
          <w:sz w:val="32"/>
          <w:szCs w:val="32"/>
        </w:rPr>
        <w:drawing>
          <wp:inline distT="0" distB="0" distL="0" distR="0">
            <wp:extent cx="5181600" cy="2619375"/>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14.71</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94.8</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公务用车购置及运行维护费支出决算比2022年度增加8.26万元，增长128.07</w:t>
      </w:r>
      <w:r>
        <w:rPr>
          <w:rFonts w:ascii="仿宋_GB2312" w:eastAsia="仿宋_GB2312"/>
          <w:sz w:val="32"/>
          <w:szCs w:val="32"/>
        </w:rPr>
        <w:t>%</w:t>
      </w:r>
      <w:r>
        <w:rPr>
          <w:rFonts w:hint="eastAsia" w:ascii="仿宋_GB2312" w:eastAsia="仿宋_GB2312"/>
          <w:sz w:val="32"/>
          <w:szCs w:val="32"/>
        </w:rPr>
        <w:t>。主要原因是车辆老旧，维修及油耗有所增加，用血需求量有所增长，且固定点位采血量下降，外出采血特别是偏远地区乡镇采血次数显著增加。</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月31日，单位共有公务用车7辆，其中：小型轿车1辆、小型普通客车2辆、小型专用客车1辆、大型非载货专项作业车2辆、轻型封闭式货车1辆 。</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14.71</w:t>
      </w:r>
      <w:r>
        <w:rPr>
          <w:rFonts w:hint="eastAsia" w:ascii="仿宋_GB2312" w:eastAsia="仿宋_GB2312"/>
          <w:sz w:val="32"/>
          <w:szCs w:val="32"/>
        </w:rPr>
        <w:t>万元。主要用于采供血工作等所需的公务用车燃料费、维修费、过路过桥费、保险费等支出。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0.22</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14.98%</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公务接待费支出决算比2022年度增加0.08万元，增长57.15</w:t>
      </w:r>
      <w:r>
        <w:rPr>
          <w:rFonts w:ascii="仿宋_GB2312" w:eastAsia="仿宋_GB2312"/>
          <w:sz w:val="32"/>
          <w:szCs w:val="32"/>
        </w:rPr>
        <w:t>%</w:t>
      </w:r>
      <w:r>
        <w:rPr>
          <w:rFonts w:hint="eastAsia" w:ascii="仿宋_GB2312" w:eastAsia="仿宋_GB2312"/>
          <w:sz w:val="32"/>
          <w:szCs w:val="32"/>
        </w:rPr>
        <w:t>。主要原因是接待人次有所增加。</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0.22</w:t>
      </w:r>
      <w:r>
        <w:rPr>
          <w:rFonts w:hint="eastAsia" w:ascii="仿宋_GB2312" w:eastAsia="仿宋_GB2312"/>
          <w:sz w:val="32"/>
          <w:szCs w:val="32"/>
        </w:rPr>
        <w:t>万元，</w:t>
      </w:r>
      <w:r>
        <w:rPr>
          <w:rFonts w:hint="eastAsia" w:eastAsia="仿宋_GB2312"/>
          <w:sz w:val="32"/>
          <w:szCs w:val="32"/>
        </w:rPr>
        <w:t>主要用于接待四川省血站血液安全检查相关人员及自贡血站来攀交流人员等工作餐费。国内公务接待2批次，12人次（不包括陪同人员），</w:t>
      </w:r>
      <w:r>
        <w:rPr>
          <w:rFonts w:hint="eastAsia" w:ascii="仿宋_GB2312" w:eastAsia="仿宋_GB2312"/>
          <w:sz w:val="32"/>
          <w:szCs w:val="32"/>
        </w:rPr>
        <w:t>共计支出0.22万元，具体内容包括：接待2023年度四川省血站血液安全交叉检查接待费用0.10万元，自贡市中心血站交流学习公务接待费用0.12万元。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firstLineChars="200"/>
        <w:rPr>
          <w:rFonts w:ascii="黑体" w:eastAsia="黑体"/>
          <w:sz w:val="32"/>
          <w:szCs w:val="32"/>
        </w:rPr>
      </w:pPr>
    </w:p>
    <w:p>
      <w:pPr>
        <w:spacing w:line="600" w:lineRule="exact"/>
        <w:ind w:firstLine="640" w:firstLineChars="200"/>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799.89</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sz w:val="32"/>
          <w:szCs w:val="32"/>
        </w:rPr>
      </w:pPr>
      <w:r>
        <w:rPr>
          <w:rFonts w:hint="eastAsia" w:ascii="仿宋_GB2312" w:eastAsia="仿宋_GB2312"/>
          <w:sz w:val="32"/>
          <w:szCs w:val="32"/>
        </w:rPr>
        <w:t>2023年度，</w:t>
      </w:r>
      <w:r>
        <w:rPr>
          <w:rFonts w:ascii="仿宋_GB2312" w:eastAsia="仿宋_GB2312"/>
          <w:b/>
          <w:sz w:val="32"/>
          <w:szCs w:val="32"/>
        </w:rPr>
        <w:t>四川省攀枝花市中心血站</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万元，与2022年度决算数持平。主要原因是</w:t>
      </w:r>
      <w:r>
        <w:rPr>
          <w:rFonts w:ascii="仿宋_GB2312" w:eastAsia="仿宋_GB2312"/>
          <w:sz w:val="32"/>
          <w:szCs w:val="32"/>
        </w:rPr>
        <w:t>市</w:t>
      </w:r>
      <w:r>
        <w:rPr>
          <w:rFonts w:hint="eastAsia" w:ascii="仿宋_GB2312" w:eastAsia="仿宋_GB2312"/>
          <w:sz w:val="32"/>
          <w:szCs w:val="32"/>
        </w:rPr>
        <w:t>血站</w:t>
      </w:r>
      <w:r>
        <w:rPr>
          <w:rFonts w:ascii="仿宋_GB2312" w:eastAsia="仿宋_GB2312"/>
          <w:sz w:val="32"/>
          <w:szCs w:val="32"/>
        </w:rPr>
        <w:t>为事业单位，按规定未使用机关运行的相关科目</w:t>
      </w:r>
      <w:r>
        <w:rPr>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四川省攀枝花市中心血站</w:t>
      </w:r>
      <w:r>
        <w:rPr>
          <w:rFonts w:hint="eastAsia" w:ascii="仿宋_GB2312" w:eastAsia="仿宋_GB2312"/>
          <w:sz w:val="32"/>
          <w:szCs w:val="32"/>
        </w:rPr>
        <w:t>政府采购支出总额</w:t>
      </w:r>
      <w:r>
        <w:rPr>
          <w:rFonts w:ascii="仿宋" w:hAnsi="仿宋" w:eastAsia="仿宋"/>
          <w:b/>
          <w:sz w:val="32"/>
          <w:szCs w:val="32"/>
        </w:rPr>
        <w:t>240.39</w:t>
      </w:r>
      <w:r>
        <w:rPr>
          <w:rFonts w:hint="eastAsia" w:ascii="仿宋_GB2312" w:eastAsia="仿宋_GB2312"/>
          <w:sz w:val="32"/>
          <w:szCs w:val="32"/>
        </w:rPr>
        <w:t>万元，其中：政府采购货物支出</w:t>
      </w:r>
      <w:r>
        <w:rPr>
          <w:rFonts w:ascii="仿宋" w:hAnsi="仿宋" w:eastAsia="仿宋"/>
          <w:b/>
          <w:sz w:val="32"/>
          <w:szCs w:val="32"/>
        </w:rPr>
        <w:t>240.39</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万元。主要用于采供血</w:t>
      </w:r>
      <w:r>
        <w:rPr>
          <w:rFonts w:ascii="仿宋_GB2312" w:eastAsia="仿宋_GB2312"/>
          <w:sz w:val="32"/>
          <w:szCs w:val="32"/>
        </w:rPr>
        <w:t>所需的血袋、一次性血小板分离器耗材、献血纪念品等项目</w:t>
      </w:r>
      <w:r>
        <w:rPr>
          <w:rFonts w:hint="eastAsia" w:ascii="仿宋_GB2312" w:eastAsia="仿宋_GB2312"/>
          <w:sz w:val="32"/>
          <w:szCs w:val="32"/>
        </w:rPr>
        <w:t>。授予中小企业合同金额</w:t>
      </w:r>
      <w:r>
        <w:rPr>
          <w:rFonts w:ascii="仿宋" w:hAnsi="仿宋" w:eastAsia="仿宋"/>
          <w:b/>
          <w:sz w:val="32"/>
          <w:szCs w:val="32"/>
        </w:rPr>
        <w:t>240.39</w:t>
      </w:r>
      <w:r>
        <w:rPr>
          <w:rFonts w:hint="eastAsia" w:ascii="仿宋_GB2312" w:eastAsia="仿宋_GB2312"/>
          <w:sz w:val="32"/>
          <w:szCs w:val="32"/>
        </w:rPr>
        <w:t>万元，占政府采购支出总额的</w:t>
      </w:r>
      <w:r>
        <w:rPr>
          <w:rFonts w:ascii="仿宋_GB2312" w:eastAsia="仿宋_GB2312"/>
          <w:sz w:val="32"/>
          <w:szCs w:val="32"/>
        </w:rPr>
        <w:t>1</w:t>
      </w:r>
      <w:r>
        <w:rPr>
          <w:rFonts w:hint="eastAsia" w:ascii="仿宋_GB2312" w:eastAsia="仿宋_GB2312"/>
          <w:sz w:val="32"/>
          <w:szCs w:val="32"/>
        </w:rPr>
        <w:t>00</w:t>
      </w:r>
      <w:r>
        <w:rPr>
          <w:rFonts w:ascii="仿宋_GB2312" w:eastAsia="仿宋_GB2312"/>
          <w:sz w:val="32"/>
          <w:szCs w:val="32"/>
        </w:rPr>
        <w:t>%</w:t>
      </w:r>
      <w:r>
        <w:rPr>
          <w:rFonts w:hint="eastAsia" w:ascii="仿宋_GB2312" w:eastAsia="仿宋_GB2312"/>
          <w:sz w:val="32"/>
          <w:szCs w:val="32"/>
        </w:rPr>
        <w:t>，其中：授予小微企业合同金额</w:t>
      </w:r>
      <w:r>
        <w:rPr>
          <w:rFonts w:ascii="仿宋" w:hAnsi="仿宋" w:eastAsia="仿宋"/>
          <w:b/>
          <w:sz w:val="32"/>
          <w:szCs w:val="32"/>
        </w:rPr>
        <w:t>80</w:t>
      </w:r>
      <w:r>
        <w:rPr>
          <w:rFonts w:hint="eastAsia" w:ascii="仿宋_GB2312" w:eastAsia="仿宋_GB2312"/>
          <w:sz w:val="32"/>
          <w:szCs w:val="32"/>
        </w:rPr>
        <w:t>万元，占政府采购支出总额的</w:t>
      </w:r>
      <w:r>
        <w:rPr>
          <w:rFonts w:ascii="仿宋_GB2312" w:eastAsia="仿宋_GB2312"/>
          <w:b/>
          <w:sz w:val="32"/>
          <w:szCs w:val="32"/>
        </w:rPr>
        <w:t>33.27</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四川省攀枝花市中心血站</w:t>
      </w:r>
      <w:r>
        <w:rPr>
          <w:rFonts w:hint="eastAsia" w:ascii="仿宋_GB2312" w:eastAsia="仿宋_GB2312"/>
          <w:sz w:val="32"/>
          <w:szCs w:val="32"/>
        </w:rPr>
        <w:t>共有车辆</w:t>
      </w:r>
      <w:r>
        <w:rPr>
          <w:rFonts w:hint="eastAsia" w:ascii="仿宋_GB2312" w:eastAsia="仿宋_GB2312"/>
          <w:b/>
          <w:sz w:val="32"/>
          <w:szCs w:val="32"/>
        </w:rPr>
        <w:t>7</w:t>
      </w:r>
      <w:r>
        <w:rPr>
          <w:rFonts w:hint="eastAsia" w:ascii="仿宋_GB2312" w:eastAsia="仿宋_GB2312"/>
          <w:sz w:val="32"/>
          <w:szCs w:val="32"/>
        </w:rPr>
        <w:t>辆，其中：其中：</w:t>
      </w:r>
      <w:r>
        <w:rPr>
          <w:rFonts w:hint="eastAsia" w:ascii="仿宋_GB2312" w:eastAsia="仿宋_GB2312"/>
          <w:color w:val="000000"/>
          <w:sz w:val="32"/>
          <w:szCs w:val="32"/>
        </w:rPr>
        <w:t>特种专业技术用车5辆、其他用车2辆，</w:t>
      </w:r>
      <w:r>
        <w:rPr>
          <w:rFonts w:hint="eastAsia" w:ascii="仿宋_GB2312" w:eastAsia="仿宋_GB2312"/>
          <w:sz w:val="32"/>
          <w:szCs w:val="32"/>
        </w:rPr>
        <w:t>其他用车主要是用于公务出行。单价</w:t>
      </w:r>
      <w:r>
        <w:rPr>
          <w:rFonts w:ascii="仿宋_GB2312" w:eastAsia="仿宋_GB2312"/>
          <w:sz w:val="32"/>
          <w:szCs w:val="32"/>
        </w:rPr>
        <w:t>100</w:t>
      </w:r>
      <w:r>
        <w:rPr>
          <w:rFonts w:hint="eastAsia" w:ascii="仿宋_GB2312" w:eastAsia="仿宋_GB2312"/>
          <w:sz w:val="32"/>
          <w:szCs w:val="32"/>
        </w:rPr>
        <w:t>万元以上专用设备7台（套）。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离休福利费、退休福利费等12个项目开展了预算事前绩效评估，对12个项目编制了绩效目标，预算执行过程中，选取12个项目开展绩效监控，组织对12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14"/>
        <w:autoSpaceDE w:val="0"/>
        <w:autoSpaceDN w:val="0"/>
        <w:adjustRightInd w:val="0"/>
        <w:spacing w:line="560" w:lineRule="exact"/>
        <w:ind w:firstLine="640" w:firstLineChars="200"/>
        <w:jc w:val="left"/>
        <w:rPr>
          <w:rFonts w:ascii="仿宋_GB2312" w:hAnsi="Calibri" w:eastAsia="仿宋_GB2312" w:cs="仿宋"/>
          <w:color w:val="000000"/>
          <w:sz w:val="32"/>
          <w:szCs w:val="32"/>
        </w:rPr>
      </w:pPr>
      <w:r>
        <w:rPr>
          <w:rFonts w:hint="eastAsia" w:ascii="仿宋_GB2312" w:eastAsia="仿宋_GB2312"/>
          <w:sz w:val="32"/>
          <w:szCs w:val="32"/>
        </w:rPr>
        <w:t>3</w:t>
      </w:r>
      <w:r>
        <w:rPr>
          <w:rFonts w:ascii="仿宋_GB2312" w:eastAsia="仿宋_GB2312"/>
          <w:sz w:val="32"/>
          <w:szCs w:val="32"/>
        </w:rPr>
        <w:t>.</w:t>
      </w:r>
      <w:r>
        <w:rPr>
          <w:rFonts w:ascii="仿宋_GB2312" w:hAnsi="Calibri" w:eastAsia="仿宋_GB2312" w:cs="仿宋"/>
          <w:color w:val="000000"/>
          <w:sz w:val="32"/>
          <w:szCs w:val="32"/>
        </w:rPr>
        <w:t>社会保障和就业（类）人力资源和社会保障管理事务（款）其他人力资源和社会保障管理事务（项）:反映除上述项目以外其他用于人力资源和社会保障管理事务方面的支出。</w:t>
      </w:r>
    </w:p>
    <w:p>
      <w:pPr>
        <w:pStyle w:val="26"/>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ascii="仿宋_GB2312" w:eastAsia="仿宋_GB2312"/>
          <w:sz w:val="32"/>
          <w:szCs w:val="32"/>
        </w:rPr>
        <w:t>社会保障和就业（类）行政事业单位养老支出（款）事业单位离退休（项）:</w:t>
      </w:r>
      <w:r>
        <w:rPr>
          <w:rFonts w:ascii="仿宋_GB2312" w:eastAsia="仿宋_GB2312"/>
          <w:kern w:val="2"/>
          <w:sz w:val="32"/>
          <w:szCs w:val="32"/>
        </w:rPr>
        <w:t>反映事业单位开支的离退休经费。</w:t>
      </w:r>
    </w:p>
    <w:p>
      <w:pPr>
        <w:pStyle w:val="14"/>
        <w:autoSpaceDE w:val="0"/>
        <w:autoSpaceDN w:val="0"/>
        <w:adjustRightInd w:val="0"/>
        <w:spacing w:line="560" w:lineRule="exact"/>
        <w:ind w:firstLine="640" w:firstLineChars="200"/>
        <w:jc w:val="left"/>
        <w:rPr>
          <w:rFonts w:ascii="仿宋_GB2312" w:hAnsi="Calibri" w:eastAsia="仿宋_GB2312" w:cs="仿宋"/>
          <w:color w:val="000000"/>
          <w:sz w:val="32"/>
          <w:szCs w:val="32"/>
        </w:rPr>
      </w:pPr>
      <w:r>
        <w:rPr>
          <w:rFonts w:hint="eastAsia" w:ascii="仿宋_GB2312" w:hAnsi="Calibri" w:eastAsia="仿宋_GB2312" w:cs="仿宋"/>
          <w:color w:val="000000"/>
          <w:sz w:val="32"/>
          <w:szCs w:val="32"/>
        </w:rPr>
        <w:t>5</w:t>
      </w:r>
      <w:r>
        <w:rPr>
          <w:rFonts w:ascii="仿宋_GB2312" w:hAnsi="Calibri" w:eastAsia="仿宋_GB2312" w:cs="仿宋"/>
          <w:color w:val="000000"/>
          <w:sz w:val="32"/>
          <w:szCs w:val="32"/>
        </w:rPr>
        <w:t>.社会保障和就业（类）行政事业单位养老支出（款）机关事业单位基本养老保险缴费支出（项）:反映机关事业单位实施养老保险制度由单位缴纳的基本养老保险费支出。</w:t>
      </w:r>
    </w:p>
    <w:p>
      <w:pPr>
        <w:pStyle w:val="14"/>
        <w:numPr>
          <w:ilvl w:val="255"/>
          <w:numId w:val="0"/>
        </w:numPr>
        <w:autoSpaceDE w:val="0"/>
        <w:autoSpaceDN w:val="0"/>
        <w:adjustRightInd w:val="0"/>
        <w:spacing w:line="560" w:lineRule="exact"/>
        <w:ind w:firstLine="640" w:firstLineChars="200"/>
        <w:jc w:val="left"/>
        <w:rPr>
          <w:rFonts w:ascii="仿宋_GB2312" w:hAnsi="Calibri" w:eastAsia="仿宋_GB2312" w:cs="仿宋"/>
          <w:color w:val="000000"/>
          <w:sz w:val="32"/>
          <w:szCs w:val="32"/>
        </w:rPr>
      </w:pPr>
      <w:r>
        <w:rPr>
          <w:rFonts w:hint="eastAsia" w:ascii="仿宋_GB2312" w:hAnsi="Calibri" w:eastAsia="仿宋_GB2312" w:cs="仿宋"/>
          <w:color w:val="000000"/>
          <w:sz w:val="32"/>
          <w:szCs w:val="32"/>
        </w:rPr>
        <w:t>6</w:t>
      </w:r>
      <w:r>
        <w:rPr>
          <w:rFonts w:ascii="仿宋_GB2312" w:hAnsi="Calibri" w:eastAsia="仿宋_GB2312" w:cs="仿宋"/>
          <w:color w:val="000000"/>
          <w:sz w:val="32"/>
          <w:szCs w:val="32"/>
        </w:rPr>
        <w:t>.卫生健康支出（类）公共卫生（款）采供血机构（项）:反映卫生健康部门所属采供血机构的支出。</w:t>
      </w:r>
    </w:p>
    <w:p>
      <w:pPr>
        <w:pStyle w:val="14"/>
        <w:numPr>
          <w:ilvl w:val="255"/>
          <w:numId w:val="0"/>
        </w:numPr>
        <w:autoSpaceDE w:val="0"/>
        <w:autoSpaceDN w:val="0"/>
        <w:adjustRightInd w:val="0"/>
        <w:spacing w:line="560" w:lineRule="exact"/>
        <w:ind w:firstLine="640" w:firstLineChars="200"/>
        <w:jc w:val="left"/>
        <w:rPr>
          <w:rFonts w:ascii="仿宋_GB2312" w:hAnsi="Calibri" w:eastAsia="仿宋_GB2312" w:cs="仿宋"/>
          <w:color w:val="000000"/>
          <w:sz w:val="32"/>
          <w:szCs w:val="32"/>
        </w:rPr>
      </w:pPr>
      <w:r>
        <w:rPr>
          <w:rFonts w:hint="eastAsia" w:ascii="仿宋_GB2312" w:hAnsi="Calibri" w:eastAsia="仿宋_GB2312" w:cs="仿宋"/>
          <w:color w:val="000000"/>
          <w:sz w:val="32"/>
          <w:szCs w:val="32"/>
        </w:rPr>
        <w:t>7</w:t>
      </w:r>
      <w:r>
        <w:rPr>
          <w:rFonts w:ascii="仿宋_GB2312" w:hAnsi="Calibri" w:eastAsia="仿宋_GB2312" w:cs="仿宋"/>
          <w:color w:val="000000"/>
          <w:sz w:val="32"/>
          <w:szCs w:val="32"/>
        </w:rPr>
        <w:t>.卫生健康支出（类）公共卫生（款）</w:t>
      </w:r>
      <w:r>
        <w:rPr>
          <w:rFonts w:hint="eastAsia" w:ascii="仿宋_GB2312" w:hAnsi="Calibri" w:eastAsia="仿宋_GB2312" w:cs="仿宋"/>
          <w:color w:val="000000"/>
          <w:sz w:val="32"/>
          <w:szCs w:val="32"/>
        </w:rPr>
        <w:t>重大</w:t>
      </w:r>
      <w:r>
        <w:rPr>
          <w:rFonts w:ascii="仿宋_GB2312" w:hAnsi="Calibri" w:eastAsia="仿宋_GB2312" w:cs="仿宋"/>
          <w:color w:val="000000"/>
          <w:sz w:val="32"/>
          <w:szCs w:val="32"/>
        </w:rPr>
        <w:t>公共卫生服务（项）:反映</w:t>
      </w:r>
      <w:r>
        <w:rPr>
          <w:rFonts w:hint="eastAsia" w:ascii="仿宋_GB2312" w:hAnsi="Calibri" w:eastAsia="仿宋_GB2312" w:cs="仿宋"/>
          <w:color w:val="000000"/>
          <w:sz w:val="32"/>
          <w:szCs w:val="32"/>
        </w:rPr>
        <w:t>重大</w:t>
      </w:r>
      <w:r>
        <w:rPr>
          <w:rFonts w:ascii="仿宋_GB2312" w:hAnsi="Calibri" w:eastAsia="仿宋_GB2312" w:cs="仿宋"/>
          <w:color w:val="000000"/>
          <w:sz w:val="32"/>
          <w:szCs w:val="32"/>
        </w:rPr>
        <w:t>公共卫生服务支出。</w:t>
      </w:r>
    </w:p>
    <w:p>
      <w:pPr>
        <w:pStyle w:val="14"/>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hAnsi="Calibri" w:eastAsia="仿宋_GB2312" w:cs="仿宋"/>
          <w:color w:val="000000"/>
          <w:sz w:val="32"/>
          <w:szCs w:val="32"/>
        </w:rPr>
        <w:t>8</w:t>
      </w:r>
      <w:r>
        <w:rPr>
          <w:rFonts w:ascii="仿宋_GB2312" w:hAnsi="Calibri" w:eastAsia="仿宋_GB2312" w:cs="仿宋"/>
          <w:color w:val="000000"/>
          <w:sz w:val="32"/>
          <w:szCs w:val="32"/>
        </w:rPr>
        <w:t>.住房保障支出（类）住房改革支出（款）住房公积金（项）：反映行政事业单位按人力资源和社会保障部、财政部规定的基本工资和津贴补贴以及规定比例为职工缴纳的住房公积金。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olor w:val="auto"/>
          <w:sz w:val="32"/>
          <w:szCs w:val="32"/>
        </w:rPr>
      </w:pPr>
    </w:p>
    <w:p>
      <w:pPr>
        <w:pStyle w:val="26"/>
        <w:spacing w:line="560" w:lineRule="exact"/>
        <w:ind w:firstLine="640" w:firstLineChars="200"/>
        <w:rPr>
          <w:rFonts w:ascii="仿宋_GB2312" w:eastAsia="仿宋_GB2312"/>
          <w:color w:val="auto"/>
          <w:sz w:val="32"/>
          <w:szCs w:val="32"/>
        </w:rPr>
      </w:pPr>
    </w:p>
    <w:p>
      <w:pPr>
        <w:pStyle w:val="26"/>
        <w:spacing w:line="560" w:lineRule="exact"/>
        <w:ind w:firstLine="640" w:firstLineChars="200"/>
        <w:rPr>
          <w:rFonts w:ascii="仿宋_GB2312" w:eastAsia="仿宋_GB2312"/>
          <w:color w:val="auto"/>
          <w:sz w:val="32"/>
          <w:szCs w:val="32"/>
        </w:rPr>
      </w:pPr>
    </w:p>
    <w:p>
      <w:pPr>
        <w:pStyle w:val="26"/>
        <w:spacing w:line="560" w:lineRule="exact"/>
        <w:ind w:firstLine="640" w:firstLineChars="200"/>
        <w:rPr>
          <w:rFonts w:ascii="仿宋_GB2312" w:eastAsia="仿宋_GB2312"/>
          <w:color w:val="auto"/>
          <w:sz w:val="32"/>
          <w:szCs w:val="32"/>
        </w:rPr>
      </w:pPr>
    </w:p>
    <w:p>
      <w:pPr>
        <w:pStyle w:val="26"/>
        <w:spacing w:line="560" w:lineRule="exact"/>
        <w:ind w:firstLine="640" w:firstLineChars="200"/>
        <w:rPr>
          <w:rFonts w:ascii="仿宋_GB2312" w:eastAsia="仿宋_GB2312"/>
          <w:color w:val="auto"/>
          <w:sz w:val="32"/>
          <w:szCs w:val="32"/>
        </w:rPr>
      </w:pPr>
    </w:p>
    <w:p>
      <w:pPr>
        <w:pStyle w:val="26"/>
        <w:spacing w:line="560" w:lineRule="exact"/>
        <w:ind w:firstLine="640" w:firstLineChars="200"/>
        <w:rPr>
          <w:rFonts w:ascii="仿宋_GB2312" w:eastAsia="仿宋_GB2312"/>
          <w:color w:val="auto"/>
          <w:sz w:val="32"/>
          <w:szCs w:val="32"/>
        </w:rPr>
      </w:pPr>
    </w:p>
    <w:p>
      <w:pPr>
        <w:pStyle w:val="26"/>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有资本经营预算财政拨款收入支出决算表（此表无数据）</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国有资本经营预算财政拨款支出决算表（此表无数据）</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1CAC"/>
    <w:rsid w:val="000E6613"/>
    <w:rsid w:val="000E7119"/>
    <w:rsid w:val="000F5761"/>
    <w:rsid w:val="00110954"/>
    <w:rsid w:val="00114E9B"/>
    <w:rsid w:val="00142216"/>
    <w:rsid w:val="00144D6A"/>
    <w:rsid w:val="0014729F"/>
    <w:rsid w:val="00151F9D"/>
    <w:rsid w:val="00157BAB"/>
    <w:rsid w:val="001654D1"/>
    <w:rsid w:val="00174518"/>
    <w:rsid w:val="0018106D"/>
    <w:rsid w:val="001877A7"/>
    <w:rsid w:val="00191536"/>
    <w:rsid w:val="00196687"/>
    <w:rsid w:val="001A1DAD"/>
    <w:rsid w:val="001C0962"/>
    <w:rsid w:val="001C2D56"/>
    <w:rsid w:val="001D7531"/>
    <w:rsid w:val="001E737D"/>
    <w:rsid w:val="001F0592"/>
    <w:rsid w:val="001F7506"/>
    <w:rsid w:val="002006CD"/>
    <w:rsid w:val="00202B36"/>
    <w:rsid w:val="00204B7A"/>
    <w:rsid w:val="00204CDE"/>
    <w:rsid w:val="00206907"/>
    <w:rsid w:val="0021101A"/>
    <w:rsid w:val="00212B4A"/>
    <w:rsid w:val="00220536"/>
    <w:rsid w:val="00235629"/>
    <w:rsid w:val="00260BBA"/>
    <w:rsid w:val="00260C38"/>
    <w:rsid w:val="002616C0"/>
    <w:rsid w:val="00265372"/>
    <w:rsid w:val="002662AA"/>
    <w:rsid w:val="00274CC0"/>
    <w:rsid w:val="00280496"/>
    <w:rsid w:val="00294DC9"/>
    <w:rsid w:val="00295495"/>
    <w:rsid w:val="002A31DE"/>
    <w:rsid w:val="002B2229"/>
    <w:rsid w:val="002B2613"/>
    <w:rsid w:val="002C5004"/>
    <w:rsid w:val="002D2E56"/>
    <w:rsid w:val="002D6D05"/>
    <w:rsid w:val="002F1818"/>
    <w:rsid w:val="002F567B"/>
    <w:rsid w:val="00314772"/>
    <w:rsid w:val="003216A9"/>
    <w:rsid w:val="00327DF4"/>
    <w:rsid w:val="00335A74"/>
    <w:rsid w:val="0036561B"/>
    <w:rsid w:val="0037013F"/>
    <w:rsid w:val="00376EFD"/>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C0AAE"/>
    <w:rsid w:val="004E0A2D"/>
    <w:rsid w:val="004E206B"/>
    <w:rsid w:val="004E21F3"/>
    <w:rsid w:val="004E6DF7"/>
    <w:rsid w:val="004F0FBD"/>
    <w:rsid w:val="00505A47"/>
    <w:rsid w:val="00512FDA"/>
    <w:rsid w:val="00520DA0"/>
    <w:rsid w:val="005413AC"/>
    <w:rsid w:val="005533CF"/>
    <w:rsid w:val="00555432"/>
    <w:rsid w:val="005664BB"/>
    <w:rsid w:val="00566FFA"/>
    <w:rsid w:val="0057481D"/>
    <w:rsid w:val="0058486E"/>
    <w:rsid w:val="00585B33"/>
    <w:rsid w:val="0059014D"/>
    <w:rsid w:val="005B5C64"/>
    <w:rsid w:val="005B6E8A"/>
    <w:rsid w:val="005C412E"/>
    <w:rsid w:val="005C5337"/>
    <w:rsid w:val="005C6BD0"/>
    <w:rsid w:val="005D1C8B"/>
    <w:rsid w:val="005D468D"/>
    <w:rsid w:val="005D5CED"/>
    <w:rsid w:val="005D6661"/>
    <w:rsid w:val="005F10BC"/>
    <w:rsid w:val="005F1A4C"/>
    <w:rsid w:val="00602229"/>
    <w:rsid w:val="00605688"/>
    <w:rsid w:val="006070AF"/>
    <w:rsid w:val="00607E6C"/>
    <w:rsid w:val="006101B1"/>
    <w:rsid w:val="00614E44"/>
    <w:rsid w:val="0062270A"/>
    <w:rsid w:val="00622830"/>
    <w:rsid w:val="00623DA0"/>
    <w:rsid w:val="00630AEF"/>
    <w:rsid w:val="006325F8"/>
    <w:rsid w:val="00632C60"/>
    <w:rsid w:val="00633463"/>
    <w:rsid w:val="00634C9A"/>
    <w:rsid w:val="006440E4"/>
    <w:rsid w:val="00655FC5"/>
    <w:rsid w:val="0066343B"/>
    <w:rsid w:val="00664777"/>
    <w:rsid w:val="006748A4"/>
    <w:rsid w:val="00680A21"/>
    <w:rsid w:val="00681A31"/>
    <w:rsid w:val="00683E73"/>
    <w:rsid w:val="00684A03"/>
    <w:rsid w:val="006A3141"/>
    <w:rsid w:val="006A5E34"/>
    <w:rsid w:val="006B2422"/>
    <w:rsid w:val="006B2B9A"/>
    <w:rsid w:val="006C1937"/>
    <w:rsid w:val="006F020C"/>
    <w:rsid w:val="0071021A"/>
    <w:rsid w:val="007127B7"/>
    <w:rsid w:val="0071798E"/>
    <w:rsid w:val="007416B6"/>
    <w:rsid w:val="0074554F"/>
    <w:rsid w:val="00746F48"/>
    <w:rsid w:val="0075187A"/>
    <w:rsid w:val="0075404D"/>
    <w:rsid w:val="0076139E"/>
    <w:rsid w:val="0076182A"/>
    <w:rsid w:val="00767B7E"/>
    <w:rsid w:val="007770C3"/>
    <w:rsid w:val="00784D24"/>
    <w:rsid w:val="00785FBA"/>
    <w:rsid w:val="00786E4A"/>
    <w:rsid w:val="007875EB"/>
    <w:rsid w:val="0079426B"/>
    <w:rsid w:val="007B42A0"/>
    <w:rsid w:val="007D1682"/>
    <w:rsid w:val="007D312A"/>
    <w:rsid w:val="007D3F19"/>
    <w:rsid w:val="007E23B0"/>
    <w:rsid w:val="007E23E5"/>
    <w:rsid w:val="007F1991"/>
    <w:rsid w:val="007F2C2F"/>
    <w:rsid w:val="007F55FC"/>
    <w:rsid w:val="007F5665"/>
    <w:rsid w:val="00800112"/>
    <w:rsid w:val="0080410D"/>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A4EDE"/>
    <w:rsid w:val="008A6642"/>
    <w:rsid w:val="008B768C"/>
    <w:rsid w:val="008C4DB1"/>
    <w:rsid w:val="008C4EAF"/>
    <w:rsid w:val="008C5176"/>
    <w:rsid w:val="008C7FD0"/>
    <w:rsid w:val="008C7FD8"/>
    <w:rsid w:val="008E1DE7"/>
    <w:rsid w:val="008E40F7"/>
    <w:rsid w:val="008E707C"/>
    <w:rsid w:val="008F00E8"/>
    <w:rsid w:val="00900B08"/>
    <w:rsid w:val="00902155"/>
    <w:rsid w:val="00902FA3"/>
    <w:rsid w:val="00922B4F"/>
    <w:rsid w:val="00923564"/>
    <w:rsid w:val="0092392E"/>
    <w:rsid w:val="00930BC4"/>
    <w:rsid w:val="009315F9"/>
    <w:rsid w:val="00933499"/>
    <w:rsid w:val="00935C98"/>
    <w:rsid w:val="00946945"/>
    <w:rsid w:val="00947B25"/>
    <w:rsid w:val="00951248"/>
    <w:rsid w:val="0095152F"/>
    <w:rsid w:val="00953EE9"/>
    <w:rsid w:val="00954C49"/>
    <w:rsid w:val="00955E37"/>
    <w:rsid w:val="0097099F"/>
    <w:rsid w:val="00971997"/>
    <w:rsid w:val="00971FFC"/>
    <w:rsid w:val="0098660A"/>
    <w:rsid w:val="009931C3"/>
    <w:rsid w:val="009B2C43"/>
    <w:rsid w:val="009B4EAE"/>
    <w:rsid w:val="009B7573"/>
    <w:rsid w:val="009C22F4"/>
    <w:rsid w:val="009C2A4B"/>
    <w:rsid w:val="009C2E98"/>
    <w:rsid w:val="009D2456"/>
    <w:rsid w:val="009D3447"/>
    <w:rsid w:val="009D4711"/>
    <w:rsid w:val="009F1185"/>
    <w:rsid w:val="009F18CD"/>
    <w:rsid w:val="009F2A13"/>
    <w:rsid w:val="009F37AE"/>
    <w:rsid w:val="009F7527"/>
    <w:rsid w:val="00A04EB0"/>
    <w:rsid w:val="00A10FBC"/>
    <w:rsid w:val="00A1227E"/>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0043"/>
    <w:rsid w:val="00B70DC5"/>
    <w:rsid w:val="00B77EA6"/>
    <w:rsid w:val="00B81598"/>
    <w:rsid w:val="00B841F1"/>
    <w:rsid w:val="00B944D6"/>
    <w:rsid w:val="00B967A5"/>
    <w:rsid w:val="00BB4DF0"/>
    <w:rsid w:val="00BC289F"/>
    <w:rsid w:val="00BC2D50"/>
    <w:rsid w:val="00BC3874"/>
    <w:rsid w:val="00BC5361"/>
    <w:rsid w:val="00BC5460"/>
    <w:rsid w:val="00BC6B50"/>
    <w:rsid w:val="00BD0E25"/>
    <w:rsid w:val="00BE2F20"/>
    <w:rsid w:val="00BE3B39"/>
    <w:rsid w:val="00BE48D7"/>
    <w:rsid w:val="00BF5BD6"/>
    <w:rsid w:val="00C03E31"/>
    <w:rsid w:val="00C33E72"/>
    <w:rsid w:val="00C354B2"/>
    <w:rsid w:val="00C35554"/>
    <w:rsid w:val="00C42709"/>
    <w:rsid w:val="00C533CC"/>
    <w:rsid w:val="00C542C4"/>
    <w:rsid w:val="00C5751C"/>
    <w:rsid w:val="00C61BFC"/>
    <w:rsid w:val="00C62B85"/>
    <w:rsid w:val="00C65438"/>
    <w:rsid w:val="00C70D91"/>
    <w:rsid w:val="00C87FD8"/>
    <w:rsid w:val="00C91381"/>
    <w:rsid w:val="00C91CBB"/>
    <w:rsid w:val="00CB1270"/>
    <w:rsid w:val="00CB4E70"/>
    <w:rsid w:val="00CC09B6"/>
    <w:rsid w:val="00CC666F"/>
    <w:rsid w:val="00CD1E3F"/>
    <w:rsid w:val="00CE44F6"/>
    <w:rsid w:val="00CE49DA"/>
    <w:rsid w:val="00CE613A"/>
    <w:rsid w:val="00CE7B61"/>
    <w:rsid w:val="00D00095"/>
    <w:rsid w:val="00D0510D"/>
    <w:rsid w:val="00D114F0"/>
    <w:rsid w:val="00D20620"/>
    <w:rsid w:val="00D254F7"/>
    <w:rsid w:val="00D26091"/>
    <w:rsid w:val="00D2685C"/>
    <w:rsid w:val="00D31E6F"/>
    <w:rsid w:val="00D34E7C"/>
    <w:rsid w:val="00D35489"/>
    <w:rsid w:val="00D36AFE"/>
    <w:rsid w:val="00D51276"/>
    <w:rsid w:val="00D7035F"/>
    <w:rsid w:val="00DA3D1C"/>
    <w:rsid w:val="00DA46AC"/>
    <w:rsid w:val="00DA634F"/>
    <w:rsid w:val="00DA65AC"/>
    <w:rsid w:val="00DB1913"/>
    <w:rsid w:val="00DC410D"/>
    <w:rsid w:val="00DC5A81"/>
    <w:rsid w:val="00DC68CA"/>
    <w:rsid w:val="00DC7CBA"/>
    <w:rsid w:val="00DD73B7"/>
    <w:rsid w:val="00DF28BC"/>
    <w:rsid w:val="00DF34B9"/>
    <w:rsid w:val="00E01053"/>
    <w:rsid w:val="00E07ACF"/>
    <w:rsid w:val="00E226CF"/>
    <w:rsid w:val="00E331A1"/>
    <w:rsid w:val="00E33202"/>
    <w:rsid w:val="00E336A9"/>
    <w:rsid w:val="00E472B1"/>
    <w:rsid w:val="00E50624"/>
    <w:rsid w:val="00E568DF"/>
    <w:rsid w:val="00E64269"/>
    <w:rsid w:val="00E67F77"/>
    <w:rsid w:val="00E75301"/>
    <w:rsid w:val="00E82267"/>
    <w:rsid w:val="00E853CE"/>
    <w:rsid w:val="00E867B6"/>
    <w:rsid w:val="00EA010F"/>
    <w:rsid w:val="00EB6D5A"/>
    <w:rsid w:val="00ED1B63"/>
    <w:rsid w:val="00ED3C1F"/>
    <w:rsid w:val="00ED4085"/>
    <w:rsid w:val="00ED420E"/>
    <w:rsid w:val="00ED46FD"/>
    <w:rsid w:val="00ED6FBE"/>
    <w:rsid w:val="00EE2F57"/>
    <w:rsid w:val="00EF4C34"/>
    <w:rsid w:val="00EF77C6"/>
    <w:rsid w:val="00F026BB"/>
    <w:rsid w:val="00F05438"/>
    <w:rsid w:val="00F1361C"/>
    <w:rsid w:val="00F156F0"/>
    <w:rsid w:val="00F160C7"/>
    <w:rsid w:val="00F2408F"/>
    <w:rsid w:val="00F240E9"/>
    <w:rsid w:val="00F3208C"/>
    <w:rsid w:val="00F36D8F"/>
    <w:rsid w:val="00F417B1"/>
    <w:rsid w:val="00F45853"/>
    <w:rsid w:val="00F50E63"/>
    <w:rsid w:val="00F602DF"/>
    <w:rsid w:val="00F615B9"/>
    <w:rsid w:val="00F62678"/>
    <w:rsid w:val="00F754A1"/>
    <w:rsid w:val="00F81FD9"/>
    <w:rsid w:val="00F841AA"/>
    <w:rsid w:val="00F84A94"/>
    <w:rsid w:val="00F87E96"/>
    <w:rsid w:val="00FA23E8"/>
    <w:rsid w:val="00FC5F2A"/>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DF3DDE"/>
    <w:rsid w:val="42FF6694"/>
    <w:rsid w:val="48BF60AB"/>
    <w:rsid w:val="493C27E9"/>
    <w:rsid w:val="496F39ED"/>
    <w:rsid w:val="49FF41D3"/>
    <w:rsid w:val="4BE068DB"/>
    <w:rsid w:val="4BF6002B"/>
    <w:rsid w:val="4BFFC6BE"/>
    <w:rsid w:val="4ECE2238"/>
    <w:rsid w:val="51DB4B86"/>
    <w:rsid w:val="51F64DB0"/>
    <w:rsid w:val="55333C3E"/>
    <w:rsid w:val="5D373124"/>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7F2CAFB"/>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6FDF52"/>
    <w:rsid w:val="EFED9E42"/>
    <w:rsid w:val="EFFFB194"/>
    <w:rsid w:val="F0E364AE"/>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rPr>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4484035168903"/>
          <c:y val="0.0384276455239014"/>
          <c:w val="0.860064784821842"/>
          <c:h val="0.853963254593178"/>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2022年度收、支总计</c:v>
                </c:pt>
                <c:pt idx="1">
                  <c:v>2023年度收、支总计</c:v>
                </c:pt>
              </c:strCache>
            </c:strRef>
          </c:cat>
          <c:val>
            <c:numRef>
              <c:f>Sheet1!$B$2:$B$3</c:f>
              <c:numCache>
                <c:formatCode>General"万""元"</c:formatCode>
                <c:ptCount val="2"/>
                <c:pt idx="0">
                  <c:v>1859.98</c:v>
                </c:pt>
                <c:pt idx="1">
                  <c:v>2105.43</c:v>
                </c:pt>
              </c:numCache>
            </c:numRef>
          </c:val>
        </c:ser>
        <c:dLbls>
          <c:showLegendKey val="false"/>
          <c:showVal val="true"/>
          <c:showCatName val="false"/>
          <c:showSerName val="false"/>
          <c:showPercent val="false"/>
          <c:showBubbleSize val="false"/>
        </c:dLbls>
        <c:gapWidth val="219"/>
        <c:overlap val="-27"/>
        <c:axId val="171684608"/>
        <c:axId val="171686144"/>
      </c:barChart>
      <c:catAx>
        <c:axId val="171684608"/>
        <c:scaling>
          <c:orientation val="minMax"/>
        </c:scaling>
        <c:delete val="false"/>
        <c:axPos val="b"/>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1686144"/>
        <c:crosses val="autoZero"/>
        <c:auto val="true"/>
        <c:lblAlgn val="ctr"/>
        <c:lblOffset val="100"/>
        <c:noMultiLvlLbl val="false"/>
      </c:catAx>
      <c:valAx>
        <c:axId val="171686144"/>
        <c:scaling>
          <c:orientation val="minMax"/>
          <c:max val="2200"/>
          <c:min val="1100"/>
        </c:scaling>
        <c:delete val="false"/>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prstDash val="solid"/>
              <a:round/>
            </a:ln>
            <a:effectLst/>
          </c:spPr>
        </c:majorGridlines>
        <c:numFmt formatCode="General&quot;万&quot;&quot;元&quot;" sourceLinked="true"/>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1684608"/>
        <c:crosses val="autoZero"/>
        <c:crossBetween val="between"/>
        <c:majorUnit val="200"/>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一般公共预算财政拨款收入</c:v>
                </c:pt>
                <c:pt idx="1">
                  <c:v>政府性基金预算财政拨款收入</c:v>
                </c:pt>
              </c:strCache>
            </c:strRef>
          </c:cat>
          <c:val>
            <c:numRef>
              <c:f>Sheet1!$B$2:$B$3</c:f>
              <c:numCache>
                <c:formatCode>General"万""元"</c:formatCode>
                <c:ptCount val="2"/>
                <c:pt idx="0">
                  <c:v>1305.55</c:v>
                </c:pt>
                <c:pt idx="1">
                  <c:v>799.89</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General"万""元"</c:formatCode>
                <c:ptCount val="2"/>
                <c:pt idx="0">
                  <c:v>1165.1</c:v>
                </c:pt>
                <c:pt idx="1">
                  <c:v>940.339999999999</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4484035168903"/>
          <c:y val="0.0384276455239014"/>
          <c:w val="0.860064784821842"/>
          <c:h val="0.853963254593178"/>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2022年度财政拨款收、支总计</c:v>
                </c:pt>
                <c:pt idx="1">
                  <c:v>2023年度财政拨款收、支总计</c:v>
                </c:pt>
              </c:strCache>
            </c:strRef>
          </c:cat>
          <c:val>
            <c:numRef>
              <c:f>Sheet1!$B$2:$B$3</c:f>
              <c:numCache>
                <c:formatCode>General"万""元"</c:formatCode>
                <c:ptCount val="2"/>
                <c:pt idx="0">
                  <c:v>1859.98</c:v>
                </c:pt>
                <c:pt idx="1">
                  <c:v>2105.43</c:v>
                </c:pt>
              </c:numCache>
            </c:numRef>
          </c:val>
        </c:ser>
        <c:dLbls>
          <c:showLegendKey val="false"/>
          <c:showVal val="true"/>
          <c:showCatName val="false"/>
          <c:showSerName val="false"/>
          <c:showPercent val="false"/>
          <c:showBubbleSize val="false"/>
        </c:dLbls>
        <c:gapWidth val="219"/>
        <c:overlap val="-27"/>
        <c:axId val="331989376"/>
        <c:axId val="331990912"/>
      </c:barChart>
      <c:catAx>
        <c:axId val="331989376"/>
        <c:scaling>
          <c:orientation val="minMax"/>
        </c:scaling>
        <c:delete val="false"/>
        <c:axPos val="b"/>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1990912"/>
        <c:crosses val="autoZero"/>
        <c:auto val="true"/>
        <c:lblAlgn val="ctr"/>
        <c:lblOffset val="100"/>
        <c:noMultiLvlLbl val="false"/>
      </c:catAx>
      <c:valAx>
        <c:axId val="331990912"/>
        <c:scaling>
          <c:orientation val="minMax"/>
          <c:max val="2200"/>
          <c:min val="1100"/>
        </c:scaling>
        <c:delete val="false"/>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prstDash val="solid"/>
              <a:round/>
            </a:ln>
            <a:effectLst/>
          </c:spPr>
        </c:majorGridlines>
        <c:numFmt formatCode="General&quot;万&quot;&quot;元&quot;" sourceLinked="true"/>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1989376"/>
        <c:crosses val="autoZero"/>
        <c:crossBetween val="between"/>
        <c:majorUnit val="200"/>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4484035168903"/>
          <c:y val="0.0584978918451521"/>
          <c:w val="0.860064784821842"/>
          <c:h val="0.852258365663477"/>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2022年度一般公共预算财政拨款支出</c:v>
                </c:pt>
                <c:pt idx="1">
                  <c:v>2023年度一般公共预算财政拨款支出</c:v>
                </c:pt>
              </c:strCache>
            </c:strRef>
          </c:cat>
          <c:val>
            <c:numRef>
              <c:f>Sheet1!$B$2:$B$3</c:f>
              <c:numCache>
                <c:formatCode>General"万""元"</c:formatCode>
                <c:ptCount val="2"/>
                <c:pt idx="0">
                  <c:v>1859.98</c:v>
                </c:pt>
                <c:pt idx="1">
                  <c:v>1305.55</c:v>
                </c:pt>
              </c:numCache>
            </c:numRef>
          </c:val>
        </c:ser>
        <c:dLbls>
          <c:showLegendKey val="false"/>
          <c:showVal val="true"/>
          <c:showCatName val="false"/>
          <c:showSerName val="false"/>
          <c:showPercent val="false"/>
          <c:showBubbleSize val="false"/>
        </c:dLbls>
        <c:gapWidth val="219"/>
        <c:overlap val="-27"/>
        <c:axId val="171602688"/>
        <c:axId val="171604224"/>
      </c:barChart>
      <c:catAx>
        <c:axId val="171602688"/>
        <c:scaling>
          <c:orientation val="minMax"/>
        </c:scaling>
        <c:delete val="false"/>
        <c:axPos val="b"/>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1604224"/>
        <c:crosses val="autoZero"/>
        <c:auto val="true"/>
        <c:lblAlgn val="ctr"/>
        <c:lblOffset val="100"/>
        <c:noMultiLvlLbl val="false"/>
      </c:catAx>
      <c:valAx>
        <c:axId val="171604224"/>
        <c:scaling>
          <c:orientation val="minMax"/>
          <c:max val="2000"/>
          <c:min val="1000"/>
        </c:scaling>
        <c:delete val="false"/>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prstDash val="solid"/>
              <a:round/>
            </a:ln>
            <a:effectLst/>
          </c:spPr>
        </c:majorGridlines>
        <c:numFmt formatCode="General&quot;万&quot;&quot;元&quot;" sourceLinked="true"/>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1602688"/>
        <c:crosses val="autoZero"/>
        <c:crossBetween val="between"/>
        <c:majorUnit val="200"/>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7336536976996"/>
          <c:y val="0.115832975423527"/>
          <c:w val="0.422717886367146"/>
          <c:h val="0.836212837031735"/>
        </c:manualLayout>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社会保障和就业支出</c:v>
                </c:pt>
                <c:pt idx="1">
                  <c:v>卫生健康支出</c:v>
                </c:pt>
                <c:pt idx="2">
                  <c:v>住房保障支出</c:v>
                </c:pt>
              </c:strCache>
            </c:strRef>
          </c:cat>
          <c:val>
            <c:numRef>
              <c:f>Sheet1!$B$2:$B$4</c:f>
              <c:numCache>
                <c:formatCode>0.00"万""元"</c:formatCode>
                <c:ptCount val="3"/>
                <c:pt idx="0">
                  <c:v>294.56</c:v>
                </c:pt>
                <c:pt idx="1">
                  <c:v>932.8</c:v>
                </c:pt>
                <c:pt idx="2">
                  <c:v>78.19</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0571831094643"/>
          <c:y val="0.115832975423527"/>
          <c:w val="0.434972788327931"/>
          <c:h val="0.860455261274159"/>
        </c:manualLayout>
      </c:layout>
      <c:pieChart>
        <c:varyColors val="true"/>
        <c:ser>
          <c:idx val="0"/>
          <c:order val="0"/>
          <c:tx>
            <c:strRef>
              <c:f>Sheet1!$B$1</c:f>
              <c:strCache>
                <c:ptCount val="1"/>
                <c:pt idx="0">
                  <c:v>销售额</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公务用车购置及运行维护费支出决算</c:v>
                </c:pt>
                <c:pt idx="1">
                  <c:v>公务接待费支出决算</c:v>
                </c:pt>
              </c:strCache>
            </c:strRef>
          </c:cat>
          <c:val>
            <c:numRef>
              <c:f>Sheet1!$B$2:$B$3</c:f>
              <c:numCache>
                <c:formatCode>0.00"万""元"</c:formatCode>
                <c:ptCount val="2"/>
                <c:pt idx="0">
                  <c:v>14.71</c:v>
                </c:pt>
                <c:pt idx="1">
                  <c:v>0.22</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874</Words>
  <Characters>4982</Characters>
  <Lines>41</Lines>
  <Paragraphs>11</Paragraphs>
  <TotalTime>26</TotalTime>
  <ScaleCrop>false</ScaleCrop>
  <LinksUpToDate>false</LinksUpToDate>
  <CharactersWithSpaces>5845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2024-09-09T10:26:00Z</dcterms:created>
  <dc:creator>曹颖</dc:creator>
  <cp:lastModifiedBy>user</cp:lastModifiedBy>
  <cp:lastPrinted>2023-08-03T10:35:00Z</cp:lastPrinted>
  <dcterms:modified xsi:type="dcterms:W3CDTF">2024-09-18T09:52:21Z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