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597"/>
      <w:bookmarkStart w:id="4" w:name="_Toc15396475"/>
      <w:bookmarkStart w:id="5"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96598"/>
      <w:bookmarkStart w:id="9" w:name="_Toc15377194"/>
      <w:bookmarkStart w:id="10" w:name="_Toc15378442"/>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lang w:val="en-US" w:eastAsia="zh-CN"/>
        </w:rPr>
        <w:t>中心医院</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pStyle w:val="10"/>
        <w:adjustRightInd w:val="0"/>
        <w:snapToGrid w:val="0"/>
        <w:spacing w:before="0" w:line="440" w:lineRule="exact"/>
        <w:ind w:firstLine="2240" w:firstLineChars="800"/>
        <w:jc w:val="left"/>
        <w:rPr>
          <w:rFonts w:hint="eastAsia"/>
        </w:rPr>
      </w:pPr>
    </w:p>
    <w:p>
      <w:pPr>
        <w:pStyle w:val="10"/>
        <w:adjustRightInd w:val="0"/>
        <w:snapToGrid w:val="0"/>
        <w:spacing w:before="0" w:line="440" w:lineRule="exact"/>
        <w:ind w:firstLine="2240" w:firstLineChars="800"/>
        <w:jc w:val="left"/>
        <w:rPr>
          <w:rFonts w:hint="eastAsia"/>
        </w:rPr>
      </w:pPr>
    </w:p>
    <w:p>
      <w:pPr>
        <w:pStyle w:val="10"/>
        <w:adjustRightInd w:val="0"/>
        <w:snapToGrid w:val="0"/>
        <w:spacing w:before="0" w:line="440" w:lineRule="exact"/>
        <w:ind w:firstLine="2240" w:firstLineChars="800"/>
        <w:jc w:val="left"/>
        <w:rPr>
          <w:rFonts w:hint="eastAsia"/>
        </w:rPr>
      </w:pPr>
      <w:r>
        <w:rPr>
          <w:rFonts w:hint="eastAsia"/>
        </w:rPr>
        <w:t>公开时间：2023年9月</w:t>
      </w:r>
      <w:r>
        <w:rPr>
          <w:rFonts w:hint="eastAsia"/>
          <w:lang w:val="en-US" w:eastAsia="zh-CN"/>
        </w:rPr>
        <w:t>14</w:t>
      </w:r>
      <w:r>
        <w:rPr>
          <w:rFonts w:hint="eastAsia"/>
        </w:rPr>
        <w:t>日</w:t>
      </w:r>
    </w:p>
    <w:p>
      <w:pPr>
        <w:pStyle w:val="10"/>
        <w:keepNext w:val="0"/>
        <w:keepLines w:val="0"/>
        <w:pageBreakBefore w:val="0"/>
        <w:widowControl w:val="0"/>
        <w:kinsoku/>
        <w:wordWrap/>
        <w:overflowPunct/>
        <w:topLinePunct w:val="0"/>
        <w:autoSpaceDE/>
        <w:autoSpaceDN/>
        <w:bidi w:val="0"/>
        <w:adjustRightInd w:val="0"/>
        <w:snapToGrid w:val="0"/>
        <w:spacing w:before="0" w:line="400" w:lineRule="exact"/>
        <w:jc w:val="left"/>
        <w:textAlignment w:val="auto"/>
        <w:rPr>
          <w:rFonts w:hint="eastAsia" w:ascii="黑体" w:hAnsi="黑体" w:eastAsia="黑体" w:cs="黑体"/>
          <w:sz w:val="24"/>
          <w:szCs w:val="24"/>
        </w:rPr>
      </w:pPr>
    </w:p>
    <w:p>
      <w:pPr>
        <w:pStyle w:val="10"/>
        <w:keepNext w:val="0"/>
        <w:keepLines w:val="0"/>
        <w:pageBreakBefore w:val="0"/>
        <w:widowControl w:val="0"/>
        <w:tabs>
          <w:tab w:val="right" w:leader="dot" w:pos="7770"/>
          <w:tab w:val="right" w:leader="dot" w:pos="7980"/>
          <w:tab w:val="right" w:leader="dot" w:pos="8400"/>
          <w:tab w:val="right" w:pos="9450"/>
        </w:tabs>
        <w:kinsoku/>
        <w:wordWrap/>
        <w:overflowPunct/>
        <w:topLinePunct w:val="0"/>
        <w:autoSpaceDE/>
        <w:autoSpaceDN/>
        <w:bidi w:val="0"/>
        <w:adjustRightInd w:val="0"/>
        <w:snapToGrid w:val="0"/>
        <w:spacing w:before="0" w:line="440" w:lineRule="exact"/>
        <w:ind w:firstLine="0" w:firstLineChars="0"/>
        <w:jc w:val="left"/>
        <w:textAlignment w:val="auto"/>
        <w:rPr>
          <w:rFonts w:hint="eastAsia" w:ascii="黑体" w:hAnsi="黑体" w:eastAsia="黑体" w:cs="黑体"/>
          <w:sz w:val="24"/>
          <w:szCs w:val="24"/>
          <w:lang w:val="en-US" w:eastAsia="zh-CN"/>
        </w:rPr>
      </w:pPr>
      <w:r>
        <w:rPr>
          <w:rFonts w:hint="eastAsia" w:ascii="仿宋" w:hAnsi="仿宋" w:eastAsia="仿宋" w:cs="仿宋"/>
          <w:sz w:val="24"/>
          <w:szCs w:val="24"/>
        </w:rPr>
        <w:t>第一部分 单位概况</w:t>
      </w:r>
      <w:r>
        <w:rPr>
          <w:rFonts w:hint="eastAsia" w:cs="仿宋"/>
          <w:sz w:val="24"/>
          <w:szCs w:val="24"/>
          <w:lang w:val="en-US" w:eastAsia="zh-CN"/>
        </w:rPr>
        <w:tab/>
      </w:r>
      <w:r>
        <w:rPr>
          <w:rFonts w:hint="eastAsia" w:ascii="宋体" w:hAnsi="宋体" w:eastAsia="宋体" w:cs="宋体"/>
          <w:sz w:val="24"/>
          <w:szCs w:val="24"/>
          <w:lang w:val="en-US" w:eastAsia="zh-CN"/>
        </w:rPr>
        <w:t>4</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黑体" w:hAnsi="黑体" w:eastAsia="黑体" w:cs="黑体"/>
          <w:sz w:val="21"/>
          <w:szCs w:val="21"/>
          <w:lang w:val="en-US" w:eastAsia="zh-CN"/>
        </w:rPr>
      </w:pPr>
      <w:r>
        <w:rPr>
          <w:rFonts w:hint="eastAsia" w:ascii="宋体" w:hAnsi="宋体" w:eastAsia="宋体" w:cs="宋体"/>
          <w:sz w:val="24"/>
          <w:szCs w:val="24"/>
        </w:rPr>
        <w:t>一、主要职责</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黑体" w:hAnsi="黑体" w:eastAsia="黑体" w:cs="黑体"/>
          <w:sz w:val="21"/>
          <w:szCs w:val="21"/>
          <w:lang w:val="en-US" w:eastAsia="zh-CN"/>
        </w:rPr>
      </w:pPr>
      <w:r>
        <w:rPr>
          <w:rFonts w:hint="eastAsia" w:ascii="宋体" w:hAnsi="宋体" w:eastAsia="宋体" w:cs="宋体"/>
          <w:sz w:val="24"/>
          <w:szCs w:val="24"/>
        </w:rPr>
        <w:t>二、机构设置</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w:t>
      </w:r>
    </w:p>
    <w:p>
      <w:pPr>
        <w:pStyle w:val="10"/>
        <w:keepNext w:val="0"/>
        <w:keepLines w:val="0"/>
        <w:pageBreakBefore w:val="0"/>
        <w:widowControl w:val="0"/>
        <w:tabs>
          <w:tab w:val="right" w:leader="dot" w:pos="7770"/>
        </w:tabs>
        <w:kinsoku/>
        <w:wordWrap/>
        <w:overflowPunct/>
        <w:topLinePunct w:val="0"/>
        <w:autoSpaceDE/>
        <w:autoSpaceDN/>
        <w:bidi w:val="0"/>
        <w:adjustRightInd w:val="0"/>
        <w:snapToGrid w:val="0"/>
        <w:spacing w:before="0" w:line="440" w:lineRule="exact"/>
        <w:ind w:firstLine="0" w:firstLineChars="0"/>
        <w:jc w:val="left"/>
        <w:textAlignment w:val="auto"/>
        <w:rPr>
          <w:rFonts w:hint="eastAsia" w:ascii="黑体" w:hAnsi="黑体" w:eastAsia="黑体" w:cs="黑体"/>
          <w:sz w:val="24"/>
          <w:szCs w:val="24"/>
          <w:lang w:val="en-US" w:eastAsia="zh-CN"/>
        </w:rPr>
      </w:pPr>
      <w:r>
        <w:rPr>
          <w:rFonts w:hint="eastAsia" w:ascii="仿宋" w:hAnsi="仿宋" w:eastAsia="仿宋" w:cs="仿宋"/>
          <w:sz w:val="24"/>
          <w:szCs w:val="24"/>
        </w:rPr>
        <w:t>第二部分 2022年度单位决算情况说明</w:t>
      </w:r>
      <w:r>
        <w:rPr>
          <w:rFonts w:hint="eastAsia" w:cs="仿宋"/>
          <w:sz w:val="24"/>
          <w:szCs w:val="24"/>
          <w:lang w:val="en-US" w:eastAsia="zh-CN"/>
        </w:rPr>
        <w:tab/>
      </w:r>
      <w:r>
        <w:rPr>
          <w:rFonts w:hint="eastAsia" w:ascii="宋体" w:hAnsi="宋体" w:eastAsia="宋体" w:cs="宋体"/>
          <w:sz w:val="24"/>
          <w:szCs w:val="24"/>
          <w:lang w:val="en-US" w:eastAsia="zh-CN"/>
        </w:rPr>
        <w:t>5</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黑体" w:hAnsi="黑体" w:eastAsia="黑体" w:cs="黑体"/>
          <w:sz w:val="21"/>
          <w:szCs w:val="21"/>
          <w:lang w:val="en-US" w:eastAsia="zh-CN"/>
        </w:rPr>
      </w:pPr>
      <w:r>
        <w:rPr>
          <w:rFonts w:hint="eastAsia" w:ascii="宋体" w:hAnsi="宋体" w:eastAsia="宋体" w:cs="宋体"/>
          <w:sz w:val="24"/>
          <w:szCs w:val="24"/>
        </w:rPr>
        <w:t>一、收入支出决算总体情况说明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黑体" w:hAnsi="黑体" w:eastAsia="黑体" w:cs="黑体"/>
          <w:sz w:val="21"/>
          <w:szCs w:val="21"/>
          <w:lang w:val="en-US" w:eastAsia="zh-CN"/>
        </w:rPr>
      </w:pPr>
      <w:r>
        <w:rPr>
          <w:rFonts w:hint="eastAsia" w:ascii="宋体" w:hAnsi="宋体" w:eastAsia="宋体" w:cs="宋体"/>
          <w:sz w:val="24"/>
          <w:szCs w:val="24"/>
        </w:rPr>
        <w:t>二、收入决算情况说明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黑体" w:hAnsi="黑体" w:eastAsia="黑体" w:cs="黑体"/>
          <w:sz w:val="21"/>
          <w:szCs w:val="21"/>
          <w:lang w:val="en-US" w:eastAsia="zh-CN"/>
        </w:rPr>
      </w:pPr>
      <w:r>
        <w:rPr>
          <w:rFonts w:hint="eastAsia" w:ascii="宋体" w:hAnsi="宋体" w:eastAsia="宋体" w:cs="宋体"/>
          <w:sz w:val="24"/>
          <w:szCs w:val="24"/>
        </w:rPr>
        <w:t>三、支出决算情况说明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6</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黑体" w:hAnsi="黑体" w:eastAsia="黑体" w:cs="黑体"/>
          <w:sz w:val="21"/>
          <w:szCs w:val="21"/>
          <w:lang w:val="en-US" w:eastAsia="zh-CN"/>
        </w:rPr>
      </w:pPr>
      <w:r>
        <w:rPr>
          <w:rFonts w:hint="eastAsia" w:ascii="宋体" w:hAnsi="宋体" w:eastAsia="宋体" w:cs="宋体"/>
          <w:sz w:val="24"/>
          <w:szCs w:val="24"/>
        </w:rPr>
        <w:t>四、财政拨款收入支出决算总体情况说明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七、财政拨款“三公”经费支出决算情况说明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八、政府性基金预算支出决算情况说明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11</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九、国有资本经营预算支出决算情况说明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11</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十、其他重要事项的情况说明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p>
    <w:p>
      <w:pPr>
        <w:pStyle w:val="10"/>
        <w:keepNext w:val="0"/>
        <w:keepLines w:val="0"/>
        <w:pageBreakBefore w:val="0"/>
        <w:widowControl w:val="0"/>
        <w:tabs>
          <w:tab w:val="right" w:leader="dot" w:pos="7770"/>
        </w:tabs>
        <w:kinsoku/>
        <w:wordWrap/>
        <w:overflowPunct/>
        <w:topLinePunct w:val="0"/>
        <w:autoSpaceDE/>
        <w:autoSpaceDN/>
        <w:bidi w:val="0"/>
        <w:adjustRightInd w:val="0"/>
        <w:snapToGrid w:val="0"/>
        <w:spacing w:before="0" w:line="440" w:lineRule="exact"/>
        <w:jc w:val="left"/>
        <w:textAlignment w:val="auto"/>
        <w:rPr>
          <w:rFonts w:hint="default" w:ascii="黑体" w:hAnsi="黑体" w:eastAsia="黑体" w:cs="黑体"/>
          <w:sz w:val="24"/>
          <w:szCs w:val="24"/>
          <w:lang w:val="en-US" w:eastAsia="zh-CN"/>
        </w:rPr>
      </w:pPr>
      <w:r>
        <w:rPr>
          <w:rFonts w:hint="eastAsia" w:ascii="仿宋" w:hAnsi="仿宋" w:eastAsia="仿宋" w:cs="仿宋"/>
          <w:sz w:val="24"/>
          <w:szCs w:val="24"/>
        </w:rPr>
        <w:t>第三部分 名词解释</w:t>
      </w:r>
      <w:r>
        <w:rPr>
          <w:rFonts w:hint="eastAsia" w:cs="仿宋"/>
          <w:sz w:val="24"/>
          <w:szCs w:val="24"/>
          <w:lang w:val="en-US" w:eastAsia="zh-CN"/>
        </w:rPr>
        <w:tab/>
      </w:r>
      <w:r>
        <w:rPr>
          <w:rFonts w:hint="eastAsia" w:ascii="宋体" w:hAnsi="宋体" w:eastAsia="宋体" w:cs="宋体"/>
          <w:sz w:val="24"/>
          <w:szCs w:val="24"/>
          <w:lang w:val="en-US" w:eastAsia="zh-CN"/>
        </w:rPr>
        <w:t>13</w:t>
      </w:r>
    </w:p>
    <w:p>
      <w:pPr>
        <w:pStyle w:val="10"/>
        <w:keepNext w:val="0"/>
        <w:keepLines w:val="0"/>
        <w:pageBreakBefore w:val="0"/>
        <w:widowControl w:val="0"/>
        <w:tabs>
          <w:tab w:val="right" w:leader="dot" w:pos="7770"/>
        </w:tabs>
        <w:kinsoku/>
        <w:wordWrap/>
        <w:overflowPunct/>
        <w:topLinePunct w:val="0"/>
        <w:autoSpaceDE/>
        <w:autoSpaceDN/>
        <w:bidi w:val="0"/>
        <w:adjustRightInd w:val="0"/>
        <w:snapToGrid w:val="0"/>
        <w:spacing w:before="0" w:line="440" w:lineRule="exact"/>
        <w:jc w:val="left"/>
        <w:textAlignment w:val="auto"/>
        <w:rPr>
          <w:rFonts w:hint="default" w:ascii="黑体" w:hAnsi="黑体" w:eastAsia="黑体" w:cs="黑体"/>
          <w:sz w:val="21"/>
          <w:szCs w:val="21"/>
          <w:lang w:val="en-US" w:eastAsia="zh-CN"/>
        </w:rPr>
      </w:pPr>
      <w:r>
        <w:rPr>
          <w:rFonts w:hint="eastAsia" w:ascii="仿宋" w:hAnsi="仿宋" w:eastAsia="仿宋" w:cs="仿宋"/>
          <w:sz w:val="24"/>
          <w:szCs w:val="24"/>
        </w:rPr>
        <w:t>第四部分 附件</w:t>
      </w:r>
      <w:r>
        <w:rPr>
          <w:rFonts w:hint="eastAsia" w:cs="仿宋"/>
          <w:sz w:val="24"/>
          <w:szCs w:val="24"/>
          <w:lang w:val="en-US" w:eastAsia="zh-CN"/>
        </w:rPr>
        <w:tab/>
      </w:r>
      <w:r>
        <w:rPr>
          <w:rFonts w:hint="eastAsia" w:ascii="宋体" w:hAnsi="宋体" w:eastAsia="宋体" w:cs="宋体"/>
          <w:sz w:val="24"/>
          <w:szCs w:val="24"/>
          <w:lang w:val="en-US" w:eastAsia="zh-CN"/>
        </w:rPr>
        <w:t>16</w:t>
      </w:r>
    </w:p>
    <w:p>
      <w:pPr>
        <w:pStyle w:val="10"/>
        <w:keepNext w:val="0"/>
        <w:keepLines w:val="0"/>
        <w:pageBreakBefore w:val="0"/>
        <w:widowControl w:val="0"/>
        <w:tabs>
          <w:tab w:val="right" w:leader="dot" w:pos="777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ascii="仿宋" w:hAnsi="仿宋" w:eastAsia="仿宋" w:cs="仿宋"/>
          <w:sz w:val="24"/>
          <w:szCs w:val="24"/>
        </w:rPr>
        <w:t>第五部分 附表</w:t>
      </w:r>
      <w:r>
        <w:rPr>
          <w:rFonts w:hint="eastAsia" w:cs="仿宋"/>
          <w:sz w:val="24"/>
          <w:szCs w:val="24"/>
          <w:lang w:val="en-US" w:eastAsia="zh-CN"/>
        </w:rPr>
        <w:tab/>
      </w:r>
      <w:r>
        <w:rPr>
          <w:rFonts w:hint="eastAsia" w:ascii="宋体" w:hAnsi="宋体" w:eastAsia="宋体" w:cs="宋体"/>
          <w:sz w:val="24"/>
          <w:szCs w:val="24"/>
          <w:lang w:val="en-US" w:eastAsia="zh-CN"/>
        </w:rPr>
        <w:t>17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一、收入支出决算总表</w:t>
      </w:r>
      <w:r>
        <w:rPr>
          <w:rFonts w:hint="eastAsia" w:ascii="宋体" w:hAnsi="宋体" w:eastAsia="宋体" w:cs="宋体"/>
          <w:sz w:val="24"/>
          <w:szCs w:val="24"/>
          <w:lang w:val="en-US" w:eastAsia="zh-CN"/>
        </w:rPr>
        <w:tab/>
      </w:r>
      <w:r>
        <w:rPr>
          <w:rFonts w:hint="eastAsia" w:ascii="宋体" w:hAnsi="宋体" w:cs="宋体"/>
          <w:sz w:val="24"/>
          <w:szCs w:val="24"/>
          <w:lang w:val="en-US" w:eastAsia="zh-CN"/>
        </w:rPr>
        <w:t>17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二、收入决算表</w:t>
      </w:r>
      <w:r>
        <w:rPr>
          <w:rFonts w:hint="eastAsia" w:ascii="宋体" w:hAnsi="宋体" w:eastAsia="宋体" w:cs="宋体"/>
          <w:sz w:val="24"/>
          <w:szCs w:val="24"/>
          <w:lang w:val="en-US" w:eastAsia="zh-CN"/>
        </w:rPr>
        <w:tab/>
      </w:r>
      <w:r>
        <w:rPr>
          <w:rFonts w:hint="eastAsia" w:ascii="宋体" w:hAnsi="宋体" w:cs="宋体"/>
          <w:sz w:val="24"/>
          <w:szCs w:val="24"/>
          <w:lang w:val="en-US" w:eastAsia="zh-CN"/>
        </w:rPr>
        <w:t>17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三、支出决算表</w:t>
      </w:r>
      <w:r>
        <w:rPr>
          <w:rFonts w:hint="eastAsia" w:ascii="宋体" w:hAnsi="宋体" w:eastAsia="宋体" w:cs="宋体"/>
          <w:sz w:val="24"/>
          <w:szCs w:val="24"/>
          <w:lang w:val="en-US" w:eastAsia="zh-CN"/>
        </w:rPr>
        <w:tab/>
      </w:r>
      <w:r>
        <w:rPr>
          <w:rFonts w:hint="eastAsia" w:ascii="宋体" w:hAnsi="宋体" w:cs="宋体"/>
          <w:sz w:val="24"/>
          <w:szCs w:val="24"/>
          <w:lang w:val="en-US" w:eastAsia="zh-CN"/>
        </w:rPr>
        <w:t>17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四、财政拨款收入支出决算总表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五、财政拨款支出决算明细表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六、一般公共预算财政拨款支出决算表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八、一般公共预算财政拨款基本支出决算明细表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lang w:val="en-US" w:eastAsia="zh-CN"/>
        </w:rPr>
        <w:tab/>
      </w:r>
      <w:r>
        <w:rPr>
          <w:rFonts w:hint="eastAsia" w:ascii="宋体" w:hAnsi="宋体" w:cs="宋体"/>
          <w:sz w:val="24"/>
          <w:szCs w:val="24"/>
          <w:lang w:val="en-US" w:eastAsia="zh-CN"/>
        </w:rPr>
        <w:t>17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十一、国有资本经营预算财政拨款收入支出决算表</w:t>
      </w:r>
      <w:r>
        <w:rPr>
          <w:rFonts w:hint="eastAsia" w:ascii="宋体" w:hAnsi="宋体" w:eastAsia="宋体" w:cs="宋体"/>
          <w:sz w:val="24"/>
          <w:szCs w:val="24"/>
          <w:lang w:val="en-US" w:eastAsia="zh-CN"/>
        </w:rPr>
        <w:tab/>
      </w:r>
      <w:r>
        <w:rPr>
          <w:rFonts w:hint="eastAsia" w:ascii="宋体" w:hAnsi="宋体" w:cs="宋体"/>
          <w:sz w:val="24"/>
          <w:szCs w:val="24"/>
          <w:lang w:val="en-US" w:eastAsia="zh-CN"/>
        </w:rPr>
        <w:t>17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黑体" w:hAnsi="黑体" w:eastAsia="黑体" w:cs="黑体"/>
          <w:sz w:val="21"/>
          <w:szCs w:val="21"/>
          <w:lang w:val="en-US" w:eastAsia="zh-CN"/>
        </w:rPr>
      </w:pPr>
      <w:r>
        <w:rPr>
          <w:rFonts w:hint="eastAsia" w:ascii="宋体" w:hAnsi="宋体" w:eastAsia="宋体" w:cs="宋体"/>
          <w:sz w:val="24"/>
          <w:szCs w:val="24"/>
        </w:rPr>
        <w:t>十二、国有资本经营预算财政拨款支出决算表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pStyle w:val="11"/>
        <w:keepNext w:val="0"/>
        <w:keepLines w:val="0"/>
        <w:pageBreakBefore w:val="0"/>
        <w:widowControl w:val="0"/>
        <w:tabs>
          <w:tab w:val="right" w:leader="dot" w:pos="7770"/>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sz w:val="21"/>
          <w:szCs w:val="21"/>
          <w:lang w:val="en-US" w:eastAsia="zh-CN"/>
        </w:rPr>
      </w:pPr>
      <w:r>
        <w:rPr>
          <w:rFonts w:hint="eastAsia" w:ascii="宋体" w:hAnsi="宋体" w:eastAsia="宋体" w:cs="宋体"/>
          <w:sz w:val="24"/>
          <w:szCs w:val="24"/>
        </w:rPr>
        <w:t>十三、财政拨款“三公”经费支出决算表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p>
      <w:pPr>
        <w:widowControl/>
        <w:spacing w:line="440" w:lineRule="exact"/>
        <w:ind w:firstLine="2200" w:firstLineChars="500"/>
        <w:jc w:val="left"/>
        <w:rPr>
          <w:rFonts w:hint="eastAsia" w:ascii="黑体" w:hAnsi="黑体" w:eastAsia="黑体"/>
          <w:b w:val="0"/>
          <w:sz w:val="44"/>
          <w:szCs w:val="44"/>
        </w:rPr>
      </w:pPr>
      <w:bookmarkStart w:id="12" w:name="_Toc15396599"/>
      <w:bookmarkStart w:id="13" w:name="_Toc15377196"/>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Fonts w:hint="eastAsia" w:ascii="黑体" w:hAnsi="黑体" w:eastAsia="黑体"/>
          <w:b w:val="0"/>
          <w:sz w:val="44"/>
          <w:szCs w:val="44"/>
        </w:rPr>
      </w:pPr>
    </w:p>
    <w:p>
      <w:pPr>
        <w:widowControl/>
        <w:spacing w:line="440" w:lineRule="exact"/>
        <w:ind w:firstLine="2200" w:firstLineChars="500"/>
        <w:jc w:val="left"/>
        <w:rPr>
          <w:rStyle w:val="24"/>
          <w:rFonts w:ascii="黑体" w:hAnsi="黑体" w:eastAsia="黑体"/>
          <w:b/>
          <w:bCs w:val="0"/>
          <w:sz w:val="44"/>
          <w:szCs w:val="44"/>
        </w:rPr>
      </w:pPr>
      <w:r>
        <w:rPr>
          <w:rFonts w:hint="eastAsia" w:ascii="黑体" w:hAnsi="黑体" w:eastAsia="黑体"/>
          <w:b w:val="0"/>
          <w:sz w:val="44"/>
          <w:szCs w:val="44"/>
        </w:rPr>
        <w:t>第一部分 单位</w:t>
      </w:r>
      <w:r>
        <w:rPr>
          <w:rStyle w:val="24"/>
          <w:rFonts w:hint="eastAsia" w:ascii="黑体" w:hAnsi="黑体" w:eastAsia="黑体"/>
          <w:b w:val="0"/>
          <w:bCs w:val="0"/>
          <w:sz w:val="44"/>
          <w:szCs w:val="44"/>
        </w:rPr>
        <w:t>概况</w:t>
      </w:r>
      <w:bookmarkEnd w:id="12"/>
      <w:bookmarkEnd w:id="13"/>
    </w:p>
    <w:p>
      <w:pPr>
        <w:widowControl/>
        <w:jc w:val="left"/>
        <w:rPr>
          <w:rFonts w:ascii="黑体" w:eastAsia="黑体"/>
          <w:sz w:val="32"/>
          <w:szCs w:val="32"/>
        </w:rPr>
      </w:pPr>
    </w:p>
    <w:p>
      <w:pPr>
        <w:pStyle w:val="4"/>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Style w:val="25"/>
          <w:rFonts w:hint="eastAsia" w:ascii="黑体" w:hAnsi="黑体" w:eastAsia="黑体"/>
          <w:b w:val="0"/>
          <w:bCs w:val="0"/>
        </w:rPr>
      </w:pPr>
      <w:bookmarkStart w:id="14" w:name="_Toc15396600"/>
      <w:bookmarkStart w:id="15" w:name="_Toc15377197"/>
      <w:r>
        <w:rPr>
          <w:rFonts w:hint="eastAsia" w:ascii="黑体" w:hAnsi="黑体" w:eastAsia="黑体" w:cstheme="majorBidi"/>
          <w:b w:val="0"/>
          <w:bCs w:val="0"/>
          <w:kern w:val="2"/>
          <w:sz w:val="32"/>
          <w:szCs w:val="32"/>
          <w:lang w:val="en-US" w:eastAsia="zh-CN" w:bidi="ar-SA"/>
        </w:rPr>
        <w:t>一、</w:t>
      </w:r>
      <w:r>
        <w:rPr>
          <w:rStyle w:val="25"/>
          <w:rFonts w:hint="eastAsia" w:ascii="黑体" w:hAnsi="黑体" w:eastAsia="黑体"/>
          <w:b w:val="0"/>
          <w:bCs w:val="0"/>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攀枝花市中心医院</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始建于1965年</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是</w:t>
      </w:r>
      <w:r>
        <w:rPr>
          <w:rFonts w:hint="eastAsia" w:ascii="仿宋" w:hAnsi="仿宋" w:eastAsia="仿宋" w:cs="仿宋"/>
          <w:b w:val="0"/>
          <w:bCs w:val="0"/>
          <w:color w:val="000000" w:themeColor="text1"/>
          <w:sz w:val="32"/>
          <w:szCs w:val="32"/>
          <w14:textFill>
            <w14:solidFill>
              <w14:schemeClr w14:val="tx1"/>
            </w14:solidFill>
          </w14:textFill>
        </w:rPr>
        <w:t>一所</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集医疗、教学、科研、预防保健、健康管理、应急救援、母婴保健、红十字救助、医养结合、老年友善、互联网医院于一体的</w:t>
      </w:r>
      <w:r>
        <w:rPr>
          <w:rFonts w:hint="eastAsia" w:ascii="仿宋" w:hAnsi="仿宋" w:eastAsia="仿宋" w:cs="仿宋"/>
          <w:b w:val="0"/>
          <w:bCs w:val="0"/>
          <w:color w:val="000000" w:themeColor="text1"/>
          <w:sz w:val="32"/>
          <w:szCs w:val="32"/>
          <w14:textFill>
            <w14:solidFill>
              <w14:schemeClr w14:val="tx1"/>
            </w14:solidFill>
          </w14:textFill>
        </w:rPr>
        <w:t>国家三级甲等</w:t>
      </w:r>
      <w:r>
        <w:rPr>
          <w:rFonts w:hint="eastAsia" w:ascii="仿宋" w:hAnsi="仿宋" w:eastAsia="仿宋" w:cs="仿宋"/>
          <w:b w:val="0"/>
          <w:bCs w:val="0"/>
          <w:color w:val="000000" w:themeColor="text1"/>
          <w:sz w:val="32"/>
          <w:szCs w:val="32"/>
          <w:lang w:val="en-US" w:eastAsia="zh-CN"/>
          <w14:textFill>
            <w14:solidFill>
              <w14:schemeClr w14:val="tx1"/>
            </w14:solidFill>
          </w14:textFill>
        </w:rPr>
        <w:t>综合</w:t>
      </w:r>
      <w:r>
        <w:rPr>
          <w:rFonts w:hint="eastAsia" w:ascii="仿宋" w:hAnsi="仿宋" w:eastAsia="仿宋" w:cs="仿宋"/>
          <w:b w:val="0"/>
          <w:bCs w:val="0"/>
          <w:color w:val="000000" w:themeColor="text1"/>
          <w:sz w:val="32"/>
          <w:szCs w:val="32"/>
          <w14:textFill>
            <w14:solidFill>
              <w14:schemeClr w14:val="tx1"/>
            </w14:solidFill>
          </w14:textFill>
        </w:rPr>
        <w:t>医院</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医院不仅</w:t>
      </w:r>
      <w:r>
        <w:rPr>
          <w:rFonts w:hint="eastAsia" w:ascii="仿宋" w:hAnsi="仿宋" w:eastAsia="仿宋" w:cs="仿宋"/>
          <w:color w:val="000000" w:themeColor="text1"/>
          <w:sz w:val="32"/>
          <w:szCs w:val="32"/>
          <w14:textFill>
            <w14:solidFill>
              <w14:schemeClr w14:val="tx1"/>
            </w14:solidFill>
          </w14:textFill>
        </w:rPr>
        <w:t>为全市人民身体健康提供医疗与护理保健服务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医疗服务还辐射至周边10余个县市；</w:t>
      </w:r>
      <w:r>
        <w:rPr>
          <w:rFonts w:hint="eastAsia" w:ascii="仿宋" w:hAnsi="仿宋" w:eastAsia="仿宋" w:cs="仿宋"/>
          <w:color w:val="auto"/>
          <w:sz w:val="32"/>
          <w:szCs w:val="32"/>
        </w:rPr>
        <w:t>作为国家住院医师规范化培训基地</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医院充分</w:t>
      </w:r>
      <w:r>
        <w:rPr>
          <w:rFonts w:hint="eastAsia" w:ascii="仿宋" w:hAnsi="仿宋" w:eastAsia="仿宋" w:cs="仿宋"/>
          <w:color w:val="auto"/>
          <w:sz w:val="32"/>
          <w:szCs w:val="32"/>
        </w:rPr>
        <w:t>发挥科教研优势，为培养医学理论技能人才发挥引领作用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医院还</w:t>
      </w:r>
      <w:r>
        <w:rPr>
          <w:rFonts w:hint="eastAsia" w:ascii="仿宋" w:hAnsi="仿宋" w:eastAsia="仿宋" w:cs="仿宋"/>
          <w:color w:val="000000" w:themeColor="text1"/>
          <w:sz w:val="32"/>
          <w:szCs w:val="32"/>
          <w14:textFill>
            <w14:solidFill>
              <w14:schemeClr w14:val="tx1"/>
            </w14:solidFill>
          </w14:textFill>
        </w:rPr>
        <w:t>开展健康教育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承担预防保健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急危重症和疑难病症诊治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灾害事故的紧急救援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对下级医疗机构业务技术指导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“精准扶贫”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对口医院支援</w:t>
      </w:r>
      <w:r>
        <w:rPr>
          <w:rFonts w:hint="eastAsia" w:ascii="仿宋" w:hAnsi="仿宋" w:eastAsia="仿宋" w:cs="仿宋"/>
          <w:color w:val="000000" w:themeColor="text1"/>
          <w:sz w:val="32"/>
          <w:szCs w:val="32"/>
          <w:lang w:val="en-US" w:eastAsia="zh-CN"/>
          <w14:textFill>
            <w14:solidFill>
              <w14:schemeClr w14:val="tx1"/>
            </w14:solidFill>
          </w14:textFill>
        </w:rPr>
        <w:t>等工作。</w:t>
      </w:r>
    </w:p>
    <w:p>
      <w:pPr>
        <w:pStyle w:val="4"/>
        <w:numPr>
          <w:ilvl w:val="0"/>
          <w:numId w:val="0"/>
        </w:numPr>
        <w:ind w:firstLine="640" w:firstLineChars="200"/>
        <w:rPr>
          <w:rFonts w:hint="eastAsia" w:ascii="黑体" w:hAnsi="黑体" w:eastAsia="黑体"/>
          <w:b w:val="0"/>
        </w:rPr>
      </w:pPr>
      <w:r>
        <w:rPr>
          <w:rFonts w:hint="eastAsia" w:ascii="黑体" w:hAnsi="黑体" w:eastAsia="黑体" w:cstheme="majorBidi"/>
          <w:b w:val="0"/>
          <w:bCs/>
          <w:kern w:val="2"/>
          <w:sz w:val="32"/>
          <w:szCs w:val="32"/>
          <w:lang w:val="en-US" w:eastAsia="zh-CN" w:bidi="ar-SA"/>
        </w:rPr>
        <w:t>二、</w:t>
      </w:r>
      <w:r>
        <w:rPr>
          <w:rFonts w:hint="eastAsia" w:ascii="黑体" w:hAnsi="黑体" w:eastAsia="黑体"/>
          <w:b w:val="0"/>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rPr>
        <w:t>攀枝花市中心医院下属二级单位0个</w:t>
      </w:r>
      <w:r>
        <w:rPr>
          <w:rFonts w:hint="eastAsia" w:ascii="仿宋_GB2312" w:hAnsi="仿宋_GB2312" w:eastAsia="仿宋_GB2312" w:cs="仿宋_GB2312"/>
          <w:sz w:val="32"/>
          <w:szCs w:val="32"/>
          <w:lang w:eastAsia="zh-CN"/>
        </w:rPr>
        <w:t>。</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lang w:val="en-US" w:eastAsia="zh-CN"/>
        </w:rPr>
        <w:t xml:space="preserve">  </w:t>
      </w:r>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0"/>
        </w:numPr>
        <w:spacing w:line="600" w:lineRule="exact"/>
        <w:ind w:left="1360" w:leftChars="0" w:hanging="720" w:firstLineChars="0"/>
        <w:outlineLvl w:val="1"/>
        <w:rPr>
          <w:rStyle w:val="25"/>
          <w:rFonts w:ascii="黑体" w:hAnsi="黑体" w:eastAsia="黑体"/>
          <w:b w:val="0"/>
        </w:rPr>
      </w:pPr>
      <w:bookmarkStart w:id="18" w:name="_Toc15396603"/>
      <w:bookmarkStart w:id="19" w:name="_Toc15377205"/>
      <w:r>
        <w:rPr>
          <w:rFonts w:hint="default" w:ascii="黑体" w:hAnsi="黑体" w:eastAsia="黑体" w:cstheme="majorBidi"/>
          <w:b w:val="0"/>
          <w:bCs/>
          <w:kern w:val="2"/>
          <w:sz w:val="32"/>
          <w:szCs w:val="32"/>
          <w:lang w:val="en-US" w:eastAsia="zh-CN" w:bidi="ar-SA"/>
        </w:rPr>
        <w:t>一、</w:t>
      </w:r>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30"/>
          <w:rFonts w:hint="eastAsia" w:ascii="仿宋_GB2312" w:hAnsi="仿宋_GB2312" w:eastAsia="仿宋_GB2312" w:cs="仿宋_GB2312"/>
          <w:b w:val="0"/>
          <w:bCs/>
          <w:sz w:val="32"/>
          <w:szCs w:val="32"/>
          <w:lang w:val="en-US" w:eastAsia="zh-CN"/>
        </w:rPr>
      </w:pPr>
      <w:r>
        <w:rPr>
          <w:rFonts w:hint="eastAsia" w:ascii="仿宋" w:hAnsi="仿宋" w:eastAsia="仿宋" w:cs="仿宋"/>
          <w:sz w:val="32"/>
          <w:szCs w:val="32"/>
        </w:rPr>
        <w:t>2022年度收、支总计</w:t>
      </w:r>
      <w:r>
        <w:rPr>
          <w:rFonts w:hint="eastAsia" w:ascii="仿宋" w:hAnsi="仿宋" w:eastAsia="仿宋" w:cs="仿宋"/>
          <w:sz w:val="32"/>
          <w:szCs w:val="32"/>
          <w:lang w:val="en-US" w:eastAsia="zh-CN"/>
        </w:rPr>
        <w:t>138,278.39</w:t>
      </w:r>
      <w:r>
        <w:rPr>
          <w:rFonts w:hint="eastAsia" w:ascii="仿宋" w:hAnsi="仿宋" w:eastAsia="仿宋" w:cs="仿宋"/>
          <w:sz w:val="32"/>
          <w:szCs w:val="32"/>
        </w:rPr>
        <w:t>万元。与2021年相比，收、支总计减少</w:t>
      </w:r>
      <w:r>
        <w:rPr>
          <w:rFonts w:hint="eastAsia" w:ascii="仿宋" w:hAnsi="仿宋" w:eastAsia="仿宋" w:cs="仿宋"/>
          <w:sz w:val="32"/>
          <w:szCs w:val="32"/>
          <w:lang w:val="en-US" w:eastAsia="zh-CN"/>
        </w:rPr>
        <w:t>9,637.13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6.52</w:t>
      </w:r>
      <w:r>
        <w:rPr>
          <w:rFonts w:hint="eastAsia" w:ascii="仿宋" w:hAnsi="仿宋" w:eastAsia="仿宋" w:cs="仿宋"/>
          <w:sz w:val="32"/>
          <w:szCs w:val="32"/>
        </w:rPr>
        <w:t>%。主要变动原因</w:t>
      </w:r>
      <w:r>
        <w:rPr>
          <w:rFonts w:hint="eastAsia" w:ascii="仿宋" w:hAnsi="仿宋" w:eastAsia="仿宋" w:cs="仿宋"/>
          <w:sz w:val="32"/>
          <w:szCs w:val="32"/>
          <w:lang w:val="en-US" w:eastAsia="zh-CN"/>
        </w:rPr>
        <w:t>是</w:t>
      </w:r>
      <w:r>
        <w:rPr>
          <w:rFonts w:hint="eastAsia" w:ascii="仿宋" w:hAnsi="仿宋" w:eastAsia="仿宋" w:cs="仿宋"/>
          <w:bCs/>
          <w:sz w:val="32"/>
          <w:szCs w:val="32"/>
        </w:rPr>
        <w:t>2022年</w:t>
      </w:r>
      <w:r>
        <w:rPr>
          <w:rStyle w:val="30"/>
          <w:rFonts w:hint="eastAsia" w:ascii="仿宋" w:hAnsi="仿宋" w:eastAsia="仿宋" w:cs="仿宋"/>
          <w:b w:val="0"/>
          <w:bCs/>
          <w:sz w:val="32"/>
          <w:szCs w:val="32"/>
        </w:rPr>
        <w:t>9、10月份我市及周边地区多点发生</w:t>
      </w:r>
      <w:r>
        <w:rPr>
          <w:rStyle w:val="30"/>
          <w:rFonts w:hint="eastAsia" w:ascii="仿宋" w:hAnsi="仿宋" w:eastAsia="仿宋" w:cs="仿宋"/>
          <w:b w:val="0"/>
          <w:bCs/>
          <w:sz w:val="32"/>
          <w:szCs w:val="32"/>
          <w:lang w:val="en-US" w:eastAsia="zh-CN"/>
        </w:rPr>
        <w:t>新冠感染</w:t>
      </w:r>
      <w:r>
        <w:rPr>
          <w:rStyle w:val="30"/>
          <w:rFonts w:hint="eastAsia" w:ascii="仿宋" w:hAnsi="仿宋" w:eastAsia="仿宋" w:cs="仿宋"/>
          <w:b w:val="0"/>
          <w:bCs/>
          <w:sz w:val="32"/>
          <w:szCs w:val="32"/>
        </w:rPr>
        <w:t>，实施临时性区域静态管理，就诊量缩减，</w:t>
      </w:r>
      <w:r>
        <w:rPr>
          <w:rStyle w:val="30"/>
          <w:rFonts w:hint="eastAsia" w:ascii="仿宋" w:hAnsi="仿宋" w:eastAsia="仿宋" w:cs="仿宋"/>
          <w:b w:val="0"/>
          <w:bCs/>
          <w:sz w:val="32"/>
          <w:szCs w:val="32"/>
          <w:lang w:val="en-US" w:eastAsia="zh-CN"/>
        </w:rPr>
        <w:t>收支相应减少。</w:t>
      </w:r>
    </w:p>
    <w:p>
      <w:pPr>
        <w:spacing w:line="24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55265"/>
            <wp:effectExtent l="0" t="0" r="698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pPr>
        <w:pStyle w:val="23"/>
        <w:numPr>
          <w:ilvl w:val="0"/>
          <w:numId w:val="0"/>
        </w:numPr>
        <w:spacing w:line="600" w:lineRule="exact"/>
        <w:ind w:left="1360" w:leftChars="0" w:hanging="720" w:firstLineChars="0"/>
        <w:outlineLvl w:val="1"/>
        <w:rPr>
          <w:rStyle w:val="25"/>
          <w:rFonts w:ascii="黑体" w:hAnsi="黑体" w:eastAsia="黑体"/>
          <w:b w:val="0"/>
        </w:rPr>
      </w:pPr>
      <w:bookmarkStart w:id="20" w:name="_Toc15377206"/>
      <w:bookmarkStart w:id="21" w:name="_Toc15396604"/>
      <w:r>
        <w:rPr>
          <w:rFonts w:hint="default" w:ascii="黑体" w:hAnsi="黑体" w:eastAsia="黑体" w:cstheme="majorBidi"/>
          <w:b w:val="0"/>
          <w:bCs/>
          <w:kern w:val="2"/>
          <w:sz w:val="32"/>
          <w:szCs w:val="32"/>
          <w:lang w:val="en-US" w:eastAsia="zh-CN" w:bidi="ar-SA"/>
        </w:rPr>
        <w:t>二、</w:t>
      </w:r>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137,777.92</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4,342.18</w:t>
      </w:r>
      <w:r>
        <w:rPr>
          <w:rFonts w:hint="eastAsia" w:ascii="仿宋" w:hAnsi="仿宋" w:eastAsia="仿宋"/>
          <w:sz w:val="32"/>
          <w:szCs w:val="32"/>
        </w:rPr>
        <w:t>万元，占</w:t>
      </w:r>
      <w:r>
        <w:rPr>
          <w:rFonts w:hint="eastAsia" w:ascii="仿宋" w:hAnsi="仿宋" w:eastAsia="仿宋"/>
          <w:sz w:val="32"/>
          <w:szCs w:val="32"/>
          <w:lang w:val="en-US" w:eastAsia="zh-CN"/>
        </w:rPr>
        <w:t>3.15</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132,168.55</w:t>
      </w:r>
      <w:r>
        <w:rPr>
          <w:rFonts w:hint="eastAsia" w:ascii="仿宋" w:hAnsi="仿宋" w:eastAsia="仿宋"/>
          <w:sz w:val="32"/>
          <w:szCs w:val="32"/>
        </w:rPr>
        <w:t>万元，占</w:t>
      </w:r>
      <w:r>
        <w:rPr>
          <w:rFonts w:hint="eastAsia" w:ascii="仿宋" w:hAnsi="仿宋" w:eastAsia="仿宋"/>
          <w:sz w:val="32"/>
          <w:szCs w:val="32"/>
          <w:lang w:val="en-US" w:eastAsia="zh-CN"/>
        </w:rPr>
        <w:t>95.93</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1,267.19</w:t>
      </w:r>
      <w:r>
        <w:rPr>
          <w:rFonts w:hint="eastAsia" w:ascii="仿宋" w:hAnsi="仿宋" w:eastAsia="仿宋"/>
          <w:sz w:val="32"/>
          <w:szCs w:val="32"/>
        </w:rPr>
        <w:t>万元，占</w:t>
      </w:r>
      <w:r>
        <w:rPr>
          <w:rFonts w:hint="eastAsia" w:ascii="仿宋" w:hAnsi="仿宋" w:eastAsia="仿宋"/>
          <w:sz w:val="32"/>
          <w:szCs w:val="32"/>
          <w:lang w:val="en-US" w:eastAsia="zh-CN"/>
        </w:rPr>
        <w:t>0.92</w:t>
      </w:r>
      <w:r>
        <w:rPr>
          <w:rFonts w:ascii="仿宋" w:hAnsi="仿宋" w:eastAsia="仿宋"/>
          <w:sz w:val="32"/>
          <w:szCs w:val="32"/>
        </w:rPr>
        <w:t>%</w:t>
      </w:r>
      <w:r>
        <w:rPr>
          <w:rFonts w:hint="eastAsia" w:ascii="仿宋" w:hAnsi="仿宋" w:eastAsia="仿宋"/>
          <w:sz w:val="32"/>
          <w:szCs w:val="32"/>
        </w:rPr>
        <w:t>。</w:t>
      </w:r>
    </w:p>
    <w:p>
      <w:pPr>
        <w:spacing w:line="24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834640"/>
            <wp:effectExtent l="0" t="0" r="6985"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1"/>
                    <a:stretch>
                      <a:fillRect/>
                    </a:stretch>
                  </pic:blipFill>
                  <pic:spPr>
                    <a:xfrm>
                      <a:off x="0" y="0"/>
                      <a:ext cx="4584065" cy="2834640"/>
                    </a:xfrm>
                    <a:prstGeom prst="rect">
                      <a:avLst/>
                    </a:prstGeom>
                  </pic:spPr>
                </pic:pic>
              </a:graphicData>
            </a:graphic>
          </wp:inline>
        </w:drawing>
      </w:r>
    </w:p>
    <w:p>
      <w:pPr>
        <w:pStyle w:val="23"/>
        <w:numPr>
          <w:ilvl w:val="0"/>
          <w:numId w:val="0"/>
        </w:numPr>
        <w:spacing w:line="600" w:lineRule="exact"/>
        <w:ind w:firstLine="640" w:firstLineChars="200"/>
        <w:outlineLvl w:val="1"/>
        <w:rPr>
          <w:rStyle w:val="25"/>
          <w:rFonts w:ascii="黑体" w:hAnsi="黑体" w:eastAsia="黑体"/>
          <w:b w:val="0"/>
        </w:rPr>
      </w:pPr>
      <w:bookmarkStart w:id="22" w:name="_Toc15377207"/>
      <w:bookmarkStart w:id="23" w:name="_Toc15396605"/>
      <w:r>
        <w:rPr>
          <w:rFonts w:hint="default" w:ascii="黑体" w:hAnsi="黑体" w:eastAsia="黑体" w:cstheme="majorBidi"/>
          <w:b w:val="0"/>
          <w:bCs/>
          <w:kern w:val="2"/>
          <w:sz w:val="32"/>
          <w:szCs w:val="32"/>
          <w:lang w:val="en-US" w:eastAsia="zh-CN" w:bidi="ar-SA"/>
        </w:rPr>
        <w:t>三、</w:t>
      </w:r>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128,129.72</w:t>
      </w:r>
      <w:r>
        <w:rPr>
          <w:rFonts w:hint="eastAsia" w:ascii="仿宋" w:hAnsi="仿宋" w:eastAsia="仿宋"/>
          <w:sz w:val="32"/>
          <w:szCs w:val="32"/>
        </w:rPr>
        <w:t>万元，其中：基本支出</w:t>
      </w:r>
      <w:r>
        <w:rPr>
          <w:rFonts w:hint="eastAsia" w:ascii="仿宋" w:hAnsi="仿宋" w:eastAsia="仿宋"/>
          <w:sz w:val="32"/>
          <w:szCs w:val="32"/>
          <w:lang w:val="en-US" w:eastAsia="zh-CN"/>
        </w:rPr>
        <w:t>119,535.02</w:t>
      </w:r>
      <w:r>
        <w:rPr>
          <w:rFonts w:hint="eastAsia" w:ascii="仿宋" w:hAnsi="仿宋" w:eastAsia="仿宋"/>
          <w:sz w:val="32"/>
          <w:szCs w:val="32"/>
        </w:rPr>
        <w:t>万元，占</w:t>
      </w:r>
      <w:r>
        <w:rPr>
          <w:rFonts w:hint="eastAsia" w:ascii="仿宋" w:hAnsi="仿宋" w:eastAsia="仿宋"/>
          <w:sz w:val="32"/>
          <w:szCs w:val="32"/>
          <w:lang w:val="en-US" w:eastAsia="zh-CN"/>
        </w:rPr>
        <w:t>93.29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8,594.70</w:t>
      </w:r>
      <w:r>
        <w:rPr>
          <w:rFonts w:hint="eastAsia" w:ascii="仿宋" w:hAnsi="仿宋" w:eastAsia="仿宋"/>
          <w:sz w:val="32"/>
          <w:szCs w:val="32"/>
        </w:rPr>
        <w:t>万元，占</w:t>
      </w:r>
      <w:r>
        <w:rPr>
          <w:rFonts w:hint="eastAsia" w:ascii="仿宋" w:hAnsi="仿宋" w:eastAsia="仿宋"/>
          <w:sz w:val="32"/>
          <w:szCs w:val="32"/>
          <w:lang w:val="en-US" w:eastAsia="zh-CN"/>
        </w:rPr>
        <w:t>6.71</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2"/>
        <w:rPr>
          <w:rFonts w:hint="default" w:eastAsia="仿宋"/>
          <w:lang w:val="en-US" w:eastAsia="zh-CN"/>
        </w:rPr>
      </w:pPr>
      <w:r>
        <w:rPr>
          <w:rFonts w:hint="eastAsia" w:ascii="仿宋" w:hAnsi="仿宋" w:eastAsia="仿宋"/>
          <w:sz w:val="32"/>
          <w:szCs w:val="32"/>
          <w:lang w:val="en-US" w:eastAsia="zh-CN"/>
        </w:rPr>
        <w:t xml:space="preserve">    </w:t>
      </w:r>
      <w:r>
        <w:rPr>
          <w:rFonts w:hint="default" w:eastAsia="仿宋"/>
          <w:lang w:val="en-US" w:eastAsia="zh-CN"/>
        </w:rPr>
        <w:drawing>
          <wp:inline distT="0" distB="0" distL="114300" distR="114300">
            <wp:extent cx="4584065" cy="2968625"/>
            <wp:effectExtent l="0" t="0" r="6985" b="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12"/>
                    <a:stretch>
                      <a:fillRect/>
                    </a:stretch>
                  </pic:blipFill>
                  <pic:spPr>
                    <a:xfrm>
                      <a:off x="0" y="0"/>
                      <a:ext cx="4584065" cy="2968625"/>
                    </a:xfrm>
                    <a:prstGeom prst="rect">
                      <a:avLst/>
                    </a:prstGeom>
                  </pic:spPr>
                </pic:pic>
              </a:graphicData>
            </a:graphic>
          </wp:inline>
        </w:drawing>
      </w:r>
    </w:p>
    <w:p>
      <w:pPr>
        <w:spacing w:line="600" w:lineRule="exact"/>
        <w:ind w:firstLine="640" w:firstLineChars="200"/>
        <w:outlineLvl w:val="1"/>
        <w:rPr>
          <w:rFonts w:hint="eastAsia" w:ascii="黑体" w:hAnsi="黑体" w:eastAsia="黑体"/>
          <w:sz w:val="32"/>
          <w:szCs w:val="32"/>
        </w:rPr>
      </w:pPr>
      <w:bookmarkStart w:id="24" w:name="_Toc15396606"/>
      <w:bookmarkStart w:id="25" w:name="_Toc15377208"/>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宋体" w:hAnsi="宋体" w:eastAsia="宋体" w:cs="宋体"/>
          <w:b w:val="0"/>
          <w:bCs/>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2022年财政拨款收、支总计</w:t>
      </w:r>
      <w:r>
        <w:rPr>
          <w:rFonts w:hint="eastAsia" w:ascii="仿宋" w:hAnsi="仿宋" w:eastAsia="仿宋" w:cs="仿宋"/>
          <w:sz w:val="32"/>
          <w:szCs w:val="32"/>
          <w:lang w:val="en-US" w:eastAsia="zh-CN"/>
        </w:rPr>
        <w:t>4,842.65</w:t>
      </w:r>
      <w:r>
        <w:rPr>
          <w:rFonts w:hint="eastAsia" w:ascii="仿宋" w:hAnsi="仿宋" w:eastAsia="仿宋" w:cs="仿宋"/>
          <w:sz w:val="32"/>
          <w:szCs w:val="32"/>
        </w:rPr>
        <w:t>万元。与2021年相比，财政拨款收、支总计减少</w:t>
      </w:r>
      <w:r>
        <w:rPr>
          <w:rFonts w:hint="eastAsia" w:ascii="仿宋" w:hAnsi="仿宋" w:eastAsia="仿宋" w:cs="仿宋"/>
          <w:sz w:val="32"/>
          <w:szCs w:val="32"/>
          <w:lang w:val="en-US" w:eastAsia="zh-CN"/>
        </w:rPr>
        <w:t>1,273.09</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20.82</w:t>
      </w:r>
      <w:r>
        <w:rPr>
          <w:rFonts w:hint="eastAsia" w:ascii="仿宋" w:hAnsi="仿宋" w:eastAsia="仿宋" w:cs="仿宋"/>
          <w:sz w:val="32"/>
          <w:szCs w:val="32"/>
        </w:rPr>
        <w:t>%。主要变动原因是</w:t>
      </w:r>
      <w:r>
        <w:rPr>
          <w:rFonts w:hint="eastAsia" w:ascii="仿宋" w:hAnsi="仿宋" w:eastAsia="仿宋" w:cs="仿宋"/>
          <w:b w:val="0"/>
          <w:bCs/>
          <w:sz w:val="32"/>
          <w:szCs w:val="32"/>
          <w:lang w:val="en-US" w:eastAsia="zh-CN"/>
        </w:rPr>
        <w:t>2022年高层次人才津贴、取消药品加成财政补助减少、2022年</w:t>
      </w:r>
      <w:r>
        <w:rPr>
          <w:rFonts w:hint="eastAsia" w:ascii="仿宋" w:hAnsi="仿宋" w:eastAsia="仿宋" w:cs="仿宋"/>
          <w:color w:val="auto"/>
          <w:sz w:val="32"/>
          <w:szCs w:val="32"/>
          <w:highlight w:val="none"/>
          <w:lang w:val="en-US" w:eastAsia="zh-CN"/>
        </w:rPr>
        <w:t>卫生健康人才培养培训项目按项目进度执行资金。</w:t>
      </w:r>
    </w:p>
    <w:p>
      <w:pPr>
        <w:spacing w:line="240" w:lineRule="auto"/>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drawing>
          <wp:inline distT="0" distB="0" distL="114300" distR="114300">
            <wp:extent cx="4584065" cy="2755265"/>
            <wp:effectExtent l="0" t="0" r="6985" b="698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3"/>
                    <a:stretch>
                      <a:fillRect/>
                    </a:stretch>
                  </pic:blipFill>
                  <pic:spPr>
                    <a:xfrm>
                      <a:off x="0" y="0"/>
                      <a:ext cx="4584065" cy="2755265"/>
                    </a:xfrm>
                    <a:prstGeom prst="rect">
                      <a:avLst/>
                    </a:prstGeom>
                  </pic:spPr>
                </pic:pic>
              </a:graphicData>
            </a:graphic>
          </wp:inline>
        </w:drawing>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4,842.65</w:t>
      </w:r>
      <w:r>
        <w:rPr>
          <w:rFonts w:hint="eastAsia" w:ascii="仿宋" w:hAnsi="仿宋" w:eastAsia="仿宋"/>
          <w:sz w:val="32"/>
          <w:szCs w:val="32"/>
        </w:rPr>
        <w:t>万元，占本年支出合计的</w:t>
      </w:r>
      <w:r>
        <w:rPr>
          <w:rFonts w:hint="eastAsia" w:ascii="仿宋" w:hAnsi="仿宋" w:eastAsia="仿宋"/>
          <w:sz w:val="32"/>
          <w:szCs w:val="32"/>
          <w:lang w:val="en-US" w:eastAsia="zh-CN"/>
        </w:rPr>
        <w:t>3.78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1,273.09</w:t>
      </w:r>
      <w:r>
        <w:rPr>
          <w:rFonts w:hint="eastAsia" w:ascii="仿宋" w:hAnsi="仿宋" w:eastAsia="仿宋"/>
          <w:sz w:val="32"/>
          <w:szCs w:val="32"/>
        </w:rPr>
        <w:t>万元，下降</w:t>
      </w:r>
      <w:r>
        <w:rPr>
          <w:rFonts w:hint="eastAsia" w:ascii="仿宋" w:hAnsi="仿宋" w:eastAsia="仿宋"/>
          <w:sz w:val="32"/>
          <w:szCs w:val="32"/>
          <w:lang w:val="en-US" w:eastAsia="zh-CN"/>
        </w:rPr>
        <w:t>20.82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仿宋"/>
          <w:b w:val="0"/>
          <w:bCs/>
          <w:sz w:val="32"/>
          <w:szCs w:val="32"/>
          <w:lang w:val="en-US" w:eastAsia="zh-CN"/>
        </w:rPr>
        <w:t>2022年高层次人才津贴、取消药品加成财政补助减少、2022年</w:t>
      </w:r>
      <w:r>
        <w:rPr>
          <w:rFonts w:hint="eastAsia" w:ascii="仿宋" w:hAnsi="仿宋" w:eastAsia="仿宋" w:cs="仿宋"/>
          <w:color w:val="auto"/>
          <w:sz w:val="32"/>
          <w:szCs w:val="32"/>
          <w:highlight w:val="none"/>
          <w:lang w:val="en-US" w:eastAsia="zh-CN"/>
        </w:rPr>
        <w:t>卫生健康人才培养培训项目按项目进度执行资金。</w:t>
      </w:r>
    </w:p>
    <w:p>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755265"/>
            <wp:effectExtent l="0" t="0" r="6985" b="6985"/>
            <wp:docPr id="7"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1"/>
                    </pic:cNvPicPr>
                  </pic:nvPicPr>
                  <pic:blipFill>
                    <a:blip r:embed="rId14"/>
                    <a:stretch>
                      <a:fillRect/>
                    </a:stretch>
                  </pic:blipFill>
                  <pic:spPr>
                    <a:xfrm>
                      <a:off x="0" y="0"/>
                      <a:ext cx="4584065" cy="2755265"/>
                    </a:xfrm>
                    <a:prstGeom prst="rect">
                      <a:avLst/>
                    </a:prstGeom>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4,842.65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4.75</w:t>
      </w:r>
      <w:r>
        <w:rPr>
          <w:rFonts w:hint="eastAsia" w:ascii="仿宋" w:hAnsi="仿宋" w:eastAsia="仿宋"/>
          <w:sz w:val="32"/>
          <w:szCs w:val="32"/>
        </w:rPr>
        <w:t>万元，占</w:t>
      </w:r>
      <w:r>
        <w:rPr>
          <w:rFonts w:hint="eastAsia" w:ascii="仿宋" w:hAnsi="仿宋" w:eastAsia="仿宋"/>
          <w:sz w:val="32"/>
          <w:szCs w:val="32"/>
          <w:lang w:val="en-US" w:eastAsia="zh-CN"/>
        </w:rPr>
        <w:t>0.10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12.67</w:t>
      </w:r>
      <w:r>
        <w:rPr>
          <w:rFonts w:hint="eastAsia" w:ascii="仿宋" w:hAnsi="仿宋" w:eastAsia="仿宋"/>
          <w:sz w:val="32"/>
          <w:szCs w:val="32"/>
        </w:rPr>
        <w:t>万元，占</w:t>
      </w:r>
      <w:r>
        <w:rPr>
          <w:rFonts w:hint="eastAsia" w:ascii="仿宋" w:hAnsi="仿宋" w:eastAsia="仿宋"/>
          <w:sz w:val="32"/>
          <w:szCs w:val="32"/>
          <w:lang w:val="en-US" w:eastAsia="zh-CN"/>
        </w:rPr>
        <w:t>0.26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3,230.82</w:t>
      </w:r>
      <w:r>
        <w:rPr>
          <w:rFonts w:hint="eastAsia" w:ascii="仿宋" w:hAnsi="仿宋" w:eastAsia="仿宋"/>
          <w:sz w:val="32"/>
          <w:szCs w:val="32"/>
        </w:rPr>
        <w:t>万元，占</w:t>
      </w:r>
      <w:r>
        <w:rPr>
          <w:rFonts w:hint="eastAsia" w:ascii="仿宋" w:hAnsi="仿宋" w:eastAsia="仿宋"/>
          <w:sz w:val="32"/>
          <w:szCs w:val="32"/>
          <w:lang w:val="en-US" w:eastAsia="zh-CN"/>
        </w:rPr>
        <w:t>66.72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1,594.41</w:t>
      </w:r>
      <w:r>
        <w:rPr>
          <w:rFonts w:hint="eastAsia" w:ascii="仿宋" w:hAnsi="仿宋" w:eastAsia="仿宋"/>
          <w:sz w:val="32"/>
          <w:szCs w:val="32"/>
        </w:rPr>
        <w:t>万元，占</w:t>
      </w:r>
      <w:r>
        <w:rPr>
          <w:rFonts w:hint="eastAsia" w:ascii="仿宋" w:hAnsi="仿宋" w:eastAsia="仿宋"/>
          <w:sz w:val="32"/>
          <w:szCs w:val="32"/>
          <w:lang w:val="en-US" w:eastAsia="zh-CN"/>
        </w:rPr>
        <w:t>32.92</w:t>
      </w:r>
      <w:r>
        <w:rPr>
          <w:rFonts w:ascii="仿宋" w:hAnsi="仿宋" w:eastAsia="仿宋"/>
          <w:sz w:val="32"/>
          <w:szCs w:val="32"/>
        </w:rPr>
        <w:t>%</w:t>
      </w:r>
      <w:r>
        <w:rPr>
          <w:rFonts w:hint="eastAsia" w:ascii="仿宋" w:hAnsi="仿宋" w:eastAsia="仿宋"/>
          <w:sz w:val="32"/>
          <w:szCs w:val="32"/>
        </w:rPr>
        <w:t>。</w:t>
      </w:r>
    </w:p>
    <w:p>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834640"/>
            <wp:effectExtent l="0" t="0" r="6985" b="0"/>
            <wp:docPr id="8" name="图片 8"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1"/>
                    </pic:cNvPicPr>
                  </pic:nvPicPr>
                  <pic:blipFill>
                    <a:blip r:embed="rId15"/>
                    <a:stretch>
                      <a:fillRect/>
                    </a:stretch>
                  </pic:blipFill>
                  <pic:spPr>
                    <a:xfrm>
                      <a:off x="0" y="0"/>
                      <a:ext cx="4584065" cy="2834640"/>
                    </a:xfrm>
                    <a:prstGeom prst="rect">
                      <a:avLst/>
                    </a:prstGeom>
                  </pic:spPr>
                </pic:pic>
              </a:graphicData>
            </a:graphic>
          </wp:inline>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4,842.65万元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w:t>
      </w:r>
      <w:r>
        <w:rPr>
          <w:rStyle w:val="14"/>
          <w:rFonts w:hint="eastAsia" w:ascii="仿宋" w:hAnsi="仿宋" w:eastAsia="仿宋"/>
          <w:bCs/>
          <w:sz w:val="32"/>
          <w:szCs w:val="32"/>
          <w:lang w:val="en-US" w:eastAsia="zh-CN"/>
        </w:rPr>
        <w:t>组织事务</w:t>
      </w:r>
      <w:r>
        <w:rPr>
          <w:rStyle w:val="14"/>
          <w:rFonts w:hint="eastAsia" w:ascii="仿宋" w:hAnsi="仿宋" w:eastAsia="仿宋"/>
          <w:bCs/>
          <w:sz w:val="32"/>
          <w:szCs w:val="32"/>
        </w:rPr>
        <w:t>（款）</w:t>
      </w:r>
      <w:r>
        <w:rPr>
          <w:rStyle w:val="14"/>
          <w:rFonts w:hint="eastAsia" w:ascii="仿宋" w:hAnsi="仿宋" w:eastAsia="仿宋"/>
          <w:bCs/>
          <w:sz w:val="32"/>
          <w:szCs w:val="32"/>
          <w:lang w:val="en-US" w:eastAsia="zh-CN"/>
        </w:rPr>
        <w:t>其他组织事务支出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4.75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Style w:val="14"/>
          <w:rFonts w:hint="eastAsia" w:ascii="仿宋" w:hAnsi="仿宋" w:eastAsia="仿宋"/>
          <w:bCs/>
          <w:sz w:val="32"/>
          <w:szCs w:val="32"/>
          <w:lang w:val="en-US" w:eastAsia="zh-CN"/>
        </w:rPr>
        <w:t>2.</w:t>
      </w:r>
      <w:r>
        <w:rPr>
          <w:rStyle w:val="14"/>
          <w:rFonts w:hint="eastAsia" w:ascii="仿宋" w:hAnsi="仿宋" w:eastAsia="仿宋"/>
          <w:bCs/>
          <w:sz w:val="32"/>
          <w:szCs w:val="32"/>
        </w:rPr>
        <w:t>科学技术（类）</w:t>
      </w:r>
      <w:r>
        <w:rPr>
          <w:rStyle w:val="14"/>
          <w:rFonts w:hint="eastAsia" w:ascii="仿宋" w:hAnsi="仿宋" w:eastAsia="仿宋"/>
          <w:bCs/>
          <w:sz w:val="32"/>
          <w:szCs w:val="32"/>
          <w:lang w:val="en-US" w:eastAsia="zh-CN"/>
        </w:rPr>
        <w:t>其他科学技术支出</w:t>
      </w:r>
      <w:r>
        <w:rPr>
          <w:rStyle w:val="14"/>
          <w:rFonts w:hint="eastAsia" w:ascii="仿宋" w:hAnsi="仿宋" w:eastAsia="仿宋"/>
          <w:bCs/>
          <w:sz w:val="32"/>
          <w:szCs w:val="32"/>
        </w:rPr>
        <w:t>（款）</w:t>
      </w:r>
      <w:r>
        <w:rPr>
          <w:rStyle w:val="14"/>
          <w:rFonts w:hint="eastAsia" w:ascii="仿宋" w:hAnsi="仿宋" w:eastAsia="仿宋"/>
          <w:bCs/>
          <w:sz w:val="32"/>
          <w:szCs w:val="32"/>
          <w:lang w:val="en-US" w:eastAsia="zh-CN"/>
        </w:rPr>
        <w:t>其他科学技术支出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12.67</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3.</w:t>
      </w:r>
      <w:r>
        <w:rPr>
          <w:rStyle w:val="14"/>
          <w:rFonts w:hint="eastAsia" w:ascii="仿宋" w:hAnsi="仿宋" w:eastAsia="仿宋"/>
          <w:bCs/>
          <w:sz w:val="32"/>
          <w:szCs w:val="32"/>
        </w:rPr>
        <w:t>社会保障和就业（类）人力资源和社会保障管理事务（款）其他人力资源和社会保障管理事务支出（项）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Style w:val="14"/>
          <w:rFonts w:hint="default" w:ascii="仿宋" w:hAnsi="仿宋" w:eastAsia="仿宋"/>
          <w:b w:val="0"/>
          <w:bCs/>
          <w:sz w:val="32"/>
          <w:szCs w:val="32"/>
          <w:lang w:val="en-US"/>
        </w:rPr>
      </w:pPr>
      <w:r>
        <w:rPr>
          <w:rStyle w:val="14"/>
          <w:rFonts w:hint="eastAsia" w:ascii="仿宋" w:hAnsi="仿宋" w:eastAsia="仿宋"/>
          <w:b w:val="0"/>
          <w:bCs/>
          <w:sz w:val="32"/>
          <w:szCs w:val="32"/>
          <w:lang w:val="en-US" w:eastAsia="zh-CN"/>
        </w:rPr>
        <w:t xml:space="preserve">    </w:t>
      </w:r>
      <w:r>
        <w:rPr>
          <w:rStyle w:val="14"/>
          <w:rFonts w:hint="eastAsia" w:ascii="仿宋" w:hAnsi="仿宋" w:eastAsia="仿宋"/>
          <w:bCs/>
          <w:sz w:val="32"/>
          <w:szCs w:val="32"/>
          <w:lang w:val="en-US" w:eastAsia="zh-CN"/>
        </w:rPr>
        <w:t>4.</w:t>
      </w:r>
      <w:r>
        <w:rPr>
          <w:rStyle w:val="14"/>
          <w:rFonts w:hint="eastAsia" w:ascii="仿宋" w:hAnsi="仿宋" w:eastAsia="仿宋"/>
          <w:bCs/>
          <w:sz w:val="32"/>
          <w:szCs w:val="32"/>
        </w:rPr>
        <w:t>社会保障和就业（类）行政事业单位养老支出（款）事业单位离退休（项）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798.71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Style w:val="14"/>
          <w:rFonts w:hint="default" w:ascii="仿宋" w:hAnsi="仿宋" w:eastAsia="仿宋"/>
          <w:b w:val="0"/>
          <w:bCs/>
          <w:sz w:val="32"/>
          <w:szCs w:val="32"/>
          <w:lang w:val="en-US" w:eastAsia="zh-CN"/>
        </w:rPr>
      </w:pPr>
      <w:r>
        <w:rPr>
          <w:rStyle w:val="14"/>
          <w:rFonts w:hint="eastAsia" w:ascii="仿宋" w:hAnsi="仿宋" w:eastAsia="仿宋"/>
          <w:b w:val="0"/>
          <w:bCs/>
          <w:sz w:val="32"/>
          <w:szCs w:val="32"/>
          <w:lang w:val="en-US" w:eastAsia="zh-CN"/>
        </w:rPr>
        <w:t xml:space="preserve">    </w:t>
      </w:r>
      <w:r>
        <w:rPr>
          <w:rStyle w:val="14"/>
          <w:rFonts w:hint="eastAsia" w:ascii="仿宋" w:hAnsi="仿宋" w:eastAsia="仿宋"/>
          <w:bCs/>
          <w:sz w:val="32"/>
          <w:szCs w:val="32"/>
          <w:lang w:val="en-US" w:eastAsia="zh-CN"/>
        </w:rPr>
        <w:t>5.</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2,386.56</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仿宋" w:hAnsi="仿宋" w:eastAsia="仿宋"/>
          <w:b w:val="0"/>
          <w:bCs/>
          <w:sz w:val="32"/>
          <w:szCs w:val="32"/>
          <w:lang w:val="en-US" w:eastAsia="zh-CN"/>
        </w:rPr>
      </w:pPr>
      <w:r>
        <w:rPr>
          <w:rStyle w:val="14"/>
          <w:rFonts w:ascii="仿宋" w:hAnsi="仿宋" w:eastAsia="仿宋"/>
          <w:bCs/>
          <w:sz w:val="32"/>
          <w:szCs w:val="32"/>
        </w:rPr>
        <w:t>6.</w:t>
      </w:r>
      <w:r>
        <w:rPr>
          <w:rStyle w:val="14"/>
          <w:rFonts w:hint="eastAsia" w:ascii="仿宋" w:hAnsi="仿宋" w:eastAsia="仿宋"/>
          <w:bCs/>
          <w:sz w:val="32"/>
          <w:szCs w:val="32"/>
        </w:rPr>
        <w:t>社会保障和就业（类）抚恤（款）死亡抚恤（项）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43.55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b/>
          <w:bCs/>
          <w:sz w:val="32"/>
          <w:szCs w:val="32"/>
          <w:lang w:val="en-US" w:eastAsia="zh-CN"/>
        </w:rPr>
        <w:t>7.</w:t>
      </w:r>
      <w:r>
        <w:rPr>
          <w:rFonts w:hint="eastAsia" w:ascii="仿宋" w:hAnsi="仿宋" w:eastAsia="仿宋"/>
          <w:b/>
          <w:bCs/>
          <w:sz w:val="32"/>
          <w:szCs w:val="32"/>
        </w:rPr>
        <w:t>卫生健康</w:t>
      </w:r>
      <w:r>
        <w:rPr>
          <w:rStyle w:val="14"/>
          <w:rFonts w:hint="eastAsia" w:ascii="仿宋" w:hAnsi="仿宋" w:eastAsia="仿宋"/>
          <w:bCs/>
          <w:sz w:val="32"/>
          <w:szCs w:val="32"/>
        </w:rPr>
        <w:t>（类）公立医院（款）综合医院（项）</w:t>
      </w:r>
      <w:r>
        <w:rPr>
          <w:rStyle w:val="14"/>
          <w:rFonts w:ascii="仿宋" w:hAnsi="仿宋" w:eastAsia="仿宋"/>
          <w:bCs/>
          <w:sz w:val="32"/>
          <w:szCs w:val="32"/>
        </w:rPr>
        <w:t>:</w:t>
      </w:r>
      <w:r>
        <w:rPr>
          <w:rStyle w:val="14"/>
          <w:rFonts w:hint="eastAsia" w:ascii="仿宋" w:hAnsi="仿宋" w:eastAsia="仿宋"/>
          <w:b w:val="0"/>
          <w:bCs/>
          <w:sz w:val="32"/>
          <w:szCs w:val="32"/>
        </w:rPr>
        <w:t>支</w:t>
      </w:r>
      <w:r>
        <w:rPr>
          <w:rStyle w:val="14"/>
          <w:rFonts w:hint="eastAsia" w:ascii="仿宋" w:hAnsi="仿宋" w:eastAsia="仿宋" w:cs="仿宋"/>
          <w:b w:val="0"/>
          <w:bCs/>
          <w:sz w:val="32"/>
          <w:szCs w:val="32"/>
        </w:rPr>
        <w:t>出决算为</w:t>
      </w:r>
      <w:r>
        <w:rPr>
          <w:rStyle w:val="14"/>
          <w:rFonts w:hint="eastAsia" w:ascii="仿宋" w:hAnsi="仿宋" w:eastAsia="仿宋" w:cs="仿宋"/>
          <w:b w:val="0"/>
          <w:bCs/>
          <w:sz w:val="32"/>
          <w:szCs w:val="32"/>
          <w:lang w:val="en-US" w:eastAsia="zh-CN"/>
        </w:rPr>
        <w:t>389.02</w:t>
      </w:r>
      <w:r>
        <w:rPr>
          <w:rStyle w:val="14"/>
          <w:rFonts w:hint="eastAsia" w:ascii="仿宋" w:hAnsi="仿宋" w:eastAsia="仿宋" w:cs="仿宋"/>
          <w:b w:val="0"/>
          <w:bCs/>
          <w:sz w:val="32"/>
          <w:szCs w:val="32"/>
        </w:rPr>
        <w:t>万元，完成预算</w:t>
      </w:r>
      <w:r>
        <w:rPr>
          <w:rStyle w:val="14"/>
          <w:rFonts w:hint="eastAsia" w:ascii="仿宋" w:hAnsi="仿宋" w:eastAsia="仿宋" w:cs="仿宋"/>
          <w:b w:val="0"/>
          <w:bCs/>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仿宋" w:hAnsi="仿宋" w:eastAsia="仿宋"/>
          <w:b w:val="0"/>
          <w:bCs/>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卫生健康</w:t>
      </w:r>
      <w:r>
        <w:rPr>
          <w:rStyle w:val="14"/>
          <w:rFonts w:hint="eastAsia" w:ascii="仿宋" w:hAnsi="仿宋" w:eastAsia="仿宋"/>
          <w:bCs/>
          <w:sz w:val="32"/>
          <w:szCs w:val="32"/>
        </w:rPr>
        <w:t>（类）公立医院（款）其他公立医院支出（项）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172.50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仿宋" w:hAnsi="仿宋" w:eastAsia="仿宋"/>
          <w:b w:val="0"/>
          <w:bCs/>
          <w:sz w:val="32"/>
          <w:szCs w:val="32"/>
        </w:rPr>
      </w:pPr>
      <w:r>
        <w:rPr>
          <w:rFonts w:hint="eastAsia" w:ascii="仿宋" w:hAnsi="仿宋" w:eastAsia="仿宋"/>
          <w:b/>
          <w:bCs/>
          <w:sz w:val="32"/>
          <w:szCs w:val="32"/>
          <w:lang w:val="en-US" w:eastAsia="zh-CN"/>
        </w:rPr>
        <w:t>9.</w:t>
      </w:r>
      <w:r>
        <w:rPr>
          <w:rFonts w:hint="eastAsia" w:ascii="仿宋" w:hAnsi="仿宋" w:eastAsia="仿宋"/>
          <w:b/>
          <w:bCs/>
          <w:sz w:val="32"/>
          <w:szCs w:val="32"/>
        </w:rPr>
        <w:t>卫生健康</w:t>
      </w:r>
      <w:r>
        <w:rPr>
          <w:rStyle w:val="14"/>
          <w:rFonts w:hint="eastAsia" w:ascii="仿宋" w:hAnsi="仿宋" w:eastAsia="仿宋"/>
          <w:bCs/>
          <w:sz w:val="32"/>
          <w:szCs w:val="32"/>
        </w:rPr>
        <w:t>（类）公共卫生（款）基本公共卫生服务（项）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39.00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仿宋" w:hAnsi="仿宋" w:eastAsia="仿宋"/>
          <w:b w:val="0"/>
          <w:bCs/>
          <w:sz w:val="32"/>
          <w:szCs w:val="32"/>
          <w:lang w:val="en-US"/>
        </w:rPr>
      </w:pPr>
      <w:r>
        <w:rPr>
          <w:rFonts w:hint="eastAsia" w:ascii="仿宋" w:hAnsi="仿宋" w:eastAsia="仿宋"/>
          <w:b/>
          <w:bCs/>
          <w:sz w:val="32"/>
          <w:szCs w:val="32"/>
          <w:lang w:val="en-US" w:eastAsia="zh-CN"/>
        </w:rPr>
        <w:t>10.</w:t>
      </w:r>
      <w:r>
        <w:rPr>
          <w:rFonts w:hint="eastAsia" w:ascii="仿宋" w:hAnsi="仿宋" w:eastAsia="仿宋"/>
          <w:b/>
          <w:bCs/>
          <w:sz w:val="32"/>
          <w:szCs w:val="32"/>
        </w:rPr>
        <w:t>卫生健康</w:t>
      </w:r>
      <w:r>
        <w:rPr>
          <w:rStyle w:val="14"/>
          <w:rFonts w:hint="eastAsia" w:ascii="仿宋" w:hAnsi="仿宋" w:eastAsia="仿宋"/>
          <w:bCs/>
          <w:sz w:val="32"/>
          <w:szCs w:val="32"/>
        </w:rPr>
        <w:t>（类）公共卫生（款）重大公共卫生服务（项）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42.74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仿宋" w:hAnsi="仿宋" w:eastAsia="仿宋"/>
          <w:b w:val="0"/>
          <w:bCs/>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rPr>
        <w:t>卫生健康</w:t>
      </w:r>
      <w:r>
        <w:rPr>
          <w:rStyle w:val="14"/>
          <w:rFonts w:hint="eastAsia" w:ascii="仿宋" w:hAnsi="仿宋" w:eastAsia="仿宋"/>
          <w:bCs/>
          <w:sz w:val="32"/>
          <w:szCs w:val="32"/>
        </w:rPr>
        <w:t>（类）公共卫生（款）其他公共卫生支出（项）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11.80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sz w:val="32"/>
          <w:szCs w:val="32"/>
          <w:lang w:val="en-US" w:eastAsia="zh-CN"/>
        </w:rPr>
      </w:pPr>
      <w:r>
        <w:rPr>
          <w:rFonts w:hint="eastAsia" w:ascii="仿宋" w:hAnsi="仿宋" w:eastAsia="仿宋"/>
          <w:b/>
          <w:bCs/>
          <w:sz w:val="32"/>
          <w:szCs w:val="32"/>
          <w:lang w:val="en-US" w:eastAsia="zh-CN"/>
        </w:rPr>
        <w:t>12.</w:t>
      </w:r>
      <w:r>
        <w:rPr>
          <w:rFonts w:hint="eastAsia" w:ascii="仿宋" w:hAnsi="仿宋" w:eastAsia="仿宋"/>
          <w:b/>
          <w:bCs/>
          <w:sz w:val="32"/>
          <w:szCs w:val="32"/>
        </w:rPr>
        <w:t>卫生健康</w:t>
      </w:r>
      <w:r>
        <w:rPr>
          <w:rStyle w:val="14"/>
          <w:rFonts w:hint="eastAsia" w:ascii="仿宋" w:hAnsi="仿宋" w:eastAsia="仿宋"/>
          <w:bCs/>
          <w:sz w:val="32"/>
          <w:szCs w:val="32"/>
        </w:rPr>
        <w:t>（类）其他卫生健康支出（款）其他卫生健康支出（项）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939.35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3,649.84</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3,275.42</w:t>
      </w:r>
      <w:r>
        <w:rPr>
          <w:rFonts w:hint="eastAsia" w:ascii="仿宋" w:hAnsi="仿宋" w:eastAsia="仿宋"/>
          <w:sz w:val="32"/>
          <w:szCs w:val="32"/>
        </w:rPr>
        <w:t>万元，主要包括：津贴补贴、机关事业单位基本养老保险缴费、离休费、抚恤金、生活补助、医疗费补助等。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374.42</w:t>
      </w:r>
      <w:r>
        <w:rPr>
          <w:rFonts w:hint="eastAsia" w:ascii="仿宋" w:hAnsi="仿宋" w:eastAsia="仿宋"/>
          <w:sz w:val="32"/>
          <w:szCs w:val="32"/>
        </w:rPr>
        <w:t>万元，主要包括：</w:t>
      </w:r>
      <w:r>
        <w:rPr>
          <w:rFonts w:hint="eastAsia" w:ascii="仿宋" w:hAnsi="仿宋" w:eastAsia="仿宋"/>
          <w:sz w:val="32"/>
          <w:szCs w:val="32"/>
          <w:lang w:val="en-US" w:eastAsia="zh-CN"/>
        </w:rPr>
        <w:t>专用材料费、</w:t>
      </w:r>
      <w:r>
        <w:rPr>
          <w:rFonts w:hint="eastAsia" w:ascii="仿宋" w:hAnsi="仿宋" w:eastAsia="仿宋"/>
          <w:sz w:val="32"/>
          <w:szCs w:val="32"/>
        </w:rPr>
        <w:t>其他商品和服务支出等。</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2022年未安排“三公”经费财政拨款支出预算。</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21年增</w:t>
      </w:r>
      <w:r>
        <w:rPr>
          <w:rFonts w:hint="eastAsia" w:ascii="仿宋_GB2312" w:eastAsia="仿宋_GB2312"/>
          <w:sz w:val="32"/>
          <w:szCs w:val="32"/>
          <w:lang w:val="en-US" w:eastAsia="zh-CN"/>
        </w:rPr>
        <w:t>持平</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color w:val="auto"/>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rPr>
        <w:t>22年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其他车型11</w:t>
      </w:r>
      <w:r>
        <w:rPr>
          <w:rFonts w:hint="eastAsia" w:ascii="仿宋_GB2312" w:eastAsia="仿宋_GB2312"/>
          <w:color w:val="auto"/>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firstLineChars="200"/>
        <w:outlineLvl w:val="1"/>
        <w:rPr>
          <w:rStyle w:val="25"/>
          <w:rFonts w:ascii="黑体" w:hAnsi="黑体" w:eastAsia="黑体"/>
        </w:rPr>
      </w:pPr>
      <w:bookmarkStart w:id="40" w:name="_Toc15377218"/>
      <w:bookmarkStart w:id="41" w:name="_Toc15396610"/>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67" w:name="_GoBack"/>
      <w:bookmarkEnd w:id="67"/>
    </w:p>
    <w:p>
      <w:pPr>
        <w:numPr>
          <w:ilvl w:val="0"/>
          <w:numId w:val="0"/>
        </w:numPr>
        <w:tabs>
          <w:tab w:val="left" w:pos="546"/>
        </w:tabs>
        <w:spacing w:line="600" w:lineRule="exact"/>
        <w:ind w:firstLine="640" w:firstLineChars="200"/>
        <w:outlineLvl w:val="1"/>
        <w:rPr>
          <w:rStyle w:val="25"/>
          <w:rFonts w:ascii="黑体" w:hAnsi="黑体" w:eastAsia="黑体"/>
          <w:b w:val="0"/>
        </w:rPr>
      </w:pPr>
      <w:bookmarkStart w:id="42" w:name="_Toc15396611"/>
      <w:bookmarkStart w:id="43" w:name="_Toc15377219"/>
      <w:r>
        <w:rPr>
          <w:rFonts w:hint="eastAsia" w:ascii="黑体" w:hAnsi="黑体" w:eastAsia="黑体" w:cstheme="majorBidi"/>
          <w:b w:val="0"/>
          <w:bCs/>
          <w:kern w:val="2"/>
          <w:sz w:val="32"/>
          <w:szCs w:val="32"/>
          <w:lang w:val="en-US" w:eastAsia="zh-CN" w:bidi="ar-SA"/>
        </w:rPr>
        <w:t>九、</w:t>
      </w:r>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4" w:name="_Toc15377221"/>
      <w:bookmarkStart w:id="45" w:name="_Toc15396612"/>
      <w:r>
        <w:rPr>
          <w:rFonts w:hint="eastAsia" w:ascii="黑体" w:hAnsi="黑体" w:eastAsia="黑体" w:cstheme="majorBidi"/>
          <w:b w:val="0"/>
          <w:bCs/>
          <w:kern w:val="2"/>
          <w:sz w:val="32"/>
          <w:szCs w:val="32"/>
          <w:lang w:val="en-US" w:eastAsia="zh-CN" w:bidi="ar-SA"/>
        </w:rPr>
        <w:t>十、</w:t>
      </w:r>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攀枝花市中心医院</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21年决算数持平</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autoSpaceDE w:val="0"/>
        <w:autoSpaceDN w:val="0"/>
        <w:adjustRightInd w:val="0"/>
        <w:spacing w:line="600" w:lineRule="exact"/>
        <w:ind w:firstLine="640" w:firstLineChars="200"/>
        <w:jc w:val="left"/>
        <w:outlineLvl w:val="2"/>
        <w:rPr>
          <w:rFonts w:hint="eastAsia" w:ascii="仿宋" w:hAnsi="仿宋" w:eastAsia="仿宋" w:cs="仿宋"/>
          <w:sz w:val="32"/>
          <w:szCs w:val="32"/>
        </w:rPr>
      </w:pPr>
      <w:bookmarkStart w:id="48" w:name="_Toc15377224"/>
      <w:r>
        <w:rPr>
          <w:rFonts w:hint="eastAsia" w:ascii="仿宋" w:hAnsi="仿宋" w:eastAsia="仿宋" w:cs="仿宋"/>
          <w:sz w:val="32"/>
          <w:szCs w:val="32"/>
        </w:rPr>
        <w:t>2022年，</w:t>
      </w:r>
      <w:r>
        <w:rPr>
          <w:rFonts w:hint="eastAsia" w:ascii="仿宋" w:hAnsi="仿宋" w:eastAsia="仿宋" w:cs="仿宋"/>
          <w:sz w:val="32"/>
          <w:szCs w:val="32"/>
          <w:lang w:val="en-US" w:eastAsia="zh-CN"/>
        </w:rPr>
        <w:t>攀枝花市中心医院</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15,300.00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13,500.00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1,800.00</w:t>
      </w:r>
      <w:r>
        <w:rPr>
          <w:rFonts w:hint="eastAsia" w:ascii="仿宋" w:hAnsi="仿宋" w:eastAsia="仿宋" w:cs="仿宋"/>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4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截至2022年12月31日，</w:t>
      </w:r>
      <w:r>
        <w:rPr>
          <w:rFonts w:hint="eastAsia" w:ascii="仿宋" w:hAnsi="仿宋" w:eastAsia="仿宋" w:cs="仿宋"/>
          <w:sz w:val="32"/>
          <w:szCs w:val="32"/>
          <w:lang w:val="en-US" w:eastAsia="zh-CN"/>
        </w:rPr>
        <w:t>攀枝花市中心医院</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13</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auto"/>
          <w:sz w:val="32"/>
          <w:szCs w:val="32"/>
          <w:highlight w:val="none"/>
          <w:lang w:val="en-US" w:eastAsia="zh-CN"/>
        </w:rPr>
        <w:t>特种专用技术用车9辆、</w:t>
      </w:r>
      <w:r>
        <w:rPr>
          <w:rFonts w:hint="eastAsia" w:ascii="仿宋" w:hAnsi="仿宋" w:eastAsia="仿宋" w:cs="仿宋"/>
          <w:sz w:val="32"/>
          <w:szCs w:val="32"/>
        </w:rPr>
        <w:t>其他用车</w:t>
      </w:r>
      <w:r>
        <w:rPr>
          <w:rFonts w:hint="eastAsia" w:ascii="仿宋" w:hAnsi="仿宋" w:eastAsia="仿宋" w:cs="仿宋"/>
          <w:sz w:val="32"/>
          <w:szCs w:val="32"/>
          <w:lang w:val="en-US" w:eastAsia="zh-CN"/>
        </w:rPr>
        <w:t>4</w:t>
      </w:r>
      <w:r>
        <w:rPr>
          <w:rFonts w:hint="eastAsia" w:ascii="仿宋" w:hAnsi="仿宋" w:eastAsia="仿宋" w:cs="仿宋"/>
          <w:sz w:val="32"/>
          <w:szCs w:val="32"/>
        </w:rPr>
        <w:t>辆，其他用车主要是用于</w:t>
      </w:r>
      <w:r>
        <w:rPr>
          <w:rFonts w:hint="eastAsia" w:ascii="仿宋" w:hAnsi="仿宋" w:eastAsia="仿宋" w:cs="仿宋"/>
          <w:color w:val="000000"/>
          <w:sz w:val="32"/>
          <w:szCs w:val="32"/>
        </w:rPr>
        <w:t>医疗业务</w:t>
      </w:r>
      <w:r>
        <w:rPr>
          <w:rFonts w:hint="eastAsia" w:ascii="仿宋" w:hAnsi="仿宋" w:eastAsia="仿宋" w:cs="仿宋"/>
          <w:color w:val="000000"/>
          <w:sz w:val="32"/>
          <w:szCs w:val="32"/>
          <w:lang w:val="en-US" w:eastAsia="zh-CN"/>
        </w:rPr>
        <w:t>活动教授会诊、对口支援帮扶等</w:t>
      </w:r>
      <w:r>
        <w:rPr>
          <w:rFonts w:hint="eastAsia" w:ascii="仿宋" w:hAnsi="仿宋" w:eastAsia="仿宋" w:cs="仿宋"/>
          <w:color w:val="000000"/>
          <w:sz w:val="32"/>
          <w:szCs w:val="32"/>
        </w:rPr>
        <w:t>用车</w:t>
      </w:r>
      <w:r>
        <w:rPr>
          <w:rFonts w:hint="eastAsia" w:ascii="仿宋" w:hAnsi="仿宋" w:eastAsia="仿宋" w:cs="仿宋"/>
          <w:sz w:val="32"/>
          <w:szCs w:val="32"/>
        </w:rPr>
        <w:t>。单价100万元以上专用设备</w:t>
      </w:r>
      <w:r>
        <w:rPr>
          <w:rFonts w:hint="eastAsia" w:ascii="仿宋" w:hAnsi="仿宋" w:eastAsia="仿宋" w:cs="仿宋"/>
          <w:sz w:val="32"/>
          <w:szCs w:val="32"/>
          <w:lang w:val="en-US" w:eastAsia="zh-CN"/>
        </w:rPr>
        <w:t>106</w:t>
      </w:r>
      <w:r>
        <w:rPr>
          <w:rFonts w:hint="eastAsia" w:ascii="仿宋" w:hAnsi="仿宋" w:eastAsia="仿宋" w:cs="仿宋"/>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根据预算绩效管理要求，本单位在2022年度预算编制阶段，组织对医疗服务与保障能力提升（公立医院综合改革）</w:t>
      </w:r>
      <w:r>
        <w:rPr>
          <w:rFonts w:hint="eastAsia" w:hAnsi="仿宋_GB2312" w:cs="仿宋_GB2312"/>
          <w:sz w:val="32"/>
          <w:szCs w:val="32"/>
          <w:lang w:eastAsia="zh-CN"/>
        </w:rPr>
        <w:t>、城市公立医院改革取消药品加成、重大传染病防控、医疗服务与保障能力提升（卫生健康人才培养培训）</w:t>
      </w:r>
      <w:r>
        <w:rPr>
          <w:rFonts w:hint="eastAsia" w:hAnsi="仿宋_GB2312" w:cs="仿宋_GB2312"/>
          <w:sz w:val="32"/>
          <w:szCs w:val="32"/>
        </w:rPr>
        <w:t>等</w:t>
      </w:r>
      <w:r>
        <w:rPr>
          <w:rFonts w:hint="eastAsia" w:hAnsi="仿宋_GB2312" w:cs="仿宋_GB2312"/>
          <w:sz w:val="32"/>
          <w:szCs w:val="32"/>
          <w:lang w:val="en-US" w:eastAsia="zh-CN"/>
        </w:rPr>
        <w:t>23</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23</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23</w:t>
      </w:r>
      <w:r>
        <w:rPr>
          <w:rFonts w:hint="eastAsia" w:hAnsi="仿宋_GB2312" w:cs="仿宋_GB2312"/>
          <w:sz w:val="32"/>
          <w:szCs w:val="32"/>
        </w:rPr>
        <w:t>个项目开展绩效监控，组织对</w:t>
      </w:r>
      <w:r>
        <w:rPr>
          <w:rFonts w:hint="eastAsia" w:hAnsi="仿宋_GB2312" w:cs="仿宋_GB2312"/>
          <w:sz w:val="32"/>
          <w:szCs w:val="32"/>
          <w:lang w:val="en-US" w:eastAsia="zh-CN"/>
        </w:rPr>
        <w:t>23</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0"/>
        </w:numPr>
        <w:spacing w:line="600" w:lineRule="exact"/>
        <w:ind w:firstLine="2640" w:firstLineChars="600"/>
        <w:jc w:val="both"/>
        <w:outlineLvl w:val="0"/>
        <w:rPr>
          <w:rStyle w:val="24"/>
          <w:rFonts w:ascii="黑体" w:hAnsi="黑体" w:eastAsia="黑体"/>
          <w:b w:val="0"/>
        </w:rPr>
      </w:pPr>
      <w:bookmarkStart w:id="49" w:name="_Toc15396613"/>
      <w:bookmarkStart w:id="50" w:name="_Toc15377225"/>
      <w:r>
        <w:rPr>
          <w:rFonts w:hint="eastAsia" w:ascii="黑体" w:hAnsi="黑体" w:eastAsia="黑体" w:cs="黑体"/>
          <w:b w:val="0"/>
          <w:bCs/>
          <w:kern w:val="44"/>
          <w:sz w:val="44"/>
          <w:szCs w:val="44"/>
          <w:lang w:val="en-US" w:eastAsia="zh-CN" w:bidi="ar-SA"/>
        </w:rPr>
        <w:t xml:space="preserve">第三部分 </w:t>
      </w:r>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1.财政拨款收入：指按照部门隶属关系从同级财政部门取得的各类财政拨款，包括：基本拨款收入和项目拨款收入。</w:t>
      </w:r>
    </w:p>
    <w:p>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2.事业收入：指医院开展医教研等业务活动及辅助活动所取得的收入，不包括从同级政府部门取得的各类财政拨款。包括医疗收入、科教收入。</w:t>
      </w:r>
    </w:p>
    <w:p>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3.其他收入：指单位取得的除上述收入以外的各项收入。主要是捐赠收入、利息收入、其他收入等。</w:t>
      </w:r>
    </w:p>
    <w:p>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年初结转和结余：指以前年度尚未完成、结转到本年按有关规定继续使用的资金。</w:t>
      </w:r>
    </w:p>
    <w:p>
      <w:pPr>
        <w:keepNext w:val="0"/>
        <w:keepLines w:val="0"/>
        <w:pageBreakBefore w:val="0"/>
        <w:widowControl w:val="0"/>
        <w:kinsoku/>
        <w:wordWrap/>
        <w:overflowPunct/>
        <w:topLinePunct w:val="0"/>
        <w:bidi w:val="0"/>
        <w:snapToGrid/>
        <w:spacing w:line="600" w:lineRule="exact"/>
        <w:ind w:firstLine="640" w:firstLineChars="200"/>
        <w:textAlignment w:val="auto"/>
        <w:rPr>
          <w:rStyle w:val="14"/>
          <w:rFonts w:hint="eastAsia" w:ascii="仿宋" w:hAnsi="仿宋" w:eastAsia="仿宋" w:cs="仿宋"/>
          <w:b w:val="0"/>
          <w:bCs/>
          <w:sz w:val="32"/>
          <w:szCs w:val="32"/>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.结余分配：指事业单位按照会计制度规定缴纳的所得税、提取的专用结余以及转入非财政拨款结余的金额等。</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6.</w:t>
      </w:r>
      <w:r>
        <w:rPr>
          <w:rStyle w:val="14"/>
          <w:rFonts w:hint="eastAsia" w:ascii="仿宋" w:hAnsi="仿宋" w:eastAsia="仿宋" w:cs="仿宋"/>
          <w:b w:val="0"/>
          <w:bCs w:val="0"/>
          <w:color w:val="auto"/>
          <w:sz w:val="32"/>
          <w:szCs w:val="32"/>
          <w:highlight w:val="none"/>
        </w:rPr>
        <w:t xml:space="preserve">一般公共服务（类）组织事务（款）其他组织事务支出（项）: </w:t>
      </w:r>
      <w:r>
        <w:rPr>
          <w:rStyle w:val="14"/>
          <w:rFonts w:hint="eastAsia" w:ascii="仿宋" w:hAnsi="仿宋" w:eastAsia="仿宋" w:cs="仿宋"/>
          <w:b w:val="0"/>
          <w:bCs w:val="0"/>
          <w:color w:val="auto"/>
          <w:sz w:val="32"/>
          <w:szCs w:val="32"/>
          <w:highlight w:val="none"/>
          <w:lang w:val="en-US" w:eastAsia="zh-CN"/>
        </w:rPr>
        <w:t>指其他用于中国共产党组织部门的支出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7</w:t>
      </w:r>
      <w:r>
        <w:rPr>
          <w:rStyle w:val="14"/>
          <w:rFonts w:hint="eastAsia" w:ascii="仿宋" w:hAnsi="仿宋" w:eastAsia="仿宋" w:cs="仿宋"/>
          <w:b w:val="0"/>
          <w:bCs w:val="0"/>
          <w:color w:val="auto"/>
          <w:sz w:val="32"/>
          <w:szCs w:val="32"/>
          <w:highlight w:val="none"/>
        </w:rPr>
        <w:t>.科学技术（类）科</w:t>
      </w:r>
      <w:r>
        <w:rPr>
          <w:rStyle w:val="14"/>
          <w:rFonts w:hint="eastAsia" w:ascii="仿宋" w:hAnsi="仿宋" w:eastAsia="仿宋" w:cs="仿宋"/>
          <w:b w:val="0"/>
          <w:bCs w:val="0"/>
          <w:color w:val="auto"/>
          <w:sz w:val="32"/>
          <w:szCs w:val="32"/>
          <w:highlight w:val="none"/>
          <w:lang w:val="en-US" w:eastAsia="zh-CN"/>
        </w:rPr>
        <w:t>其他科学技术支出</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val="en-US" w:eastAsia="zh-CN"/>
        </w:rPr>
        <w:t xml:space="preserve">其他科学技术支出 </w:t>
      </w:r>
      <w:r>
        <w:rPr>
          <w:rStyle w:val="14"/>
          <w:rFonts w:hint="eastAsia" w:ascii="仿宋" w:hAnsi="仿宋" w:eastAsia="仿宋" w:cs="仿宋"/>
          <w:b w:val="0"/>
          <w:bCs w:val="0"/>
          <w:color w:val="auto"/>
          <w:sz w:val="32"/>
          <w:szCs w:val="32"/>
          <w:highlight w:val="none"/>
        </w:rPr>
        <w:t xml:space="preserve">（项）: </w:t>
      </w:r>
      <w:r>
        <w:rPr>
          <w:rFonts w:hint="eastAsia" w:ascii="仿宋" w:hAnsi="仿宋" w:eastAsia="仿宋" w:cs="仿宋"/>
          <w:color w:val="auto"/>
          <w:sz w:val="32"/>
          <w:szCs w:val="32"/>
          <w:highlight w:val="none"/>
          <w:lang w:val="en-US" w:eastAsia="zh-CN"/>
        </w:rPr>
        <w:t>指用于其他科学技术中用于科技方面的支出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8</w:t>
      </w:r>
      <w:r>
        <w:rPr>
          <w:rStyle w:val="14"/>
          <w:rFonts w:hint="eastAsia" w:ascii="仿宋" w:hAnsi="仿宋" w:eastAsia="仿宋" w:cs="仿宋"/>
          <w:b w:val="0"/>
          <w:bCs w:val="0"/>
          <w:color w:val="auto"/>
          <w:sz w:val="32"/>
          <w:szCs w:val="32"/>
          <w:highlight w:val="none"/>
        </w:rPr>
        <w:t xml:space="preserve">.社会保障和就业（类）人力资源和社会保障管理事务（款）其他人力资源和社会保障管理事务支出（项）: </w:t>
      </w:r>
      <w:r>
        <w:rPr>
          <w:rFonts w:hint="eastAsia" w:ascii="仿宋" w:hAnsi="仿宋" w:eastAsia="仿宋" w:cs="仿宋"/>
          <w:color w:val="auto"/>
          <w:sz w:val="32"/>
          <w:szCs w:val="32"/>
          <w:lang w:val="en-US" w:eastAsia="zh-CN"/>
        </w:rPr>
        <w:t>指人力资源和社会保障管理事务支出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9</w:t>
      </w:r>
      <w:r>
        <w:rPr>
          <w:rStyle w:val="14"/>
          <w:rFonts w:hint="eastAsia" w:ascii="仿宋" w:hAnsi="仿宋" w:eastAsia="仿宋" w:cs="仿宋"/>
          <w:b w:val="0"/>
          <w:bCs w:val="0"/>
          <w:color w:val="auto"/>
          <w:sz w:val="32"/>
          <w:szCs w:val="32"/>
          <w:highlight w:val="none"/>
        </w:rPr>
        <w:t xml:space="preserve">.社会保障和就业（类）行政事业单位养老支出（款）事业单位离退休（项）: </w:t>
      </w:r>
      <w:r>
        <w:rPr>
          <w:rFonts w:hint="eastAsia" w:ascii="仿宋" w:hAnsi="仿宋" w:eastAsia="仿宋" w:cs="仿宋"/>
          <w:color w:val="auto"/>
          <w:sz w:val="32"/>
          <w:szCs w:val="32"/>
          <w:highlight w:val="none"/>
          <w:lang w:val="en-US" w:eastAsia="zh-CN"/>
        </w:rPr>
        <w:t>指事业单位开支的离退休经费</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FF0000"/>
          <w:sz w:val="32"/>
          <w:szCs w:val="32"/>
          <w:highlight w:val="none"/>
        </w:rPr>
      </w:pPr>
      <w:r>
        <w:rPr>
          <w:rStyle w:val="14"/>
          <w:rFonts w:hint="eastAsia" w:ascii="仿宋" w:hAnsi="仿宋" w:eastAsia="仿宋" w:cs="仿宋"/>
          <w:b w:val="0"/>
          <w:bCs w:val="0"/>
          <w:color w:val="auto"/>
          <w:sz w:val="32"/>
          <w:szCs w:val="32"/>
          <w:highlight w:val="none"/>
          <w:lang w:val="en-US" w:eastAsia="zh-CN"/>
        </w:rPr>
        <w:t>10</w:t>
      </w:r>
      <w:r>
        <w:rPr>
          <w:rStyle w:val="14"/>
          <w:rFonts w:hint="eastAsia" w:ascii="仿宋" w:hAnsi="仿宋" w:eastAsia="仿宋" w:cs="仿宋"/>
          <w:b w:val="0"/>
          <w:bCs w:val="0"/>
          <w:color w:val="auto"/>
          <w:sz w:val="32"/>
          <w:szCs w:val="32"/>
          <w:highlight w:val="none"/>
        </w:rPr>
        <w:t xml:space="preserve">.社会保障和就业（类）行政事业单位养老支出（款）机关事业单位基本养老保险缴费支出（项）: </w:t>
      </w:r>
      <w:r>
        <w:rPr>
          <w:rStyle w:val="14"/>
          <w:rFonts w:hint="eastAsia" w:ascii="仿宋" w:hAnsi="仿宋" w:eastAsia="仿宋" w:cs="仿宋"/>
          <w:b w:val="0"/>
          <w:bCs w:val="0"/>
          <w:color w:val="auto"/>
          <w:sz w:val="32"/>
          <w:szCs w:val="32"/>
          <w:highlight w:val="none"/>
          <w:lang w:val="en-US" w:eastAsia="zh-CN"/>
        </w:rPr>
        <w:t>指机关事业单位实施养老保险制度由单位缴纳的基本养老保险费支出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FF0000"/>
          <w:sz w:val="32"/>
          <w:szCs w:val="32"/>
          <w:highlight w:val="none"/>
        </w:rPr>
      </w:pPr>
      <w:r>
        <w:rPr>
          <w:rStyle w:val="14"/>
          <w:rFonts w:hint="eastAsia" w:ascii="仿宋" w:hAnsi="仿宋" w:eastAsia="仿宋" w:cs="仿宋"/>
          <w:b w:val="0"/>
          <w:bCs w:val="0"/>
          <w:color w:val="auto"/>
          <w:sz w:val="32"/>
          <w:szCs w:val="32"/>
          <w:highlight w:val="none"/>
          <w:lang w:val="en-US" w:eastAsia="zh-CN"/>
        </w:rPr>
        <w:t>11</w:t>
      </w:r>
      <w:r>
        <w:rPr>
          <w:rStyle w:val="14"/>
          <w:rFonts w:hint="eastAsia" w:ascii="仿宋" w:hAnsi="仿宋" w:eastAsia="仿宋" w:cs="仿宋"/>
          <w:b w:val="0"/>
          <w:bCs w:val="0"/>
          <w:color w:val="auto"/>
          <w:sz w:val="32"/>
          <w:szCs w:val="32"/>
          <w:highlight w:val="none"/>
        </w:rPr>
        <w:t xml:space="preserve">.社会保障和就业（类）抚恤（款）死亡抚恤（项）: </w:t>
      </w:r>
      <w:r>
        <w:rPr>
          <w:rFonts w:hint="eastAsia" w:ascii="仿宋" w:hAnsi="仿宋" w:eastAsia="仿宋" w:cs="仿宋"/>
          <w:color w:val="auto"/>
          <w:sz w:val="32"/>
          <w:szCs w:val="32"/>
          <w:highlight w:val="none"/>
          <w:lang w:val="en-US" w:eastAsia="zh-CN"/>
        </w:rPr>
        <w:t>指按规定用于烈士和牺牲、病故人员家属的一次性和定期抚恤金以及丧葬补助费</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12</w:t>
      </w:r>
      <w:r>
        <w:rPr>
          <w:rStyle w:val="14"/>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（类）公立医院（款）综合医院（项）:</w:t>
      </w:r>
      <w:r>
        <w:rPr>
          <w:rStyle w:val="14"/>
          <w:rFonts w:hint="eastAsia" w:ascii="仿宋" w:hAnsi="仿宋" w:eastAsia="仿宋" w:cs="仿宋"/>
          <w:b w:val="0"/>
          <w:bCs w:val="0"/>
          <w:color w:val="auto"/>
          <w:sz w:val="32"/>
          <w:szCs w:val="32"/>
          <w:highlight w:val="none"/>
          <w:lang w:val="en-US" w:eastAsia="zh-CN"/>
        </w:rPr>
        <w:t>指卫生健康、中医部门所属的城市综合性医院、独立门诊、教学医院、疗养院和县医院的支出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Style w:val="14"/>
          <w:rFonts w:hint="eastAsia" w:ascii="仿宋" w:hAnsi="仿宋" w:eastAsia="仿宋" w:cs="仿宋"/>
          <w:b w:val="0"/>
          <w:bCs w:val="0"/>
          <w:color w:val="auto"/>
          <w:sz w:val="32"/>
          <w:szCs w:val="32"/>
          <w:highlight w:val="none"/>
          <w:lang w:val="en-US" w:eastAsia="zh-CN"/>
        </w:rPr>
        <w:t>13</w:t>
      </w:r>
      <w:r>
        <w:rPr>
          <w:rStyle w:val="14"/>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（类）公立医院（款）</w:t>
      </w:r>
      <w:r>
        <w:rPr>
          <w:rStyle w:val="14"/>
          <w:rFonts w:hint="eastAsia" w:ascii="仿宋" w:hAnsi="仿宋" w:eastAsia="仿宋" w:cs="仿宋"/>
          <w:b w:val="0"/>
          <w:bCs w:val="0"/>
          <w:color w:val="auto"/>
          <w:sz w:val="32"/>
          <w:szCs w:val="32"/>
          <w:highlight w:val="none"/>
          <w:lang w:val="en-US" w:eastAsia="zh-CN"/>
        </w:rPr>
        <w:t>其他公立医院支出</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val="en-US" w:eastAsia="zh-CN"/>
        </w:rPr>
        <w:t>指其他用于公立医院方面的支出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14</w:t>
      </w:r>
      <w:r>
        <w:rPr>
          <w:rStyle w:val="14"/>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（类）公共卫生（款）基本公共卫生服务（项）:</w:t>
      </w:r>
      <w:r>
        <w:rPr>
          <w:rFonts w:hint="eastAsia" w:ascii="仿宋" w:hAnsi="仿宋" w:eastAsia="仿宋" w:cs="仿宋"/>
          <w:color w:val="auto"/>
          <w:sz w:val="32"/>
          <w:szCs w:val="32"/>
          <w:highlight w:val="none"/>
          <w:lang w:val="en-US" w:eastAsia="zh-CN"/>
        </w:rPr>
        <w:t>指基本公共卫生服务支出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15</w:t>
      </w:r>
      <w:r>
        <w:rPr>
          <w:rStyle w:val="14"/>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（类）公共卫生（款）重大公共卫生服务（项）:</w:t>
      </w:r>
      <w:r>
        <w:rPr>
          <w:rFonts w:hint="eastAsia" w:ascii="仿宋" w:hAnsi="仿宋" w:eastAsia="仿宋" w:cs="仿宋"/>
          <w:color w:val="auto"/>
          <w:sz w:val="32"/>
          <w:szCs w:val="32"/>
          <w:highlight w:val="none"/>
          <w:lang w:val="en-US" w:eastAsia="zh-CN"/>
        </w:rPr>
        <w:t>指重大疾病、重大传染病预防控制等重大公共卫生服务项目支出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lang w:val="en-US" w:eastAsia="zh-CN"/>
        </w:rPr>
        <w:t>16</w:t>
      </w:r>
      <w:r>
        <w:rPr>
          <w:rStyle w:val="14"/>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（类）公共卫生（款）其他公共卫生支出（项）:</w:t>
      </w:r>
      <w:r>
        <w:rPr>
          <w:rFonts w:hint="eastAsia" w:ascii="仿宋" w:hAnsi="仿宋" w:eastAsia="仿宋" w:cs="仿宋"/>
          <w:color w:val="auto"/>
          <w:sz w:val="32"/>
          <w:szCs w:val="32"/>
          <w:highlight w:val="none"/>
          <w:lang w:val="en-US" w:eastAsia="zh-CN"/>
        </w:rPr>
        <w:t>指其他用于公共卫生方面的支出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color w:val="FF0000"/>
          <w:sz w:val="32"/>
          <w:szCs w:val="32"/>
          <w:highlight w:val="none"/>
        </w:rPr>
      </w:pPr>
      <w:r>
        <w:rPr>
          <w:rStyle w:val="14"/>
          <w:rFonts w:hint="eastAsia" w:ascii="仿宋" w:hAnsi="仿宋" w:eastAsia="仿宋" w:cs="仿宋"/>
          <w:b w:val="0"/>
          <w:bCs w:val="0"/>
          <w:color w:val="auto"/>
          <w:sz w:val="32"/>
          <w:szCs w:val="32"/>
          <w:highlight w:val="none"/>
          <w:lang w:val="en-US" w:eastAsia="zh-CN"/>
        </w:rPr>
        <w:t>17</w:t>
      </w:r>
      <w:r>
        <w:rPr>
          <w:rStyle w:val="14"/>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（类）其他卫生健康支出（款）其他卫生健康支出（项）:</w:t>
      </w:r>
      <w:r>
        <w:rPr>
          <w:rFonts w:hint="eastAsia" w:ascii="仿宋" w:hAnsi="仿宋" w:eastAsia="仿宋" w:cs="仿宋"/>
          <w:color w:val="auto"/>
          <w:sz w:val="32"/>
          <w:szCs w:val="32"/>
          <w:highlight w:val="none"/>
          <w:lang w:val="en-US" w:eastAsia="zh-CN"/>
        </w:rPr>
        <w:t>指其他用于卫生健康方面的支出</w:t>
      </w:r>
      <w:r>
        <w:rPr>
          <w:rStyle w:val="14"/>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 xml:space="preserve">.项目支出：指在基本支出之外为完成特定行政任务和事业发展目标所发生的支出。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0.“三公”经费：指</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hint="eastAsia"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bookmarkStart w:id="53" w:name="_Toc15396618"/>
    </w:p>
    <w:p>
      <w:pPr>
        <w:spacing w:line="600" w:lineRule="exact"/>
        <w:ind w:firstLine="640" w:firstLineChars="200"/>
        <w:jc w:val="both"/>
        <w:outlineLvl w:val="0"/>
        <w:rPr>
          <w:rFonts w:hint="default" w:hAnsi="Calibri" w:eastAsia="仿宋_GB2312" w:cs="仿宋"/>
          <w:sz w:val="32"/>
          <w:szCs w:val="32"/>
          <w:lang w:val="en-US" w:eastAsia="zh-CN"/>
        </w:rPr>
      </w:pPr>
      <w:r>
        <w:rPr>
          <w:rFonts w:hint="eastAsia" w:hAnsi="Calibri" w:cs="仿宋"/>
          <w:sz w:val="32"/>
          <w:szCs w:val="32"/>
          <w:lang w:val="en-US" w:eastAsia="zh-CN"/>
        </w:rPr>
        <w:t>此表见附件3</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hint="eastAsia" w:ascii="仿宋" w:hAnsi="仿宋" w:eastAsia="仿宋"/>
          <w:lang w:eastAsia="zh-CN"/>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r>
        <w:rPr>
          <w:rStyle w:val="25"/>
          <w:rFonts w:hint="eastAsia" w:ascii="仿宋" w:hAnsi="仿宋" w:eastAsia="仿宋"/>
          <w:b w:val="0"/>
          <w:bCs w:val="0"/>
          <w:lang w:eastAsia="zh-CN"/>
        </w:rPr>
        <w:t>（</w:t>
      </w:r>
      <w:r>
        <w:rPr>
          <w:rStyle w:val="25"/>
          <w:rFonts w:hint="eastAsia" w:ascii="仿宋" w:hAnsi="仿宋" w:eastAsia="仿宋"/>
          <w:b w:val="0"/>
          <w:bCs w:val="0"/>
          <w:lang w:val="en-US" w:eastAsia="zh-CN"/>
        </w:rPr>
        <w:t>此表无数据</w:t>
      </w:r>
      <w:r>
        <w:rPr>
          <w:rStyle w:val="25"/>
          <w:rFonts w:hint="eastAsia" w:ascii="仿宋" w:hAnsi="仿宋" w:eastAsia="仿宋"/>
          <w:b w:val="0"/>
          <w:bCs w:val="0"/>
          <w:lang w:eastAsia="zh-CN"/>
        </w:rPr>
        <w:t>）</w:t>
      </w:r>
    </w:p>
    <w:p>
      <w:pPr>
        <w:pStyle w:val="4"/>
        <w:rPr>
          <w:rFonts w:hint="eastAsia" w:ascii="仿宋" w:hAnsi="仿宋" w:eastAsia="仿宋"/>
          <w:lang w:eastAsia="zh-CN"/>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r>
        <w:rPr>
          <w:rStyle w:val="25"/>
          <w:rFonts w:hint="eastAsia" w:ascii="仿宋" w:hAnsi="仿宋" w:eastAsia="仿宋"/>
          <w:b w:val="0"/>
          <w:bCs w:val="0"/>
          <w:lang w:eastAsia="zh-CN"/>
        </w:rPr>
        <w:t>（</w:t>
      </w:r>
      <w:r>
        <w:rPr>
          <w:rStyle w:val="25"/>
          <w:rFonts w:hint="eastAsia" w:ascii="仿宋" w:hAnsi="仿宋" w:eastAsia="仿宋"/>
          <w:b w:val="0"/>
          <w:bCs w:val="0"/>
          <w:lang w:val="en-US" w:eastAsia="zh-CN"/>
        </w:rPr>
        <w:t>此表无数据</w:t>
      </w:r>
      <w:r>
        <w:rPr>
          <w:rStyle w:val="25"/>
          <w:rFonts w:hint="eastAsia" w:ascii="仿宋" w:hAnsi="仿宋" w:eastAsia="仿宋"/>
          <w:b w:val="0"/>
          <w:bCs w:val="0"/>
          <w:lang w:eastAsia="zh-CN"/>
        </w:rPr>
        <w:t>）</w:t>
      </w:r>
    </w:p>
    <w:p>
      <w:pPr>
        <w:pStyle w:val="4"/>
        <w:rPr>
          <w:rFonts w:hint="eastAsia" w:ascii="仿宋" w:hAnsi="仿宋" w:eastAsia="仿宋"/>
          <w:lang w:eastAsia="zh-CN"/>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r>
        <w:rPr>
          <w:rStyle w:val="25"/>
          <w:rFonts w:hint="eastAsia" w:ascii="仿宋" w:hAnsi="仿宋" w:eastAsia="仿宋"/>
          <w:b w:val="0"/>
          <w:bCs w:val="0"/>
          <w:lang w:eastAsia="zh-CN"/>
        </w:rPr>
        <w:t>（</w:t>
      </w:r>
      <w:r>
        <w:rPr>
          <w:rStyle w:val="25"/>
          <w:rFonts w:hint="eastAsia" w:ascii="仿宋" w:hAnsi="仿宋" w:eastAsia="仿宋"/>
          <w:b w:val="0"/>
          <w:bCs w:val="0"/>
          <w:lang w:val="en-US" w:eastAsia="zh-CN"/>
        </w:rPr>
        <w:t>此表无数据</w:t>
      </w:r>
      <w:r>
        <w:rPr>
          <w:rStyle w:val="25"/>
          <w:rFonts w:hint="eastAsia" w:ascii="仿宋" w:hAnsi="仿宋" w:eastAsia="仿宋"/>
          <w:b w:val="0"/>
          <w:bCs w:val="0"/>
          <w:lang w:eastAsia="zh-CN"/>
        </w:rPr>
        <w:t>）</w:t>
      </w:r>
    </w:p>
    <w:p>
      <w:pPr>
        <w:pStyle w:val="4"/>
        <w:rPr>
          <w:rFonts w:hint="eastAsia" w:eastAsia="仿宋"/>
          <w:lang w:eastAsia="zh-CN"/>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r>
        <w:rPr>
          <w:rStyle w:val="25"/>
          <w:rFonts w:hint="eastAsia" w:ascii="仿宋" w:hAnsi="仿宋" w:eastAsia="仿宋"/>
          <w:b w:val="0"/>
          <w:bCs w:val="0"/>
          <w:lang w:eastAsia="zh-CN"/>
        </w:rPr>
        <w:t>（</w:t>
      </w:r>
      <w:r>
        <w:rPr>
          <w:rStyle w:val="25"/>
          <w:rFonts w:hint="eastAsia" w:ascii="仿宋" w:hAnsi="仿宋" w:eastAsia="仿宋"/>
          <w:b w:val="0"/>
          <w:bCs w:val="0"/>
          <w:lang w:val="en-US" w:eastAsia="zh-CN"/>
        </w:rPr>
        <w:t>此表无数据</w:t>
      </w:r>
      <w:r>
        <w:rPr>
          <w:rStyle w:val="25"/>
          <w:rFonts w:hint="eastAsia" w:ascii="仿宋" w:hAnsi="仿宋" w:eastAsia="仿宋"/>
          <w:b w:val="0"/>
          <w:bCs w:val="0"/>
          <w:lang w:eastAsia="zh-CN"/>
        </w:rPr>
        <w:t>）</w:t>
      </w:r>
    </w:p>
    <w:sectPr>
      <w:footerReference r:id="rId8" w:type="first"/>
      <w:footerReference r:id="rId7" w:type="default"/>
      <w:pgSz w:w="11906" w:h="16838"/>
      <w:pgMar w:top="1440" w:right="1706"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2"/>
                    </w:pP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TdmYThkOWI3OTNiZDM0OWFiYWQyYzM0YjA3Yj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57C21"/>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E0027"/>
    <w:rsid w:val="053A62B5"/>
    <w:rsid w:val="078361AF"/>
    <w:rsid w:val="07E51B9A"/>
    <w:rsid w:val="0A2032A3"/>
    <w:rsid w:val="0B8A37D8"/>
    <w:rsid w:val="0E3B53D0"/>
    <w:rsid w:val="0EA16378"/>
    <w:rsid w:val="10C055FF"/>
    <w:rsid w:val="118107EC"/>
    <w:rsid w:val="11DD6519"/>
    <w:rsid w:val="15F83C08"/>
    <w:rsid w:val="16BB723D"/>
    <w:rsid w:val="18015F3F"/>
    <w:rsid w:val="18595A12"/>
    <w:rsid w:val="1B9A2B6A"/>
    <w:rsid w:val="1BE8440E"/>
    <w:rsid w:val="1D155CEE"/>
    <w:rsid w:val="20F57F95"/>
    <w:rsid w:val="240371BF"/>
    <w:rsid w:val="25711CC6"/>
    <w:rsid w:val="25C741E6"/>
    <w:rsid w:val="27842671"/>
    <w:rsid w:val="279B2742"/>
    <w:rsid w:val="29BA5E5E"/>
    <w:rsid w:val="29FD04D3"/>
    <w:rsid w:val="2ABE7A3E"/>
    <w:rsid w:val="2B3319A6"/>
    <w:rsid w:val="2CA234A8"/>
    <w:rsid w:val="2EE839DA"/>
    <w:rsid w:val="2EFA178C"/>
    <w:rsid w:val="2F7931AF"/>
    <w:rsid w:val="30B46D73"/>
    <w:rsid w:val="30CB2C06"/>
    <w:rsid w:val="319F7F4E"/>
    <w:rsid w:val="383D272C"/>
    <w:rsid w:val="39AE70AB"/>
    <w:rsid w:val="3C0C0783"/>
    <w:rsid w:val="3F9F3A96"/>
    <w:rsid w:val="436A06BA"/>
    <w:rsid w:val="45F25282"/>
    <w:rsid w:val="48BF60AB"/>
    <w:rsid w:val="493C27E9"/>
    <w:rsid w:val="496F39ED"/>
    <w:rsid w:val="49FF41D3"/>
    <w:rsid w:val="4BE068DB"/>
    <w:rsid w:val="4BF6002B"/>
    <w:rsid w:val="4CD7277A"/>
    <w:rsid w:val="4ECE2238"/>
    <w:rsid w:val="50071534"/>
    <w:rsid w:val="501E5F50"/>
    <w:rsid w:val="50CD4946"/>
    <w:rsid w:val="5123775F"/>
    <w:rsid w:val="51DB4B86"/>
    <w:rsid w:val="55333C3E"/>
    <w:rsid w:val="5CEC34C6"/>
    <w:rsid w:val="5F836E73"/>
    <w:rsid w:val="60A36F7C"/>
    <w:rsid w:val="63CF6A82"/>
    <w:rsid w:val="64CA39A1"/>
    <w:rsid w:val="679C43D2"/>
    <w:rsid w:val="69630ADE"/>
    <w:rsid w:val="69AD6C7B"/>
    <w:rsid w:val="6A40325F"/>
    <w:rsid w:val="6A8238D7"/>
    <w:rsid w:val="6B1B1A41"/>
    <w:rsid w:val="6C1D616A"/>
    <w:rsid w:val="6C4A05C8"/>
    <w:rsid w:val="6D3B1A89"/>
    <w:rsid w:val="6D65068A"/>
    <w:rsid w:val="6F811B7C"/>
    <w:rsid w:val="71BF4EC2"/>
    <w:rsid w:val="72734D90"/>
    <w:rsid w:val="72C036D5"/>
    <w:rsid w:val="72FE535C"/>
    <w:rsid w:val="7412278C"/>
    <w:rsid w:val="79E7B28D"/>
    <w:rsid w:val="7C15174E"/>
    <w:rsid w:val="7F9F20EE"/>
    <w:rsid w:val="7FEA043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autoRedefine/>
    <w:semiHidden/>
    <w:qFormat/>
    <w:locked/>
    <w:uiPriority w:val="99"/>
    <w:rPr>
      <w:sz w:val="18"/>
    </w:rPr>
  </w:style>
  <w:style w:type="character" w:customStyle="1" w:styleId="18">
    <w:name w:val="Footer Char"/>
    <w:basedOn w:val="13"/>
    <w:autoRedefine/>
    <w:semiHidden/>
    <w:qFormat/>
    <w:uiPriority w:val="99"/>
    <w:rPr>
      <w:rFonts w:ascii="Times New Roman" w:hAnsi="Times New Roman"/>
      <w:sz w:val="18"/>
      <w:szCs w:val="18"/>
    </w:rPr>
  </w:style>
  <w:style w:type="character" w:customStyle="1" w:styleId="19">
    <w:name w:val="页脚 字符"/>
    <w:link w:val="8"/>
    <w:autoRedefine/>
    <w:qFormat/>
    <w:locked/>
    <w:uiPriority w:val="99"/>
    <w:rPr>
      <w:sz w:val="18"/>
    </w:rPr>
  </w:style>
  <w:style w:type="character" w:customStyle="1" w:styleId="20">
    <w:name w:val="Body Text Char"/>
    <w:basedOn w:val="13"/>
    <w:autoRedefine/>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autoRedefine/>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autoRedefine/>
    <w:semiHidden/>
    <w:qFormat/>
    <w:uiPriority w:val="99"/>
    <w:rPr>
      <w:rFonts w:ascii="Times New Roman" w:hAnsi="Times New Roman"/>
      <w:kern w:val="2"/>
      <w:sz w:val="18"/>
      <w:szCs w:val="18"/>
    </w:rPr>
  </w:style>
  <w:style w:type="character" w:customStyle="1" w:styleId="28">
    <w:name w:val="标题 3 字符"/>
    <w:basedOn w:val="13"/>
    <w:link w:val="5"/>
    <w:autoRedefine/>
    <w:qFormat/>
    <w:uiPriority w:val="9"/>
    <w:rPr>
      <w:rFonts w:ascii="Times New Roman" w:hAnsi="Times New Roman"/>
      <w:b/>
      <w:bCs/>
      <w:kern w:val="2"/>
      <w:sz w:val="32"/>
      <w:szCs w:val="32"/>
    </w:rPr>
  </w:style>
  <w:style w:type="paragraph" w:customStyle="1" w:styleId="29">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3 Char"/>
    <w:link w:val="5"/>
    <w:qFormat/>
    <w:uiPriority w:val="0"/>
    <w:rPr>
      <w:rFonts w:ascii="Times New Roman" w:hAnsi="Times New Roman" w:eastAsia="仿宋_GB2312"/>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4695</Words>
  <Characters>5233</Characters>
  <Lines>41</Lines>
  <Paragraphs>11</Paragraphs>
  <TotalTime>0</TotalTime>
  <ScaleCrop>false</ScaleCrop>
  <LinksUpToDate>false</LinksUpToDate>
  <CharactersWithSpaces>5303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韩宗英</cp:lastModifiedBy>
  <cp:lastPrinted>2023-07-31T02:35:00Z</cp:lastPrinted>
  <dcterms:modified xsi:type="dcterms:W3CDTF">2024-04-23T02:16:06Z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93FAE44AD95F480E890DD4BC2CC1B097_13</vt:lpwstr>
  </property>
</Properties>
</file>