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96597"/>
      <w:bookmarkStart w:id="4" w:name="_Toc85123937"/>
      <w:bookmarkStart w:id="5" w:name="_Toc15396475"/>
      <w:bookmarkStart w:id="6" w:name="_Toc15377193"/>
      <w:r>
        <w:rPr>
          <w:rFonts w:ascii="黑体" w:hAnsi="黑体" w:eastAsia="黑体"/>
          <w:color w:val="000000"/>
          <w:sz w:val="72"/>
          <w:szCs w:val="72"/>
        </w:rPr>
        <w:t>202</w:t>
      </w:r>
      <w:r>
        <w:rPr>
          <w:rFonts w:hint="eastAsia" w:ascii="黑体" w:hAnsi="黑体" w:eastAsia="黑体"/>
          <w:color w:val="000000"/>
          <w:sz w:val="72"/>
          <w:szCs w:val="72"/>
        </w:rPr>
        <w:t>1</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96598"/>
      <w:bookmarkStart w:id="8" w:name="_Toc15377194"/>
      <w:bookmarkStart w:id="9" w:name="_Toc15378442"/>
      <w:bookmarkStart w:id="10" w:name="_Toc15396476"/>
      <w:bookmarkStart w:id="11" w:name="_Toc15377426"/>
      <w:bookmarkStart w:id="12" w:name="_Toc85123938"/>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攀枝花</w:t>
      </w:r>
      <w:r>
        <w:rPr>
          <w:rFonts w:ascii="方正小标宋简体" w:hAnsi="宋体" w:eastAsia="方正小标宋简体"/>
          <w:color w:val="000000"/>
          <w:sz w:val="72"/>
          <w:szCs w:val="72"/>
        </w:rPr>
        <w:t>市妇幼</w:t>
      </w:r>
    </w:p>
    <w:p>
      <w:pPr>
        <w:adjustRightInd w:val="0"/>
        <w:snapToGrid w:val="0"/>
        <w:spacing w:line="360" w:lineRule="auto"/>
        <w:jc w:val="center"/>
        <w:outlineLvl w:val="0"/>
        <w:rPr>
          <w:rFonts w:ascii="方正小标宋简体" w:hAnsi="宋体" w:eastAsia="方正小标宋简体"/>
          <w:color w:val="000000"/>
          <w:sz w:val="72"/>
          <w:szCs w:val="72"/>
        </w:rPr>
      </w:pPr>
      <w:r>
        <w:rPr>
          <w:rFonts w:ascii="方正小标宋简体" w:hAnsi="宋体" w:eastAsia="方正小标宋简体"/>
          <w:color w:val="000000"/>
          <w:sz w:val="72"/>
          <w:szCs w:val="72"/>
        </w:rPr>
        <w:t>保健院</w:t>
      </w:r>
      <w:r>
        <w:rPr>
          <w:rFonts w:hint="eastAsia" w:ascii="方正小标宋简体" w:hAnsi="宋体" w:eastAsia="方正小标宋简体"/>
          <w:color w:val="000000"/>
          <w:sz w:val="72"/>
          <w:szCs w:val="72"/>
          <w:lang w:eastAsia="zh-CN"/>
        </w:rPr>
        <w:t>单位</w:t>
      </w:r>
      <w:r>
        <w:rPr>
          <w:rFonts w:hint="eastAsia" w:ascii="方正小标宋简体" w:hAnsi="宋体" w:eastAsia="方正小标宋简体"/>
          <w:color w:val="000000"/>
          <w:sz w:val="72"/>
          <w:szCs w:val="72"/>
        </w:rPr>
        <w:t>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2"/>
      </w:pPr>
      <w:r>
        <w:rPr>
          <w:rFonts w:hint="eastAsia"/>
        </w:rPr>
        <w:t>公开时间：</w:t>
      </w:r>
      <w:r>
        <w:t>202</w:t>
      </w:r>
      <w:r>
        <w:rPr>
          <w:rFonts w:hint="eastAsia"/>
        </w:rPr>
        <w:t>2年9月</w:t>
      </w:r>
      <w:r>
        <w:rPr>
          <w:rFonts w:hint="default"/>
          <w:lang w:val="en"/>
        </w:rPr>
        <w:t>13</w:t>
      </w:r>
      <w:r>
        <w:rPr>
          <w:rFonts w:hint="eastAsia"/>
        </w:rPr>
        <w:t>日</w:t>
      </w:r>
    </w:p>
    <w:p/>
    <w:sdt>
      <w:sdtPr>
        <w:rPr>
          <w:rFonts w:ascii="宋体" w:hAnsi="宋体" w:eastAsia="宋体" w:cs="Times New Roman"/>
          <w:kern w:val="2"/>
          <w:sz w:val="21"/>
          <w:szCs w:val="24"/>
          <w:lang w:val="en-US" w:eastAsia="zh-CN" w:bidi="ar-SA"/>
        </w:rPr>
        <w:id w:val="240662958"/>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14" w:name="_Toc1949438475_WPSOffice_Type2"/>
          <w:r>
            <w:rPr>
              <w:rFonts w:ascii="宋体" w:hAnsi="宋体" w:eastAsia="宋体"/>
              <w:sz w:val="21"/>
            </w:rPr>
            <w:t>目录</w:t>
          </w:r>
        </w:p>
        <w:p>
          <w:pPr>
            <w:pStyle w:val="38"/>
            <w:tabs>
              <w:tab w:val="right" w:leader="dot" w:pos="8306"/>
            </w:tabs>
          </w:pPr>
          <w:r>
            <w:rPr>
              <w:b/>
              <w:bCs/>
            </w:rPr>
            <w:fldChar w:fldCharType="begin"/>
          </w:r>
          <w:r>
            <w:instrText xml:space="preserve"> HYPERLINK \l _Toc2044480845_WPSOffice_Level1 </w:instrText>
          </w:r>
          <w:r>
            <w:rPr>
              <w:b/>
              <w:bCs/>
            </w:rP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25b8b26a-292d-4e72-8019-13377fc52ada}"/>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b/>
                  <w:bCs/>
                </w:rPr>
                <w:t>第一部分</w:t>
              </w:r>
              <w:r>
                <w:rPr>
                  <w:rFonts w:ascii="黑体" w:hAnsi="黑体" w:eastAsia="黑体" w:cs="Times New Roman"/>
                  <w:b/>
                  <w:bCs/>
                </w:rPr>
                <w:t xml:space="preserve"> </w:t>
              </w:r>
              <w:r>
                <w:rPr>
                  <w:rFonts w:hint="eastAsia" w:ascii="黑体" w:hAnsi="黑体" w:eastAsia="黑体" w:cs="Times New Roman"/>
                  <w:b/>
                  <w:bCs/>
                </w:rPr>
                <w:t>单位概况</w:t>
              </w:r>
            </w:sdtContent>
          </w:sdt>
          <w:r>
            <w:rPr>
              <w:b/>
              <w:bCs/>
            </w:rPr>
            <w:tab/>
          </w:r>
          <w:bookmarkStart w:id="15" w:name="_Toc2044480845_WPSOffice_Level1Page"/>
          <w:r>
            <w:rPr>
              <w:b/>
              <w:bCs/>
            </w:rPr>
            <w:t>4</w:t>
          </w:r>
          <w:bookmarkEnd w:id="15"/>
          <w:r>
            <w:rPr>
              <w:b/>
              <w:bCs/>
            </w:rPr>
            <w:fldChar w:fldCharType="end"/>
          </w:r>
        </w:p>
        <w:p>
          <w:pPr>
            <w:pStyle w:val="39"/>
            <w:tabs>
              <w:tab w:val="right" w:leader="dot" w:pos="8306"/>
            </w:tabs>
          </w:pPr>
          <w:r>
            <w:fldChar w:fldCharType="begin"/>
          </w:r>
          <w:r>
            <w:instrText xml:space="preserve"> HYPERLINK \l _Toc1949438475_WPSOffice_Level2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94f17cc6-128e-414b-a801-fd7630cc1666}"/>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rPr>
                <w:t>一、职能简介</w:t>
              </w:r>
            </w:sdtContent>
          </w:sdt>
          <w:r>
            <w:tab/>
          </w:r>
          <w:bookmarkStart w:id="16" w:name="_Toc1949438475_WPSOffice_Level2Page"/>
          <w:r>
            <w:t>4</w:t>
          </w:r>
          <w:bookmarkEnd w:id="16"/>
          <w:r>
            <w:fldChar w:fldCharType="end"/>
          </w:r>
        </w:p>
        <w:p>
          <w:pPr>
            <w:pStyle w:val="39"/>
            <w:tabs>
              <w:tab w:val="right" w:leader="dot" w:pos="8306"/>
            </w:tabs>
          </w:pPr>
          <w:r>
            <w:fldChar w:fldCharType="begin"/>
          </w:r>
          <w:r>
            <w:instrText xml:space="preserve"> HYPERLINK \l _Toc1647466676_WPSOffice_Level2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888cf7d7-beb6-4ebe-ac59-f5e13a08f4cc}"/>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Cambria" w:eastAsia="黑体" w:cs="Times New Roman"/>
                </w:rPr>
                <w:t>二、</w:t>
              </w:r>
              <w:r>
                <w:rPr>
                  <w:rFonts w:hint="eastAsia" w:ascii="黑体" w:hAnsi="黑体" w:eastAsia="黑体" w:cs="Times New Roman"/>
                </w:rPr>
                <w:t>2021年重点工作完成情况</w:t>
              </w:r>
            </w:sdtContent>
          </w:sdt>
          <w:r>
            <w:tab/>
          </w:r>
          <w:bookmarkStart w:id="17" w:name="_Toc1647466676_WPSOffice_Level2Page"/>
          <w:r>
            <w:t>5</w:t>
          </w:r>
          <w:bookmarkEnd w:id="17"/>
          <w:r>
            <w:fldChar w:fldCharType="end"/>
          </w:r>
        </w:p>
        <w:p>
          <w:pPr>
            <w:pStyle w:val="39"/>
            <w:tabs>
              <w:tab w:val="right" w:leader="dot" w:pos="8306"/>
            </w:tabs>
          </w:pPr>
          <w:r>
            <w:fldChar w:fldCharType="begin"/>
          </w:r>
          <w:r>
            <w:instrText xml:space="preserve"> HYPERLINK \l _Toc480479196_WPSOffice_Level2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c3543520-5ac0-4f24-83a7-370340cb84fd}"/>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黑体"/>
                </w:rPr>
                <w:t>三、机构设置情况</w:t>
              </w:r>
            </w:sdtContent>
          </w:sdt>
          <w:r>
            <w:tab/>
          </w:r>
          <w:bookmarkStart w:id="18" w:name="_Toc480479196_WPSOffice_Level2Page"/>
          <w:r>
            <w:t>7</w:t>
          </w:r>
          <w:bookmarkEnd w:id="18"/>
          <w:r>
            <w:fldChar w:fldCharType="end"/>
          </w:r>
        </w:p>
        <w:p>
          <w:pPr>
            <w:pStyle w:val="38"/>
            <w:tabs>
              <w:tab w:val="right" w:leader="dot" w:pos="8306"/>
            </w:tabs>
          </w:pPr>
          <w:r>
            <w:rPr>
              <w:b/>
              <w:bCs/>
            </w:rPr>
            <w:fldChar w:fldCharType="begin"/>
          </w:r>
          <w:r>
            <w:instrText xml:space="preserve"> HYPERLINK \l _Toc1949438475_WPSOffice_Level1 </w:instrText>
          </w:r>
          <w:r>
            <w:rPr>
              <w:b/>
              <w:bCs/>
            </w:rP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936f28bc-cf2b-4026-8d86-d5e3c8e93fe0}"/>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b/>
                  <w:bCs/>
                </w:rPr>
                <w:t>第二部分</w:t>
              </w:r>
              <w:r>
                <w:rPr>
                  <w:rFonts w:ascii="黑体" w:hAnsi="黑体" w:eastAsia="黑体" w:cs="Times New Roman"/>
                  <w:b/>
                  <w:bCs/>
                </w:rPr>
                <w:t xml:space="preserve"> 202</w:t>
              </w:r>
              <w:r>
                <w:rPr>
                  <w:rFonts w:hint="eastAsia" w:ascii="黑体" w:hAnsi="黑体" w:eastAsia="黑体" w:cs="Times New Roman"/>
                  <w:b/>
                  <w:bCs/>
                </w:rPr>
                <w:t>1年度单位决算情况说明</w:t>
              </w:r>
            </w:sdtContent>
          </w:sdt>
          <w:r>
            <w:rPr>
              <w:b/>
              <w:bCs/>
            </w:rPr>
            <w:tab/>
          </w:r>
          <w:bookmarkStart w:id="19" w:name="_Toc1949438475_WPSOffice_Level1Page"/>
          <w:r>
            <w:rPr>
              <w:b/>
              <w:bCs/>
            </w:rPr>
            <w:t>8</w:t>
          </w:r>
          <w:bookmarkEnd w:id="19"/>
          <w:r>
            <w:rPr>
              <w:b/>
              <w:bCs/>
            </w:rPr>
            <w:fldChar w:fldCharType="end"/>
          </w:r>
        </w:p>
        <w:p>
          <w:pPr>
            <w:pStyle w:val="39"/>
            <w:tabs>
              <w:tab w:val="right" w:leader="dot" w:pos="8306"/>
            </w:tabs>
          </w:pPr>
          <w:r>
            <w:fldChar w:fldCharType="begin"/>
          </w:r>
          <w:r>
            <w:instrText xml:space="preserve"> HYPERLINK \l _Toc1238062989_WPSOffice_Level2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84e31837-8a07-470c-b42e-9bac38efe5a5}"/>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default" w:ascii="黑体" w:hAnsi="黑体" w:eastAsia="黑体" w:cs="Times New Roman"/>
                </w:rPr>
                <w:t xml:space="preserve">一、 </w:t>
              </w:r>
              <w:r>
                <w:rPr>
                  <w:rFonts w:hint="eastAsia" w:ascii="黑体" w:hAnsi="黑体" w:eastAsia="黑体" w:cs="Times New Roman"/>
                </w:rPr>
                <w:t>收入支出决算总体情况说明</w:t>
              </w:r>
            </w:sdtContent>
          </w:sdt>
          <w:r>
            <w:tab/>
          </w:r>
          <w:bookmarkStart w:id="20" w:name="_Toc1238062989_WPSOffice_Level2Page"/>
          <w:r>
            <w:t>8</w:t>
          </w:r>
          <w:bookmarkEnd w:id="20"/>
          <w:r>
            <w:fldChar w:fldCharType="end"/>
          </w:r>
        </w:p>
        <w:p>
          <w:pPr>
            <w:pStyle w:val="39"/>
            <w:tabs>
              <w:tab w:val="right" w:leader="dot" w:pos="8306"/>
            </w:tabs>
          </w:pPr>
          <w:r>
            <w:fldChar w:fldCharType="begin"/>
          </w:r>
          <w:r>
            <w:instrText xml:space="preserve"> HYPERLINK \l _Toc1107595273_WPSOffice_Level2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15c069c7-0eee-4c6e-9f22-a7beb8389d89}"/>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default" w:ascii="黑体" w:hAnsi="黑体" w:eastAsia="黑体" w:cs="Times New Roman"/>
                </w:rPr>
                <w:t xml:space="preserve">二、 </w:t>
              </w:r>
              <w:r>
                <w:rPr>
                  <w:rFonts w:hint="eastAsia" w:ascii="黑体" w:hAnsi="黑体" w:eastAsia="黑体" w:cs="Times New Roman"/>
                </w:rPr>
                <w:t>收入决算情况说明</w:t>
              </w:r>
            </w:sdtContent>
          </w:sdt>
          <w:r>
            <w:tab/>
          </w:r>
          <w:bookmarkStart w:id="21" w:name="_Toc1107595273_WPSOffice_Level2Page"/>
          <w:r>
            <w:t>8</w:t>
          </w:r>
          <w:bookmarkEnd w:id="21"/>
          <w:r>
            <w:fldChar w:fldCharType="end"/>
          </w:r>
        </w:p>
        <w:p>
          <w:pPr>
            <w:pStyle w:val="39"/>
            <w:tabs>
              <w:tab w:val="right" w:leader="dot" w:pos="8306"/>
            </w:tabs>
          </w:pPr>
          <w:r>
            <w:fldChar w:fldCharType="begin"/>
          </w:r>
          <w:r>
            <w:instrText xml:space="preserve"> HYPERLINK \l _Toc54740993_WPSOffice_Level2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d9eedc88-1ca5-45b3-9645-502d0cf57dcc}"/>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default" w:ascii="黑体" w:hAnsi="黑体" w:eastAsia="黑体" w:cs="Times New Roman"/>
                </w:rPr>
                <w:t xml:space="preserve">三、 </w:t>
              </w:r>
              <w:r>
                <w:rPr>
                  <w:rFonts w:hint="eastAsia" w:ascii="黑体" w:hAnsi="黑体" w:eastAsia="黑体" w:cs="Times New Roman"/>
                </w:rPr>
                <w:t>支出决算情况说明</w:t>
              </w:r>
            </w:sdtContent>
          </w:sdt>
          <w:r>
            <w:tab/>
          </w:r>
          <w:bookmarkStart w:id="22" w:name="_Toc54740993_WPSOffice_Level2Page"/>
          <w:r>
            <w:t>9</w:t>
          </w:r>
          <w:bookmarkEnd w:id="22"/>
          <w:r>
            <w:fldChar w:fldCharType="end"/>
          </w:r>
        </w:p>
        <w:p>
          <w:pPr>
            <w:pStyle w:val="39"/>
            <w:tabs>
              <w:tab w:val="right" w:leader="dot" w:pos="8306"/>
            </w:tabs>
          </w:pPr>
          <w:r>
            <w:fldChar w:fldCharType="begin"/>
          </w:r>
          <w:r>
            <w:instrText xml:space="preserve"> HYPERLINK \l _Toc868601248_WPSOffice_Level2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dda3c708-7aba-4553-bb9e-b1cf1c5efdf8}"/>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rPr>
                <w:t>四、财政拨款收入支出决算总体情况说明</w:t>
              </w:r>
            </w:sdtContent>
          </w:sdt>
          <w:r>
            <w:tab/>
          </w:r>
          <w:bookmarkStart w:id="23" w:name="_Toc868601248_WPSOffice_Level2Page"/>
          <w:r>
            <w:t>10</w:t>
          </w:r>
          <w:bookmarkEnd w:id="23"/>
          <w:r>
            <w:fldChar w:fldCharType="end"/>
          </w:r>
        </w:p>
        <w:p>
          <w:pPr>
            <w:pStyle w:val="39"/>
            <w:tabs>
              <w:tab w:val="right" w:leader="dot" w:pos="8306"/>
            </w:tabs>
          </w:pPr>
          <w:r>
            <w:fldChar w:fldCharType="begin"/>
          </w:r>
          <w:r>
            <w:instrText xml:space="preserve"> HYPERLINK \l _Toc53585959_WPSOffice_Level2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8f563f7c-79f2-467d-bc07-aaf695cb62c4}"/>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rPr>
                <w:t>五、一般公共预算财政拨款支出决算情况说明</w:t>
              </w:r>
            </w:sdtContent>
          </w:sdt>
          <w:r>
            <w:tab/>
          </w:r>
          <w:bookmarkStart w:id="24" w:name="_Toc53585959_WPSOffice_Level2Page"/>
          <w:r>
            <w:t>10</w:t>
          </w:r>
          <w:bookmarkEnd w:id="24"/>
          <w:r>
            <w:fldChar w:fldCharType="end"/>
          </w:r>
        </w:p>
        <w:p>
          <w:pPr>
            <w:pStyle w:val="39"/>
            <w:tabs>
              <w:tab w:val="right" w:leader="dot" w:pos="8306"/>
            </w:tabs>
          </w:pPr>
          <w:r>
            <w:fldChar w:fldCharType="begin"/>
          </w:r>
          <w:r>
            <w:instrText xml:space="preserve"> HYPERLINK \l _Toc640336099_WPSOffice_Level2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f945ea94-cf60-4684-a23a-78985b27af27}"/>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一般公共预算财政拨款基本支出决算情况说明</w:t>
              </w:r>
            </w:sdtContent>
          </w:sdt>
          <w:r>
            <w:tab/>
          </w:r>
          <w:bookmarkStart w:id="25" w:name="_Toc640336099_WPSOffice_Level2Page"/>
          <w:r>
            <w:t>14</w:t>
          </w:r>
          <w:bookmarkEnd w:id="25"/>
          <w:r>
            <w:fldChar w:fldCharType="end"/>
          </w:r>
        </w:p>
        <w:p>
          <w:pPr>
            <w:pStyle w:val="39"/>
            <w:tabs>
              <w:tab w:val="right" w:leader="dot" w:pos="8306"/>
            </w:tabs>
          </w:pPr>
          <w:r>
            <w:fldChar w:fldCharType="begin"/>
          </w:r>
          <w:r>
            <w:instrText xml:space="preserve"> HYPERLINK \l _Toc657757713_WPSOffice_Level2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a1d3a3c3-da3b-451e-82ba-6d93c89ddfda}"/>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Times New Roman" w:eastAsia="黑体" w:cs="Times New Roman"/>
                </w:rPr>
                <w:t>七、</w:t>
              </w:r>
              <w:r>
                <w:rPr>
                  <w:rFonts w:hint="eastAsia" w:ascii="黑体" w:hAnsi="黑体" w:eastAsia="黑体" w:cs="Times New Roman"/>
                </w:rPr>
                <w:t>“三公”经费财政拨款支出决算情况说明</w:t>
              </w:r>
            </w:sdtContent>
          </w:sdt>
          <w:r>
            <w:tab/>
          </w:r>
          <w:bookmarkStart w:id="26" w:name="_Toc657757713_WPSOffice_Level2Page"/>
          <w:r>
            <w:t>15</w:t>
          </w:r>
          <w:bookmarkEnd w:id="26"/>
          <w:r>
            <w:fldChar w:fldCharType="end"/>
          </w:r>
        </w:p>
        <w:p>
          <w:pPr>
            <w:pStyle w:val="39"/>
            <w:tabs>
              <w:tab w:val="right" w:leader="dot" w:pos="8306"/>
            </w:tabs>
          </w:pPr>
          <w:r>
            <w:fldChar w:fldCharType="begin"/>
          </w:r>
          <w:r>
            <w:instrText xml:space="preserve"> HYPERLINK \l _Toc1851934299_WPSOffice_Level2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d6b571f7-76cc-4784-a1cd-131bea95092e}"/>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Times New Roman" w:eastAsia="黑体" w:cs="Times New Roman"/>
                </w:rPr>
                <w:t>八、</w:t>
              </w:r>
              <w:r>
                <w:rPr>
                  <w:rFonts w:hint="eastAsia" w:ascii="黑体" w:hAnsi="黑体" w:eastAsia="黑体" w:cs="Times New Roman"/>
                </w:rPr>
                <w:t>政府性基金预算支出决算情况说明</w:t>
              </w:r>
            </w:sdtContent>
          </w:sdt>
          <w:r>
            <w:tab/>
          </w:r>
          <w:bookmarkStart w:id="27" w:name="_Toc1851934299_WPSOffice_Level2Page"/>
          <w:r>
            <w:t>17</w:t>
          </w:r>
          <w:bookmarkEnd w:id="27"/>
          <w:r>
            <w:fldChar w:fldCharType="end"/>
          </w:r>
        </w:p>
        <w:p>
          <w:pPr>
            <w:pStyle w:val="39"/>
            <w:tabs>
              <w:tab w:val="right" w:leader="dot" w:pos="8306"/>
            </w:tabs>
          </w:pPr>
          <w:r>
            <w:fldChar w:fldCharType="begin"/>
          </w:r>
          <w:r>
            <w:instrText xml:space="preserve"> HYPERLINK \l _Toc1278841334_WPSOffice_Level2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4d926b4c-3da0-4432-8e53-926a2958a0d2}"/>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rPr>
                <w:t>九、 国有资本经营预算支出决算情况说明</w:t>
              </w:r>
            </w:sdtContent>
          </w:sdt>
          <w:r>
            <w:tab/>
          </w:r>
          <w:bookmarkStart w:id="28" w:name="_Toc1278841334_WPSOffice_Level2Page"/>
          <w:r>
            <w:t>17</w:t>
          </w:r>
          <w:bookmarkEnd w:id="28"/>
          <w:r>
            <w:fldChar w:fldCharType="end"/>
          </w:r>
        </w:p>
        <w:p>
          <w:pPr>
            <w:pStyle w:val="39"/>
            <w:tabs>
              <w:tab w:val="right" w:leader="dot" w:pos="8306"/>
            </w:tabs>
          </w:pPr>
          <w:r>
            <w:fldChar w:fldCharType="begin"/>
          </w:r>
          <w:r>
            <w:instrText xml:space="preserve"> HYPERLINK \l _Toc1861324612_WPSOffice_Level2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d6b39090-400b-4891-894e-69e580c55029}"/>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rPr>
                <w:t>十、 其他重要事项的情况说明</w:t>
              </w:r>
            </w:sdtContent>
          </w:sdt>
          <w:r>
            <w:tab/>
          </w:r>
          <w:bookmarkStart w:id="29" w:name="_Toc1861324612_WPSOffice_Level2Page"/>
          <w:r>
            <w:t>17</w:t>
          </w:r>
          <w:bookmarkEnd w:id="29"/>
          <w:r>
            <w:fldChar w:fldCharType="end"/>
          </w:r>
        </w:p>
        <w:p>
          <w:pPr>
            <w:pStyle w:val="38"/>
            <w:tabs>
              <w:tab w:val="right" w:leader="dot" w:pos="8306"/>
            </w:tabs>
          </w:pPr>
          <w:r>
            <w:rPr>
              <w:b/>
              <w:bCs/>
            </w:rPr>
            <w:fldChar w:fldCharType="begin"/>
          </w:r>
          <w:r>
            <w:instrText xml:space="preserve"> HYPERLINK \l _Toc1647466676_WPSOffice_Level1 </w:instrText>
          </w:r>
          <w:r>
            <w:rPr>
              <w:b/>
              <w:bCs/>
            </w:rP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dd53454f-3b2d-41be-9720-2dfb3bf1442e}"/>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b/>
                  <w:bCs/>
                </w:rPr>
                <w:t>第三部分 名词解释</w:t>
              </w:r>
            </w:sdtContent>
          </w:sdt>
          <w:r>
            <w:rPr>
              <w:b/>
              <w:bCs/>
            </w:rPr>
            <w:tab/>
          </w:r>
          <w:bookmarkStart w:id="30" w:name="_Toc1647466676_WPSOffice_Level1Page"/>
          <w:r>
            <w:rPr>
              <w:b/>
              <w:bCs/>
            </w:rPr>
            <w:t>19</w:t>
          </w:r>
          <w:bookmarkEnd w:id="30"/>
          <w:r>
            <w:rPr>
              <w:b/>
              <w:bCs/>
            </w:rPr>
            <w:fldChar w:fldCharType="end"/>
          </w:r>
        </w:p>
        <w:p>
          <w:pPr>
            <w:pStyle w:val="38"/>
            <w:tabs>
              <w:tab w:val="right" w:leader="dot" w:pos="8306"/>
            </w:tabs>
          </w:pPr>
          <w:r>
            <w:rPr>
              <w:b/>
              <w:bCs/>
            </w:rPr>
            <w:fldChar w:fldCharType="begin"/>
          </w:r>
          <w:r>
            <w:instrText xml:space="preserve"> HYPERLINK \l _Toc480479196_WPSOffice_Level1 </w:instrText>
          </w:r>
          <w:r>
            <w:rPr>
              <w:b/>
              <w:bCs/>
            </w:rP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f1af8daa-eb78-4f0a-baac-ebdfd20f9fff}"/>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b/>
                  <w:bCs/>
                </w:rPr>
                <w:t>第四部分</w:t>
              </w:r>
              <w:r>
                <w:rPr>
                  <w:rFonts w:ascii="黑体" w:hAnsi="黑体" w:eastAsia="黑体" w:cs="Times New Roman"/>
                  <w:b/>
                  <w:bCs/>
                </w:rPr>
                <w:t xml:space="preserve"> </w:t>
              </w:r>
              <w:r>
                <w:rPr>
                  <w:rFonts w:hint="eastAsia" w:ascii="黑体" w:hAnsi="黑体" w:eastAsia="黑体" w:cs="Times New Roman"/>
                  <w:b/>
                  <w:bCs/>
                </w:rPr>
                <w:t>附件</w:t>
              </w:r>
            </w:sdtContent>
          </w:sdt>
          <w:r>
            <w:rPr>
              <w:b/>
              <w:bCs/>
            </w:rPr>
            <w:tab/>
          </w:r>
          <w:bookmarkStart w:id="31" w:name="_Toc480479196_WPSOffice_Level1Page"/>
          <w:r>
            <w:rPr>
              <w:b/>
              <w:bCs/>
            </w:rPr>
            <w:t>23</w:t>
          </w:r>
          <w:bookmarkEnd w:id="31"/>
          <w:r>
            <w:rPr>
              <w:b/>
              <w:bCs/>
            </w:rPr>
            <w:fldChar w:fldCharType="end"/>
          </w:r>
        </w:p>
        <w:p>
          <w:pPr>
            <w:pStyle w:val="39"/>
            <w:tabs>
              <w:tab w:val="right" w:leader="dot" w:pos="8306"/>
            </w:tabs>
          </w:pPr>
          <w:r>
            <w:fldChar w:fldCharType="begin"/>
          </w:r>
          <w:r>
            <w:instrText xml:space="preserve"> HYPERLINK \l _Toc659040322_WPSOffice_Level2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3328ac09-dc81-4a09-b899-8b172862e707}"/>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宋体" w:hAnsi="宋体" w:eastAsia="宋体" w:cs="宋体"/>
                </w:rPr>
                <w:t>2021年特定目标类部门预算项目绩效目标自评</w:t>
              </w:r>
            </w:sdtContent>
          </w:sdt>
          <w:r>
            <w:tab/>
          </w:r>
          <w:bookmarkStart w:id="32" w:name="_Toc659040322_WPSOffice_Level2Page"/>
          <w:r>
            <w:t>24</w:t>
          </w:r>
          <w:bookmarkEnd w:id="32"/>
          <w:r>
            <w:fldChar w:fldCharType="end"/>
          </w:r>
        </w:p>
        <w:p>
          <w:pPr>
            <w:pStyle w:val="38"/>
            <w:tabs>
              <w:tab w:val="right" w:leader="dot" w:pos="8306"/>
            </w:tabs>
          </w:pPr>
          <w:r>
            <w:rPr>
              <w:b/>
              <w:bCs/>
            </w:rPr>
            <w:fldChar w:fldCharType="begin"/>
          </w:r>
          <w:r>
            <w:instrText xml:space="preserve"> HYPERLINK \l _Toc1238062989_WPSOffice_Level1 </w:instrText>
          </w:r>
          <w:r>
            <w:rPr>
              <w:b/>
              <w:bCs/>
            </w:rP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7ae89546-47a4-4e82-90d3-c4242b8f8fde}"/>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黑体" w:hAnsi="黑体" w:eastAsia="黑体" w:cs="Times New Roman"/>
                  <w:b/>
                  <w:bCs/>
                </w:rPr>
                <w:t>第五部分</w:t>
              </w:r>
              <w:r>
                <w:rPr>
                  <w:rFonts w:ascii="黑体" w:hAnsi="黑体" w:eastAsia="黑体" w:cs="Times New Roman"/>
                  <w:b/>
                  <w:bCs/>
                </w:rPr>
                <w:t xml:space="preserve"> </w:t>
              </w:r>
              <w:r>
                <w:rPr>
                  <w:rFonts w:hint="eastAsia" w:ascii="黑体" w:hAnsi="黑体" w:eastAsia="黑体" w:cs="Times New Roman"/>
                  <w:b/>
                  <w:bCs/>
                </w:rPr>
                <w:t>附表</w:t>
              </w:r>
            </w:sdtContent>
          </w:sdt>
          <w:r>
            <w:rPr>
              <w:b/>
              <w:bCs/>
            </w:rPr>
            <w:tab/>
          </w:r>
          <w:bookmarkStart w:id="33" w:name="_Toc1238062989_WPSOffice_Level1Page"/>
          <w:r>
            <w:rPr>
              <w:b/>
              <w:bCs/>
            </w:rPr>
            <w:t>34</w:t>
          </w:r>
          <w:bookmarkEnd w:id="33"/>
          <w:r>
            <w:rPr>
              <w:b/>
              <w:bCs/>
            </w:rPr>
            <w:fldChar w:fldCharType="end"/>
          </w:r>
        </w:p>
        <w:p>
          <w:pPr>
            <w:pStyle w:val="39"/>
            <w:tabs>
              <w:tab w:val="right" w:leader="dot" w:pos="8306"/>
            </w:tabs>
          </w:pPr>
          <w:r>
            <w:fldChar w:fldCharType="begin"/>
          </w:r>
          <w:r>
            <w:instrText xml:space="preserve"> HYPERLINK \l _Toc2047363522_WPSOffice_Level2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b2855f82-3bb6-46c3-b997-5754ad95177a}"/>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default" w:ascii="仿宋" w:hAnsi="仿宋" w:eastAsia="仿宋" w:cs="Times New Roman"/>
                </w:rPr>
                <w:t xml:space="preserve">一、 </w:t>
              </w:r>
              <w:r>
                <w:rPr>
                  <w:rFonts w:hint="eastAsia" w:ascii="仿宋" w:hAnsi="仿宋" w:eastAsia="仿宋" w:cs="Times New Roman"/>
                </w:rPr>
                <w:t>收入支出决算总表</w:t>
              </w:r>
            </w:sdtContent>
          </w:sdt>
          <w:r>
            <w:tab/>
          </w:r>
          <w:bookmarkStart w:id="34" w:name="_Toc2047363522_WPSOffice_Level2Page"/>
          <w:r>
            <w:t>34</w:t>
          </w:r>
          <w:bookmarkEnd w:id="34"/>
          <w:r>
            <w:fldChar w:fldCharType="end"/>
          </w:r>
        </w:p>
        <w:p>
          <w:pPr>
            <w:pStyle w:val="39"/>
            <w:tabs>
              <w:tab w:val="right" w:leader="dot" w:pos="8306"/>
            </w:tabs>
          </w:pPr>
          <w:r>
            <w:fldChar w:fldCharType="begin"/>
          </w:r>
          <w:r>
            <w:instrText xml:space="preserve"> HYPERLINK \l _Toc837217151_WPSOffice_Level2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1249e92c-8c76-433e-91f4-26bdc24e524e}"/>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default" w:ascii="仿宋" w:hAnsi="仿宋" w:eastAsia="仿宋" w:cs="Times New Roman"/>
                </w:rPr>
                <w:t xml:space="preserve">二、 </w:t>
              </w:r>
              <w:r>
                <w:rPr>
                  <w:rFonts w:hint="eastAsia" w:ascii="仿宋" w:hAnsi="仿宋" w:eastAsia="仿宋" w:cs="Times New Roman"/>
                </w:rPr>
                <w:t>收入决算表</w:t>
              </w:r>
            </w:sdtContent>
          </w:sdt>
          <w:r>
            <w:tab/>
          </w:r>
          <w:bookmarkStart w:id="35" w:name="_Toc837217151_WPSOffice_Level2Page"/>
          <w:r>
            <w:t>34</w:t>
          </w:r>
          <w:bookmarkEnd w:id="35"/>
          <w:r>
            <w:fldChar w:fldCharType="end"/>
          </w:r>
        </w:p>
        <w:p>
          <w:pPr>
            <w:pStyle w:val="39"/>
            <w:tabs>
              <w:tab w:val="right" w:leader="dot" w:pos="8306"/>
            </w:tabs>
          </w:pPr>
          <w:r>
            <w:fldChar w:fldCharType="begin"/>
          </w:r>
          <w:r>
            <w:instrText xml:space="preserve"> HYPERLINK \l _Toc718028214_WPSOffice_Level2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db040e96-0cae-4e32-afa9-d49bca210d72}"/>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三、支出决算表</w:t>
              </w:r>
            </w:sdtContent>
          </w:sdt>
          <w:r>
            <w:tab/>
          </w:r>
          <w:bookmarkStart w:id="36" w:name="_Toc718028214_WPSOffice_Level2Page"/>
          <w:r>
            <w:t>34</w:t>
          </w:r>
          <w:bookmarkEnd w:id="36"/>
          <w:r>
            <w:fldChar w:fldCharType="end"/>
          </w:r>
        </w:p>
        <w:p>
          <w:pPr>
            <w:pStyle w:val="39"/>
            <w:tabs>
              <w:tab w:val="right" w:leader="dot" w:pos="8306"/>
            </w:tabs>
          </w:pPr>
          <w:r>
            <w:fldChar w:fldCharType="begin"/>
          </w:r>
          <w:r>
            <w:instrText xml:space="preserve"> HYPERLINK \l _Toc1383651782_WPSOffice_Level2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0d7190c0-dab5-4e63-ad53-c35dd8b2556a}"/>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四、财政拨款收入支出决算总表</w:t>
              </w:r>
            </w:sdtContent>
          </w:sdt>
          <w:r>
            <w:tab/>
          </w:r>
          <w:bookmarkStart w:id="37" w:name="_Toc1383651782_WPSOffice_Level2Page"/>
          <w:r>
            <w:t>34</w:t>
          </w:r>
          <w:bookmarkEnd w:id="37"/>
          <w:r>
            <w:fldChar w:fldCharType="end"/>
          </w:r>
        </w:p>
        <w:p>
          <w:pPr>
            <w:pStyle w:val="39"/>
            <w:tabs>
              <w:tab w:val="right" w:leader="dot" w:pos="8306"/>
            </w:tabs>
          </w:pPr>
          <w:r>
            <w:fldChar w:fldCharType="begin"/>
          </w:r>
          <w:r>
            <w:instrText xml:space="preserve"> HYPERLINK \l _Toc1444551550_WPSOffice_Level2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67b24dd1-66a0-4ab2-aeb1-5d57f29d97a3}"/>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五、财政拨款支出决算明细表</w:t>
              </w:r>
            </w:sdtContent>
          </w:sdt>
          <w:r>
            <w:tab/>
          </w:r>
          <w:bookmarkStart w:id="38" w:name="_Toc1444551550_WPSOffice_Level2Page"/>
          <w:r>
            <w:t>34</w:t>
          </w:r>
          <w:bookmarkEnd w:id="38"/>
          <w:r>
            <w:fldChar w:fldCharType="end"/>
          </w:r>
        </w:p>
        <w:p>
          <w:pPr>
            <w:pStyle w:val="39"/>
            <w:tabs>
              <w:tab w:val="right" w:leader="dot" w:pos="8306"/>
            </w:tabs>
          </w:pPr>
          <w:r>
            <w:fldChar w:fldCharType="begin"/>
          </w:r>
          <w:r>
            <w:instrText xml:space="preserve"> HYPERLINK \l _Toc531812657_WPSOffice_Level2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de2afa9e-69ec-4310-bcaa-b6174569c30b}"/>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六、一般公共预算财政拨款支出决算表</w:t>
              </w:r>
            </w:sdtContent>
          </w:sdt>
          <w:r>
            <w:tab/>
          </w:r>
          <w:bookmarkStart w:id="39" w:name="_Toc531812657_WPSOffice_Level2Page"/>
          <w:r>
            <w:t>34</w:t>
          </w:r>
          <w:bookmarkEnd w:id="39"/>
          <w:r>
            <w:fldChar w:fldCharType="end"/>
          </w:r>
        </w:p>
        <w:p>
          <w:pPr>
            <w:pStyle w:val="39"/>
            <w:tabs>
              <w:tab w:val="right" w:leader="dot" w:pos="8306"/>
            </w:tabs>
          </w:pPr>
          <w:r>
            <w:fldChar w:fldCharType="begin"/>
          </w:r>
          <w:r>
            <w:instrText xml:space="preserve"> HYPERLINK \l _Toc38061258_WPSOffice_Level2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dbf155a3-e34d-446b-82eb-78cdbe0209df}"/>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七、一般公共预算财政拨款支出决算明细表</w:t>
              </w:r>
            </w:sdtContent>
          </w:sdt>
          <w:r>
            <w:tab/>
          </w:r>
          <w:bookmarkStart w:id="40" w:name="_Toc38061258_WPSOffice_Level2Page"/>
          <w:r>
            <w:t>34</w:t>
          </w:r>
          <w:bookmarkEnd w:id="40"/>
          <w:r>
            <w:fldChar w:fldCharType="end"/>
          </w:r>
        </w:p>
        <w:p>
          <w:pPr>
            <w:pStyle w:val="39"/>
            <w:tabs>
              <w:tab w:val="right" w:leader="dot" w:pos="8306"/>
            </w:tabs>
          </w:pPr>
          <w:r>
            <w:fldChar w:fldCharType="begin"/>
          </w:r>
          <w:r>
            <w:instrText xml:space="preserve"> HYPERLINK \l _Toc826722044_WPSOffice_Level2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ffc28834-75f6-4454-9f5c-ff65dabad483}"/>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八、一般公共预算财政拨款基本支出决算表</w:t>
              </w:r>
            </w:sdtContent>
          </w:sdt>
          <w:r>
            <w:tab/>
          </w:r>
          <w:bookmarkStart w:id="41" w:name="_Toc826722044_WPSOffice_Level2Page"/>
          <w:r>
            <w:t>34</w:t>
          </w:r>
          <w:bookmarkEnd w:id="41"/>
          <w:r>
            <w:fldChar w:fldCharType="end"/>
          </w:r>
        </w:p>
        <w:p>
          <w:pPr>
            <w:pStyle w:val="39"/>
            <w:tabs>
              <w:tab w:val="right" w:leader="dot" w:pos="8306"/>
            </w:tabs>
          </w:pPr>
          <w:r>
            <w:fldChar w:fldCharType="begin"/>
          </w:r>
          <w:r>
            <w:instrText xml:space="preserve"> HYPERLINK \l _Toc803994730_WPSOffice_Level2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2b3a9f88-2be5-4caa-85f2-96f59a6845ea}"/>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九、一般公共预算财政拨款项目支出决算表</w:t>
              </w:r>
            </w:sdtContent>
          </w:sdt>
          <w:r>
            <w:tab/>
          </w:r>
          <w:bookmarkStart w:id="42" w:name="_Toc803994730_WPSOffice_Level2Page"/>
          <w:r>
            <w:t>34</w:t>
          </w:r>
          <w:bookmarkEnd w:id="42"/>
          <w:r>
            <w:fldChar w:fldCharType="end"/>
          </w:r>
        </w:p>
        <w:p>
          <w:pPr>
            <w:pStyle w:val="39"/>
            <w:tabs>
              <w:tab w:val="right" w:leader="dot" w:pos="8306"/>
            </w:tabs>
          </w:pPr>
          <w:r>
            <w:fldChar w:fldCharType="begin"/>
          </w:r>
          <w:r>
            <w:instrText xml:space="preserve"> HYPERLINK \l _Toc1011066897_WPSOffice_Level2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69baec6a-3316-4692-ae0c-0049d6e850d7}"/>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十、一般公共预算财政拨款“三公”经费支出决算表</w:t>
              </w:r>
            </w:sdtContent>
          </w:sdt>
          <w:r>
            <w:tab/>
          </w:r>
          <w:bookmarkStart w:id="43" w:name="_Toc1011066897_WPSOffice_Level2Page"/>
          <w:r>
            <w:t>34</w:t>
          </w:r>
          <w:bookmarkEnd w:id="43"/>
          <w:r>
            <w:fldChar w:fldCharType="end"/>
          </w:r>
        </w:p>
        <w:p>
          <w:pPr>
            <w:pStyle w:val="39"/>
            <w:tabs>
              <w:tab w:val="right" w:leader="dot" w:pos="8306"/>
            </w:tabs>
          </w:pPr>
          <w:r>
            <w:fldChar w:fldCharType="begin"/>
          </w:r>
          <w:r>
            <w:instrText xml:space="preserve"> HYPERLINK \l _Toc734341972_WPSOffice_Level2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842812cd-dae5-47f8-86d3-d8eb84020d59}"/>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十一、政府性基金预算财政拨款收入支出决算表</w:t>
              </w:r>
            </w:sdtContent>
          </w:sdt>
          <w:r>
            <w:tab/>
          </w:r>
          <w:bookmarkStart w:id="44" w:name="_Toc734341972_WPSOffice_Level2Page"/>
          <w:r>
            <w:t>34</w:t>
          </w:r>
          <w:bookmarkEnd w:id="44"/>
          <w:r>
            <w:fldChar w:fldCharType="end"/>
          </w:r>
        </w:p>
        <w:p>
          <w:pPr>
            <w:pStyle w:val="39"/>
            <w:tabs>
              <w:tab w:val="right" w:leader="dot" w:pos="8306"/>
            </w:tabs>
          </w:pPr>
          <w:r>
            <w:fldChar w:fldCharType="begin"/>
          </w:r>
          <w:r>
            <w:instrText xml:space="preserve"> HYPERLINK \l _Toc522691705_WPSOffice_Level2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910be5a5-5b07-43a4-b08e-8e7febb663e0}"/>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十二、政府性基金预算财政拨款“三公”经费支出决算表（此表无数据）</w:t>
              </w:r>
            </w:sdtContent>
          </w:sdt>
          <w:r>
            <w:tab/>
          </w:r>
          <w:bookmarkStart w:id="45" w:name="_Toc522691705_WPSOffice_Level2Page"/>
          <w:r>
            <w:t>34</w:t>
          </w:r>
          <w:bookmarkEnd w:id="45"/>
          <w:r>
            <w:fldChar w:fldCharType="end"/>
          </w:r>
        </w:p>
        <w:p>
          <w:pPr>
            <w:pStyle w:val="39"/>
            <w:tabs>
              <w:tab w:val="right" w:leader="dot" w:pos="8306"/>
            </w:tabs>
          </w:pPr>
          <w:r>
            <w:fldChar w:fldCharType="begin"/>
          </w:r>
          <w:r>
            <w:instrText xml:space="preserve"> HYPERLINK \l _Toc1070095746_WPSOffice_Level2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76d659b5-0928-41db-bbc7-b57a7b9d67fa}"/>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十三、国有资本经营预算财政拨款收入支出决算表（此表无数据）</w:t>
              </w:r>
            </w:sdtContent>
          </w:sdt>
          <w:r>
            <w:tab/>
          </w:r>
          <w:bookmarkStart w:id="46" w:name="_Toc1070095746_WPSOffice_Level2Page"/>
          <w:r>
            <w:t>34</w:t>
          </w:r>
          <w:bookmarkEnd w:id="46"/>
          <w:r>
            <w:fldChar w:fldCharType="end"/>
          </w:r>
        </w:p>
        <w:p>
          <w:pPr>
            <w:pStyle w:val="39"/>
            <w:tabs>
              <w:tab w:val="right" w:leader="dot" w:pos="8306"/>
            </w:tabs>
          </w:pPr>
          <w:r>
            <w:fldChar w:fldCharType="begin"/>
          </w:r>
          <w:r>
            <w:instrText xml:space="preserve"> HYPERLINK \l _Toc2141288392_WPSOffice_Level2 </w:instrText>
          </w:r>
          <w:r>
            <w:fldChar w:fldCharType="separate"/>
          </w:r>
          <w:sdt>
            <w:sdtPr>
              <w:rPr>
                <w:rFonts w:asciiTheme="majorHAnsi" w:hAnsiTheme="majorHAnsi" w:eastAsiaTheme="majorEastAsia" w:cstheme="majorBidi"/>
                <w:b/>
                <w:bCs/>
                <w:color w:val="2E75B5" w:themeColor="accent1" w:themeShade="BF"/>
                <w:kern w:val="0"/>
                <w:sz w:val="28"/>
                <w:szCs w:val="28"/>
                <w:lang w:val="en-US" w:eastAsia="zh-CN" w:bidi="ar-SA"/>
              </w:rPr>
              <w:id w:val="240662958"/>
              <w:placeholder>
                <w:docPart w:val="{00821191-0197-4f6c-9f03-c9abb058e262}"/>
              </w:placeholder>
            </w:sdtPr>
            <w:sdtEndPr>
              <w:rPr>
                <w:rFonts w:asciiTheme="majorHAnsi" w:hAnsiTheme="majorHAnsi" w:eastAsiaTheme="majorEastAsia" w:cstheme="majorBidi"/>
                <w:b/>
                <w:bCs/>
                <w:color w:val="2E75B5" w:themeColor="accent1" w:themeShade="BF"/>
                <w:kern w:val="0"/>
                <w:sz w:val="28"/>
                <w:szCs w:val="28"/>
                <w:lang w:val="en-US" w:eastAsia="zh-CN" w:bidi="ar-SA"/>
              </w:rPr>
            </w:sdtEndPr>
            <w:sdtContent>
              <w:r>
                <w:rPr>
                  <w:rFonts w:hint="eastAsia" w:ascii="仿宋" w:hAnsi="仿宋" w:eastAsia="仿宋" w:cs="Times New Roman"/>
                </w:rPr>
                <w:t>十四、国有资本经营预算财政拨款支出决算表（此表无数据）</w:t>
              </w:r>
            </w:sdtContent>
          </w:sdt>
          <w:r>
            <w:tab/>
          </w:r>
          <w:bookmarkStart w:id="47" w:name="_Toc2141288392_WPSOffice_Level2Page"/>
          <w:r>
            <w:t>34</w:t>
          </w:r>
          <w:bookmarkEnd w:id="47"/>
          <w:r>
            <w:fldChar w:fldCharType="end"/>
          </w:r>
          <w:bookmarkEnd w:id="14"/>
        </w:p>
      </w:sdtContent>
    </w:sdt>
    <w:p>
      <w:pPr>
        <w:pStyle w:val="37"/>
        <w:spacing w:line="440" w:lineRule="exact"/>
        <w:rPr>
          <w:rFonts w:ascii="宋体" w:hAnsi="宋体" w:eastAsia="宋体"/>
          <w:sz w:val="21"/>
        </w:rPr>
      </w:pPr>
    </w:p>
    <w:p>
      <w:pPr>
        <w:widowControl/>
        <w:spacing w:line="440" w:lineRule="exact"/>
        <w:jc w:val="left"/>
        <w:rPr>
          <w:rFonts w:ascii="仿宋" w:hAnsi="仿宋" w:eastAsia="仿宋"/>
          <w:bCs/>
          <w:kern w:val="44"/>
          <w:sz w:val="24"/>
        </w:rPr>
      </w:pPr>
      <w:bookmarkStart w:id="48" w:name="_Toc15396599"/>
      <w:bookmarkStart w:id="49" w:name="_Toc15377196"/>
      <w:r>
        <w:rPr>
          <w:rFonts w:ascii="仿宋" w:hAnsi="仿宋" w:eastAsia="仿宋"/>
          <w:b/>
          <w:sz w:val="24"/>
        </w:rPr>
        <w:br w:type="page"/>
      </w:r>
    </w:p>
    <w:p>
      <w:pPr>
        <w:pStyle w:val="2"/>
        <w:jc w:val="center"/>
        <w:rPr>
          <w:rStyle w:val="19"/>
          <w:rFonts w:ascii="黑体" w:hAnsi="黑体" w:eastAsia="黑体"/>
          <w:b w:val="0"/>
          <w:bCs w:val="0"/>
        </w:rPr>
      </w:pPr>
      <w:bookmarkStart w:id="50" w:name="_Toc2044480845_WPSOffice_Level1"/>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单位概况</w:t>
      </w:r>
      <w:bookmarkEnd w:id="48"/>
      <w:bookmarkEnd w:id="49"/>
      <w:bookmarkEnd w:id="50"/>
    </w:p>
    <w:p/>
    <w:p>
      <w:pPr>
        <w:pStyle w:val="3"/>
        <w:ind w:firstLine="640" w:firstLineChars="200"/>
        <w:rPr>
          <w:rFonts w:ascii="仿宋" w:hAnsi="仿宋" w:eastAsia="仿宋"/>
          <w:b w:val="0"/>
          <w:bCs w:val="0"/>
        </w:rPr>
      </w:pPr>
      <w:bookmarkStart w:id="51" w:name="_Toc15396600"/>
      <w:bookmarkStart w:id="52" w:name="_Toc15377197"/>
      <w:bookmarkStart w:id="53" w:name="_Toc1949438475_WPSOffice_Level2"/>
      <w:r>
        <w:rPr>
          <w:rFonts w:hint="eastAsia" w:ascii="黑体" w:hAnsi="黑体" w:eastAsia="黑体"/>
          <w:b w:val="0"/>
          <w:color w:val="000000"/>
        </w:rPr>
        <w:t>一、</w:t>
      </w:r>
      <w:bookmarkEnd w:id="51"/>
      <w:bookmarkEnd w:id="52"/>
      <w:r>
        <w:rPr>
          <w:rFonts w:hint="eastAsia" w:ascii="黑体" w:hAnsi="黑体" w:eastAsia="黑体"/>
          <w:b w:val="0"/>
          <w:color w:val="000000"/>
        </w:rPr>
        <w:t>职能简介</w:t>
      </w:r>
      <w:bookmarkEnd w:id="53"/>
      <w:bookmarkStart w:id="54" w:name="_Toc15378446"/>
      <w:bookmarkStart w:id="55" w:name="_Toc15377199"/>
    </w:p>
    <w:p>
      <w:pPr>
        <w:pStyle w:val="6"/>
        <w:spacing w:after="0" w:line="600" w:lineRule="exact"/>
        <w:ind w:left="0" w:leftChars="0" w:firstLine="640" w:firstLineChars="200"/>
        <w:rPr>
          <w:rFonts w:ascii="仿宋" w:hAnsi="仿宋" w:eastAsia="仿宋"/>
          <w:bCs/>
          <w:color w:val="000000"/>
          <w:sz w:val="32"/>
          <w:szCs w:val="32"/>
        </w:rPr>
      </w:pPr>
      <w:r>
        <w:rPr>
          <w:rFonts w:hint="eastAsia" w:ascii="仿宋" w:hAnsi="仿宋" w:eastAsia="仿宋"/>
          <w:bCs/>
          <w:color w:val="000000"/>
          <w:sz w:val="32"/>
          <w:szCs w:val="32"/>
        </w:rPr>
        <w:t>我院作为攀枝花市的唯一市级保健机构，肩负的主要职能：</w:t>
      </w:r>
    </w:p>
    <w:p>
      <w:pPr>
        <w:pStyle w:val="6"/>
        <w:spacing w:after="0" w:line="600" w:lineRule="exact"/>
        <w:ind w:left="0" w:leftChars="0" w:firstLine="640" w:firstLineChars="200"/>
        <w:rPr>
          <w:rFonts w:ascii="仿宋" w:hAnsi="仿宋" w:eastAsia="仿宋"/>
          <w:bCs/>
          <w:color w:val="000000"/>
          <w:sz w:val="32"/>
          <w:szCs w:val="32"/>
        </w:rPr>
      </w:pP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切实履行公共卫生职责，开展与妇女儿童健康密切相关的基本医疗服务。</w:t>
      </w:r>
    </w:p>
    <w:p>
      <w:pPr>
        <w:pStyle w:val="6"/>
        <w:spacing w:after="0" w:line="600" w:lineRule="exact"/>
        <w:ind w:left="0" w:leftChars="0" w:firstLine="640" w:firstLineChars="200"/>
        <w:rPr>
          <w:rFonts w:ascii="仿宋" w:hAnsi="仿宋" w:eastAsia="仿宋"/>
          <w:bCs/>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完成各级政府和卫生行政部门下达的指令性任务。</w:t>
      </w:r>
    </w:p>
    <w:p>
      <w:pPr>
        <w:pStyle w:val="6"/>
        <w:spacing w:after="0" w:line="600" w:lineRule="exact"/>
        <w:ind w:left="0" w:leftChars="0" w:firstLine="640" w:firstLineChars="200"/>
        <w:rPr>
          <w:rFonts w:ascii="仿宋" w:hAnsi="仿宋" w:eastAsia="仿宋"/>
          <w:bCs/>
          <w:color w:val="000000"/>
          <w:sz w:val="32"/>
          <w:szCs w:val="32"/>
        </w:rPr>
      </w:pP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rPr>
        <w:t>负责指导和开展本辖区的妇幼保健健康教育与健康促进工作；组织实施本辖区母婴保健技术培训，对基层妇幼保健机构开展业务指导，并提供技术支持。</w:t>
      </w:r>
    </w:p>
    <w:p>
      <w:pPr>
        <w:pStyle w:val="6"/>
        <w:spacing w:after="0" w:line="600" w:lineRule="exact"/>
        <w:ind w:left="0" w:leftChars="0" w:firstLine="640" w:firstLineChars="200"/>
        <w:rPr>
          <w:rFonts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负责本辖区孕产妇死亡、婴儿及5岁以下儿童的死亡、出生缺陷监测、妇幼卫生服务及技术管理等信息的收集、统计、分析、质量控制和汇总上报。</w:t>
      </w:r>
    </w:p>
    <w:p>
      <w:pPr>
        <w:pStyle w:val="6"/>
        <w:spacing w:after="0" w:line="600" w:lineRule="exact"/>
        <w:ind w:left="0" w:leftChars="0" w:firstLine="640" w:firstLineChars="200"/>
        <w:rPr>
          <w:rFonts w:ascii="仿宋" w:hAnsi="仿宋" w:eastAsia="仿宋"/>
          <w:bCs/>
          <w:color w:val="000000"/>
          <w:sz w:val="32"/>
          <w:szCs w:val="32"/>
        </w:rPr>
      </w:pP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rPr>
        <w:t>开展妇女儿童保健服务项目，并开展对妇幼卫生、生殖健康的应用性科学研究，组织推广适宜技术。</w:t>
      </w:r>
    </w:p>
    <w:p>
      <w:pPr>
        <w:pStyle w:val="6"/>
        <w:spacing w:after="0" w:line="600" w:lineRule="exact"/>
        <w:ind w:left="0" w:leftChars="0" w:firstLine="640" w:firstLineChars="200"/>
        <w:rPr>
          <w:rFonts w:ascii="仿宋" w:hAnsi="仿宋" w:eastAsia="仿宋"/>
          <w:bCs/>
          <w:color w:val="000000"/>
          <w:sz w:val="32"/>
          <w:szCs w:val="32"/>
        </w:rPr>
      </w:pPr>
      <w:r>
        <w:rPr>
          <w:rFonts w:hint="eastAsia" w:ascii="仿宋" w:hAnsi="仿宋" w:eastAsia="仿宋"/>
          <w:bCs/>
          <w:color w:val="000000"/>
          <w:sz w:val="32"/>
          <w:szCs w:val="32"/>
          <w:lang w:val="en-US" w:eastAsia="zh-CN"/>
        </w:rPr>
        <w:t>6.</w:t>
      </w:r>
      <w:r>
        <w:rPr>
          <w:rFonts w:hint="eastAsia" w:ascii="仿宋" w:hAnsi="仿宋" w:eastAsia="仿宋"/>
          <w:bCs/>
          <w:color w:val="000000"/>
          <w:sz w:val="32"/>
          <w:szCs w:val="32"/>
        </w:rPr>
        <w:t>提供以下基本医疗服务，包括妇女儿童常见疾病诊治、计划生育技术服务、产前筛查、新生儿疾病筛查、助产技术服务、产前诊断、产科并发症处理、新生儿危重症抢救和治疗等。</w:t>
      </w:r>
    </w:p>
    <w:p>
      <w:pPr>
        <w:snapToGrid w:val="0"/>
        <w:spacing w:line="520" w:lineRule="exact"/>
        <w:ind w:firstLine="640" w:firstLineChars="200"/>
        <w:rPr>
          <w:rFonts w:ascii="仿宋" w:hAnsi="仿宋" w:eastAsia="仿宋"/>
          <w:bCs/>
          <w:color w:val="000000"/>
          <w:sz w:val="32"/>
          <w:szCs w:val="32"/>
        </w:rPr>
      </w:pPr>
    </w:p>
    <w:p>
      <w:pPr>
        <w:pStyle w:val="6"/>
        <w:spacing w:line="600" w:lineRule="exact"/>
        <w:ind w:left="0" w:leftChars="0" w:firstLine="0" w:firstLineChars="0"/>
        <w:rPr>
          <w:rFonts w:ascii="仿宋" w:hAnsi="仿宋" w:eastAsia="仿宋"/>
          <w:bCs/>
          <w:color w:val="000000"/>
          <w:sz w:val="32"/>
          <w:szCs w:val="32"/>
        </w:rPr>
      </w:pPr>
      <w:r>
        <w:rPr>
          <w:rFonts w:hint="eastAsia" w:ascii="仿宋" w:hAnsi="仿宋" w:eastAsia="仿宋"/>
          <w:bCs/>
          <w:color w:val="000000"/>
          <w:sz w:val="32"/>
          <w:szCs w:val="32"/>
        </w:rPr>
        <w:t xml:space="preserve"> </w:t>
      </w:r>
    </w:p>
    <w:bookmarkEnd w:id="54"/>
    <w:bookmarkEnd w:id="55"/>
    <w:p>
      <w:pPr>
        <w:pStyle w:val="3"/>
        <w:ind w:firstLine="640" w:firstLineChars="200"/>
        <w:rPr>
          <w:rStyle w:val="20"/>
          <w:b w:val="0"/>
          <w:bCs w:val="0"/>
        </w:rPr>
      </w:pPr>
      <w:bookmarkStart w:id="56" w:name="_Toc15396601"/>
      <w:bookmarkStart w:id="57" w:name="_Toc15377200"/>
      <w:bookmarkStart w:id="58" w:name="_Toc1647466676_WPSOffice_Level2"/>
      <w:r>
        <w:rPr>
          <w:rFonts w:hint="eastAsia" w:ascii="黑体" w:eastAsia="黑体"/>
          <w:b w:val="0"/>
          <w:color w:val="000000"/>
        </w:rPr>
        <w:t>二、</w:t>
      </w:r>
      <w:bookmarkEnd w:id="56"/>
      <w:bookmarkEnd w:id="57"/>
      <w:r>
        <w:rPr>
          <w:rFonts w:hint="eastAsia" w:ascii="黑体" w:hAnsi="黑体" w:eastAsia="黑体"/>
          <w:b w:val="0"/>
          <w:color w:val="000000"/>
        </w:rPr>
        <w:t>2021年重点工作完成情况</w:t>
      </w:r>
      <w:bookmarkEnd w:id="58"/>
    </w:p>
    <w:p>
      <w:pPr>
        <w:numPr>
          <w:ilvl w:val="-1"/>
          <w:numId w:val="0"/>
        </w:numPr>
        <w:spacing w:line="360" w:lineRule="auto"/>
        <w:ind w:firstLine="640" w:firstLineChars="200"/>
        <w:rPr>
          <w:rFonts w:ascii="仿宋" w:hAnsi="仿宋" w:eastAsia="仿宋"/>
          <w:bCs/>
          <w:color w:val="000000"/>
          <w:sz w:val="32"/>
          <w:szCs w:val="32"/>
        </w:rPr>
      </w:pPr>
      <w:bookmarkStart w:id="59" w:name="_Toc15377204"/>
      <w:bookmarkStart w:id="60" w:name="_Toc15396602"/>
      <w:r>
        <w:rPr>
          <w:rFonts w:hint="eastAsia" w:ascii="仿宋" w:hAnsi="仿宋" w:eastAsia="仿宋"/>
          <w:bCs/>
          <w:color w:val="000000"/>
          <w:sz w:val="32"/>
          <w:szCs w:val="32"/>
          <w:lang w:eastAsia="zh-CN"/>
        </w:rPr>
        <w:t>（一）</w:t>
      </w:r>
      <w:r>
        <w:rPr>
          <w:rFonts w:hint="eastAsia" w:ascii="仿宋" w:hAnsi="仿宋" w:eastAsia="仿宋"/>
          <w:bCs/>
          <w:color w:val="000000"/>
          <w:sz w:val="32"/>
          <w:szCs w:val="32"/>
        </w:rPr>
        <w:t>落实防控措施，有效开展新冠疫情防控。</w:t>
      </w: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科学完善防控流程，加强预检分诊和通道管理，开展院感、防控指南专项培训和演练，按计划推进新院发热门诊建设，确保打赢疫情防控阻击战。</w:t>
      </w:r>
    </w:p>
    <w:p>
      <w:pPr>
        <w:numPr>
          <w:ilvl w:val="-1"/>
          <w:numId w:val="0"/>
        </w:num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lang w:eastAsia="zh-CN"/>
        </w:rPr>
        <w:t>（二）</w:t>
      </w:r>
      <w:r>
        <w:rPr>
          <w:rFonts w:hint="eastAsia" w:ascii="仿宋" w:hAnsi="仿宋" w:eastAsia="仿宋"/>
          <w:bCs/>
          <w:color w:val="000000"/>
          <w:sz w:val="32"/>
          <w:szCs w:val="32"/>
        </w:rPr>
        <w:t>实施项目带动工程，发挥基础设施支撑作用。</w:t>
      </w:r>
    </w:p>
    <w:p>
      <w:pPr>
        <w:spacing w:line="353"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 xml:space="preserve"> 按期完成市妇幼保健院异地新建项目一期建设，加快辅助生殖中心纳入一期建设工作，全力保证</w:t>
      </w:r>
      <w:r>
        <w:rPr>
          <w:rFonts w:ascii="仿宋" w:hAnsi="仿宋" w:eastAsia="仿宋"/>
          <w:bCs/>
          <w:color w:val="000000"/>
          <w:sz w:val="32"/>
          <w:szCs w:val="32"/>
        </w:rPr>
        <w:t>2021</w:t>
      </w:r>
      <w:r>
        <w:rPr>
          <w:rFonts w:hint="eastAsia" w:ascii="仿宋" w:hAnsi="仿宋" w:eastAsia="仿宋"/>
          <w:bCs/>
          <w:color w:val="000000"/>
          <w:sz w:val="32"/>
          <w:szCs w:val="32"/>
        </w:rPr>
        <w:t>年底完成整体搬迁，同时开展二期“综合服务保障楼”项目的前期工作，力争尽早开工建设，满足妇女儿童门诊、住院、保健的服务需求，更好地为临床提供服务保障。</w:t>
      </w:r>
    </w:p>
    <w:p>
      <w:pPr>
        <w:numPr>
          <w:ilvl w:val="-1"/>
          <w:numId w:val="0"/>
        </w:num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lang w:eastAsia="zh-CN"/>
        </w:rPr>
        <w:t>（三）</w:t>
      </w:r>
      <w:r>
        <w:rPr>
          <w:rFonts w:hint="eastAsia" w:ascii="仿宋" w:hAnsi="仿宋" w:eastAsia="仿宋"/>
          <w:bCs/>
          <w:color w:val="000000"/>
          <w:sz w:val="32"/>
          <w:szCs w:val="32"/>
        </w:rPr>
        <w:t>突出保健特色，筑牢妇幼三级网络。</w:t>
      </w: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 xml:space="preserve">进一步加强爱婴医院动态管理，持续营造关爱母婴健康社会氛围，加强孕期保健服务质控，针对存在的问题和薄弱环节提出意见和整改要求。举办“母乳喂养知识与技能培训班”，为提高我市各助产机构母乳喂养知识与技能，进一步促进我市各助产机构爱婴医院建设，全面落实母乳喂养各项措施奠定了坚实的基础；我院积极推进预防艾滋病母婴传播防治工作：作为全市预防艾滋病母婴传播管理中心，开展艾滋病防治“三线”联合调研工作，进一步促进了我市艾滋病防治工作稳妥有序的开展，确保年底顺利完成各项工作核心指标。多次召开预防艾滋病母婴传播工作会及管理培训会；组织全市产儿科专家和卫生监督执法人员开展孕产妇死亡评审、危重症孕产妇评审、新生儿死亡评审；召开产儿科急救演练，加强临床医护人员的心肺复苏理论及操作培训，总结抢救成功经验，分析存在问题，规范全市危重孕产妇分级诊疗，并按照预警分诊要求做好高危管理，有效降低孕产妇、儿童死亡率。 </w:t>
      </w:r>
    </w:p>
    <w:p>
      <w:pPr>
        <w:numPr>
          <w:ilvl w:val="-1"/>
          <w:numId w:val="0"/>
        </w:num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lang w:eastAsia="zh-CN"/>
        </w:rPr>
        <w:t>（四）</w:t>
      </w:r>
      <w:r>
        <w:rPr>
          <w:rFonts w:hint="eastAsia" w:ascii="仿宋" w:hAnsi="仿宋" w:eastAsia="仿宋"/>
          <w:bCs/>
          <w:color w:val="000000"/>
          <w:sz w:val="32"/>
          <w:szCs w:val="32"/>
        </w:rPr>
        <w:t>加强医疗管理，做好科研和重点专科建设。</w:t>
      </w: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 xml:space="preserve"> 我院成功举办了科研培训讲座、省级继教项目《高危孕产妇高质量管理及降低出生缺陷培训班》、《乳腺癌早诊断培训班》、《胎盘植入性疾病新指南解读及诊疗培训班》；加强了科教工作管理和教学检查，进一步提高了教学管理水平，改善了工作质量。</w:t>
      </w:r>
    </w:p>
    <w:p>
      <w:pPr>
        <w:numPr>
          <w:ilvl w:val="-1"/>
          <w:numId w:val="0"/>
        </w:num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lang w:eastAsia="zh-CN"/>
        </w:rPr>
        <w:t>（五）</w:t>
      </w:r>
      <w:r>
        <w:rPr>
          <w:rFonts w:hint="eastAsia" w:ascii="仿宋" w:hAnsi="仿宋" w:eastAsia="仿宋"/>
          <w:bCs/>
          <w:color w:val="000000"/>
          <w:sz w:val="32"/>
          <w:szCs w:val="32"/>
        </w:rPr>
        <w:t>重视人才，夯实我院持续发展根基</w:t>
      </w: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2021年新增研项目5项，我院主研省级科研项目2项，联合科研项目2项，市级科研项目1项，截止2021年底，我院在研科研项目共十项。承办省级继续医学教育项目2项，主办3项。市级继续医学教育项目8项。组织申报省级继续医学教育3项，国家级继续医学教育2项，获批国家级继续教育培训2项。成立了攀枝花市妇幼保健院生殖医学研究科技工作创新中心。加强了对全院医务人员的继续教育学分进行监管，督促进行继教学习，本年度我院继续教育学分的达标率为99%。</w:t>
      </w: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2021年共接受大理大学医学专业实习生33名。接受基层医疗机构进修生18名，短期业务学习32名，每月定期组织6-8次院级教学培训讲座，实习生、进修生全部参加。</w:t>
      </w: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lang w:eastAsia="zh-CN"/>
        </w:rPr>
        <w:t>（六）</w:t>
      </w:r>
      <w:r>
        <w:rPr>
          <w:rFonts w:hint="eastAsia" w:ascii="仿宋" w:hAnsi="仿宋" w:eastAsia="仿宋"/>
          <w:bCs/>
          <w:color w:val="000000"/>
          <w:sz w:val="32"/>
          <w:szCs w:val="32"/>
        </w:rPr>
        <w:t>提升区域妇幼保健中心影响力。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完善新闻宣传机制，构建医院宣传平台，加强宣传队伍建设，加强舆论管控，充分利用各种资源，宣传医院改革发展、业务工作、先进典型等，着力塑造医院良好形象。</w:t>
      </w:r>
    </w:p>
    <w:p>
      <w:pPr>
        <w:keepNext w:val="0"/>
        <w:keepLines w:val="0"/>
        <w:pageBreakBefore w:val="0"/>
        <w:widowControl w:val="0"/>
        <w:numPr>
          <w:ilvl w:val="0"/>
          <w:numId w:val="0"/>
        </w:numPr>
        <w:kinsoku/>
        <w:wordWrap/>
        <w:overflowPunct/>
        <w:topLinePunct w:val="0"/>
        <w:autoSpaceDE/>
        <w:autoSpaceDN/>
        <w:bidi w:val="0"/>
        <w:adjustRightInd/>
        <w:snapToGrid/>
        <w:spacing w:before="260" w:after="260" w:line="416" w:lineRule="auto"/>
        <w:ind w:firstLine="640" w:firstLineChars="200"/>
        <w:textAlignment w:val="auto"/>
        <w:outlineLvl w:val="1"/>
        <w:rPr>
          <w:rFonts w:hint="eastAsia" w:ascii="黑体" w:hAnsi="黑体" w:eastAsia="黑体" w:cs="黑体"/>
          <w:color w:val="auto"/>
          <w:sz w:val="32"/>
          <w:szCs w:val="32"/>
          <w:lang w:val="en-US" w:eastAsia="zh-CN"/>
        </w:rPr>
      </w:pPr>
      <w:bookmarkStart w:id="61" w:name="_Toc480479196_WPSOffice_Level2"/>
      <w:r>
        <w:rPr>
          <w:rFonts w:hint="eastAsia" w:ascii="黑体" w:hAnsi="黑体" w:eastAsia="黑体" w:cs="黑体"/>
          <w:color w:val="auto"/>
          <w:kern w:val="2"/>
          <w:sz w:val="32"/>
          <w:szCs w:val="32"/>
          <w:lang w:val="en-US" w:eastAsia="zh-CN" w:bidi="ar-SA"/>
        </w:rPr>
        <w:t>三、</w:t>
      </w:r>
      <w:r>
        <w:rPr>
          <w:rFonts w:hint="eastAsia" w:ascii="黑体" w:hAnsi="黑体" w:eastAsia="黑体" w:cs="黑体"/>
          <w:color w:val="auto"/>
          <w:sz w:val="32"/>
          <w:szCs w:val="32"/>
          <w:lang w:val="en-US" w:eastAsia="zh-CN"/>
        </w:rPr>
        <w:t>机构设置情况</w:t>
      </w:r>
      <w:bookmarkEnd w:id="6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bCs/>
          <w:color w:val="000000"/>
          <w:sz w:val="32"/>
          <w:szCs w:val="32"/>
          <w:lang w:val="en-US" w:eastAsia="zh-CN"/>
        </w:rPr>
      </w:pPr>
      <w:r>
        <w:rPr>
          <w:rFonts w:hint="eastAsia" w:ascii="仿宋" w:hAnsi="仿宋" w:eastAsia="仿宋" w:cs="Times New Roman"/>
          <w:bCs/>
          <w:color w:val="000000"/>
          <w:sz w:val="32"/>
          <w:szCs w:val="32"/>
        </w:rPr>
        <w:t>攀枝花市</w:t>
      </w:r>
      <w:r>
        <w:rPr>
          <w:rFonts w:hint="eastAsia" w:ascii="仿宋" w:hAnsi="仿宋" w:eastAsia="仿宋" w:cs="Times New Roman"/>
          <w:bCs/>
          <w:color w:val="000000"/>
          <w:sz w:val="32"/>
          <w:szCs w:val="32"/>
          <w:lang w:eastAsia="zh-CN"/>
        </w:rPr>
        <w:t>妇幼保健院</w:t>
      </w:r>
      <w:r>
        <w:rPr>
          <w:rFonts w:hint="eastAsia" w:ascii="仿宋" w:hAnsi="仿宋" w:eastAsia="仿宋" w:cs="Times New Roman"/>
          <w:bCs/>
          <w:color w:val="000000"/>
          <w:sz w:val="32"/>
          <w:szCs w:val="32"/>
          <w:lang w:val="en-US" w:eastAsia="zh-CN"/>
        </w:rPr>
        <w:t>属于攀枝花市卫生健康委员会部门下属的二级预算单位，下设独立编制机构0个，其中行政机构0个，参照公务员法管理的事业机构0个，其他事业机构0个。</w:t>
      </w:r>
    </w:p>
    <w:p>
      <w:pPr>
        <w:spacing w:line="360" w:lineRule="auto"/>
        <w:ind w:firstLine="640" w:firstLineChars="200"/>
        <w:rPr>
          <w:rFonts w:hint="eastAsia" w:ascii="仿宋" w:hAnsi="仿宋" w:eastAsia="仿宋" w:cs="Times New Roman"/>
          <w:bCs/>
          <w:color w:val="000000"/>
          <w:sz w:val="32"/>
          <w:szCs w:val="32"/>
        </w:rPr>
      </w:pPr>
      <w:r>
        <w:rPr>
          <w:rFonts w:hint="eastAsia" w:ascii="仿宋" w:hAnsi="仿宋" w:eastAsia="仿宋" w:cs="Times New Roman"/>
          <w:bCs/>
          <w:color w:val="000000"/>
          <w:sz w:val="32"/>
          <w:szCs w:val="32"/>
          <w:lang w:val="en-US" w:eastAsia="zh-CN"/>
        </w:rPr>
        <w:t>无纳入2021年度单位决算编制范围的独立编制机构。</w:t>
      </w: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pStyle w:val="2"/>
        <w:ind w:right="440"/>
        <w:jc w:val="right"/>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rPr>
          <w:rFonts w:hint="eastAsia" w:ascii="黑体" w:hAnsi="黑体" w:eastAsia="黑体"/>
          <w:b w:val="0"/>
          <w:color w:val="000000"/>
        </w:rPr>
      </w:pPr>
    </w:p>
    <w:p>
      <w:pPr>
        <w:pStyle w:val="2"/>
        <w:ind w:right="440"/>
        <w:jc w:val="right"/>
        <w:rPr>
          <w:rStyle w:val="19"/>
          <w:rFonts w:ascii="黑体" w:hAnsi="黑体" w:eastAsia="黑体"/>
          <w:b w:val="0"/>
          <w:bCs w:val="0"/>
        </w:rPr>
      </w:pPr>
      <w:bookmarkStart w:id="62" w:name="_Toc1949438475_WPSOffice_Level1"/>
      <w:r>
        <w:rPr>
          <w:rFonts w:hint="eastAsia" w:ascii="黑体" w:hAnsi="黑体" w:eastAsia="黑体"/>
          <w:b w:val="0"/>
          <w:color w:val="000000"/>
        </w:rPr>
        <w:t>第二部分</w:t>
      </w:r>
      <w:r>
        <w:rPr>
          <w:rFonts w:ascii="黑体" w:hAnsi="黑体" w:eastAsia="黑体"/>
          <w:color w:val="000000"/>
        </w:rPr>
        <w:t xml:space="preserve"> </w:t>
      </w:r>
      <w:r>
        <w:rPr>
          <w:rStyle w:val="19"/>
          <w:rFonts w:ascii="黑体" w:hAnsi="黑体" w:eastAsia="黑体"/>
          <w:b w:val="0"/>
          <w:bCs w:val="0"/>
        </w:rPr>
        <w:t>202</w:t>
      </w:r>
      <w:r>
        <w:rPr>
          <w:rStyle w:val="19"/>
          <w:rFonts w:hint="eastAsia" w:ascii="黑体" w:hAnsi="黑体" w:eastAsia="黑体"/>
          <w:b w:val="0"/>
          <w:bCs w:val="0"/>
        </w:rPr>
        <w:t>1年度单位决算情况说明</w:t>
      </w:r>
      <w:bookmarkEnd w:id="59"/>
      <w:bookmarkEnd w:id="60"/>
      <w:bookmarkEnd w:id="62"/>
    </w:p>
    <w:p/>
    <w:p>
      <w:pPr>
        <w:pStyle w:val="30"/>
        <w:numPr>
          <w:ilvl w:val="0"/>
          <w:numId w:val="1"/>
        </w:numPr>
        <w:spacing w:line="600" w:lineRule="exact"/>
        <w:ind w:firstLineChars="0"/>
        <w:outlineLvl w:val="1"/>
        <w:rPr>
          <w:rStyle w:val="20"/>
          <w:rFonts w:ascii="黑体" w:hAnsi="黑体" w:eastAsia="黑体"/>
          <w:b w:val="0"/>
        </w:rPr>
      </w:pPr>
      <w:bookmarkStart w:id="63" w:name="_Toc1238062989_WPSOffice_Level2"/>
      <w:bookmarkStart w:id="64" w:name="_Toc15377205"/>
      <w:bookmarkStart w:id="65" w:name="_Toc15396603"/>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63"/>
      <w:bookmarkEnd w:id="64"/>
      <w:bookmarkEnd w:id="65"/>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1年度收、支总计10989.83万元。与2020年相比，收、支总计各减少9937.32万元，下降47.49</w:t>
      </w:r>
      <w:r>
        <w:rPr>
          <w:rFonts w:ascii="仿宋" w:hAnsi="仿宋" w:eastAsia="仿宋"/>
          <w:sz w:val="32"/>
          <w:szCs w:val="32"/>
        </w:rPr>
        <w:t>%</w:t>
      </w:r>
      <w:r>
        <w:rPr>
          <w:rFonts w:hint="eastAsia" w:ascii="仿宋" w:hAnsi="仿宋" w:eastAsia="仿宋"/>
          <w:sz w:val="32"/>
          <w:szCs w:val="32"/>
        </w:rPr>
        <w:t>。主要变动原因是2020年收到财政专项资金基建款11004万元，用于妇女儿童医院建设项目，2021年无基建支出。</w:t>
      </w:r>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：收、支决算总计变动情况图）（柱状图）单位：万元</w:t>
      </w:r>
      <w:r>
        <w:rPr>
          <w:rFonts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669925</wp:posOffset>
            </wp:positionV>
            <wp:extent cx="5274310" cy="2495550"/>
            <wp:effectExtent l="19050" t="0" r="2159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30"/>
        <w:spacing w:line="600" w:lineRule="exact"/>
        <w:ind w:left="1360" w:firstLine="0" w:firstLineChars="0"/>
        <w:outlineLvl w:val="1"/>
        <w:rPr>
          <w:rFonts w:ascii="黑体" w:hAnsi="黑体" w:eastAsia="黑体"/>
          <w:bCs/>
          <w:sz w:val="32"/>
          <w:szCs w:val="32"/>
        </w:rPr>
      </w:pPr>
      <w:bookmarkStart w:id="66" w:name="_Toc15396604"/>
      <w:bookmarkStart w:id="67" w:name="_Toc15377206"/>
    </w:p>
    <w:p>
      <w:pPr>
        <w:pStyle w:val="30"/>
        <w:numPr>
          <w:ilvl w:val="0"/>
          <w:numId w:val="1"/>
        </w:numPr>
        <w:spacing w:line="600" w:lineRule="exact"/>
        <w:ind w:firstLineChars="0"/>
        <w:outlineLvl w:val="1"/>
        <w:rPr>
          <w:rStyle w:val="20"/>
          <w:rFonts w:ascii="黑体" w:hAnsi="黑体" w:eastAsia="黑体"/>
          <w:b w:val="0"/>
        </w:rPr>
      </w:pPr>
      <w:bookmarkStart w:id="68" w:name="_Toc1107595273_WPSOffice_Level2"/>
      <w:r>
        <w:rPr>
          <w:rFonts w:hint="eastAsia" w:ascii="黑体" w:hAnsi="黑体" w:eastAsia="黑体"/>
          <w:color w:val="000000"/>
          <w:sz w:val="32"/>
          <w:szCs w:val="32"/>
        </w:rPr>
        <w:t>收</w:t>
      </w:r>
      <w:r>
        <w:rPr>
          <w:rStyle w:val="20"/>
          <w:rFonts w:hint="eastAsia" w:ascii="黑体" w:hAnsi="黑体" w:eastAsia="黑体"/>
          <w:b w:val="0"/>
        </w:rPr>
        <w:t>入决算情况说明</w:t>
      </w:r>
      <w:bookmarkEnd w:id="66"/>
      <w:bookmarkEnd w:id="67"/>
      <w:bookmarkEnd w:id="68"/>
    </w:p>
    <w:p>
      <w:pPr>
        <w:spacing w:line="600" w:lineRule="exact"/>
        <w:ind w:firstLine="640" w:firstLineChars="200"/>
        <w:outlineLvl w:val="1"/>
        <w:rPr>
          <w:rFonts w:ascii="仿宋" w:hAnsi="仿宋" w:eastAsia="仿宋"/>
          <w:color w:val="000000"/>
          <w:sz w:val="32"/>
          <w:szCs w:val="32"/>
        </w:rPr>
      </w:pPr>
      <w:bookmarkStart w:id="69" w:name="_Toc85123946"/>
      <w:r>
        <w:rPr>
          <w:rFonts w:ascii="仿宋" w:hAnsi="仿宋" w:eastAsia="仿宋"/>
          <w:color w:val="000000"/>
          <w:sz w:val="32"/>
          <w:szCs w:val="32"/>
        </w:rPr>
        <w:t>202</w:t>
      </w:r>
      <w:r>
        <w:rPr>
          <w:rFonts w:hint="eastAsia" w:ascii="仿宋" w:hAnsi="仿宋" w:eastAsia="仿宋"/>
          <w:color w:val="000000"/>
          <w:sz w:val="32"/>
          <w:szCs w:val="32"/>
        </w:rPr>
        <w:t>1年本年收入合计10018.12万元，其中：一般公共预算财政拨款收入850.07万元，占8.49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；上级补助收入0元；事业收入8667.05万元，占86.51</w:t>
      </w:r>
      <w:r>
        <w:rPr>
          <w:rFonts w:ascii="仿宋" w:hAnsi="仿宋" w:eastAsia="仿宋"/>
          <w:color w:val="000000"/>
          <w:sz w:val="32"/>
          <w:szCs w:val="32"/>
        </w:rPr>
        <w:t>%</w:t>
      </w:r>
      <w:r>
        <w:rPr>
          <w:rFonts w:hint="eastAsia" w:ascii="仿宋" w:hAnsi="仿宋" w:eastAsia="仿宋"/>
          <w:color w:val="000000"/>
          <w:sz w:val="32"/>
          <w:szCs w:val="32"/>
        </w:rPr>
        <w:t>；经营收入0元；附属单位上缴收入0元；其他收入501万元，占5</w:t>
      </w:r>
      <w:r>
        <w:rPr>
          <w:rFonts w:ascii="仿宋" w:hAnsi="仿宋" w:eastAsia="仿宋"/>
          <w:color w:val="000000"/>
          <w:sz w:val="32"/>
          <w:szCs w:val="32"/>
        </w:rPr>
        <w:t>%</w:t>
      </w:r>
      <w:r>
        <w:rPr>
          <w:rFonts w:hint="eastAsia" w:ascii="仿宋" w:hAnsi="仿宋" w:eastAsia="仿宋"/>
          <w:color w:val="000000"/>
          <w:sz w:val="32"/>
          <w:szCs w:val="32"/>
        </w:rPr>
        <w:t>。</w:t>
      </w:r>
      <w:bookmarkEnd w:id="6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：收入决算结构图）（饼状图）单位：万元</w:t>
      </w:r>
      <w:r>
        <w:rPr>
          <w:rFonts w:ascii="仿宋_GB2312" w:eastAsia="仿宋_GB2312"/>
          <w:color w:val="FF0000"/>
          <w:sz w:val="32"/>
          <w:szCs w:val="32"/>
        </w:rPr>
        <w:drawing>
          <wp:anchor distT="0" distB="0" distL="114300" distR="114300" simplePos="0" relativeHeight="251660288" behindDoc="0" locked="0" layoutInCell="1" allowOverlap="1">
            <wp:simplePos x="0" y="0"/>
            <wp:positionH relativeFrom="column">
              <wp:posOffset>171450</wp:posOffset>
            </wp:positionH>
            <wp:positionV relativeFrom="paragraph">
              <wp:posOffset>647700</wp:posOffset>
            </wp:positionV>
            <wp:extent cx="5274310" cy="2895600"/>
            <wp:effectExtent l="19050" t="0" r="2159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30"/>
        <w:spacing w:line="600" w:lineRule="exact"/>
        <w:ind w:left="1360" w:firstLine="0" w:firstLineChars="0"/>
        <w:outlineLvl w:val="1"/>
        <w:rPr>
          <w:rFonts w:ascii="黑体" w:hAnsi="黑体" w:eastAsia="黑体"/>
          <w:bCs/>
          <w:sz w:val="32"/>
          <w:szCs w:val="32"/>
        </w:rPr>
      </w:pPr>
      <w:bookmarkStart w:id="70" w:name="_Toc15396605"/>
      <w:bookmarkStart w:id="71" w:name="_Toc15377207"/>
    </w:p>
    <w:p>
      <w:pPr>
        <w:pStyle w:val="30"/>
        <w:numPr>
          <w:ilvl w:val="0"/>
          <w:numId w:val="1"/>
        </w:numPr>
        <w:spacing w:line="600" w:lineRule="exact"/>
        <w:ind w:firstLineChars="0"/>
        <w:outlineLvl w:val="1"/>
        <w:rPr>
          <w:rStyle w:val="20"/>
          <w:rFonts w:ascii="黑体" w:hAnsi="黑体" w:eastAsia="黑体"/>
          <w:b w:val="0"/>
        </w:rPr>
      </w:pPr>
      <w:bookmarkStart w:id="72" w:name="_Toc54740993_WPSOffice_Level2"/>
      <w:r>
        <w:rPr>
          <w:rFonts w:hint="eastAsia" w:ascii="黑体" w:hAnsi="黑体" w:eastAsia="黑体"/>
          <w:color w:val="000000"/>
          <w:sz w:val="32"/>
          <w:szCs w:val="32"/>
        </w:rPr>
        <w:t>支</w:t>
      </w:r>
      <w:r>
        <w:rPr>
          <w:rStyle w:val="20"/>
          <w:rFonts w:hint="eastAsia" w:ascii="黑体" w:hAnsi="黑体" w:eastAsia="黑体"/>
          <w:b w:val="0"/>
        </w:rPr>
        <w:t>出决算情况说明</w:t>
      </w:r>
      <w:bookmarkEnd w:id="70"/>
      <w:bookmarkEnd w:id="71"/>
      <w:bookmarkEnd w:id="72"/>
    </w:p>
    <w:p>
      <w:pPr>
        <w:spacing w:line="600" w:lineRule="exact"/>
        <w:ind w:firstLine="640" w:firstLineChars="200"/>
        <w:outlineLvl w:val="1"/>
        <w:rPr>
          <w:rFonts w:ascii="仿宋" w:hAnsi="仿宋" w:eastAsia="仿宋"/>
          <w:color w:val="000000"/>
          <w:sz w:val="32"/>
          <w:szCs w:val="32"/>
          <w:shd w:val="pct10" w:color="auto" w:fill="FFFFFF"/>
        </w:rPr>
      </w:pPr>
      <w:bookmarkStart w:id="73" w:name="_Toc85123949"/>
      <w:r>
        <w:rPr>
          <w:rFonts w:ascii="仿宋" w:hAnsi="仿宋" w:eastAsia="仿宋"/>
          <w:color w:val="000000"/>
          <w:sz w:val="32"/>
          <w:szCs w:val="32"/>
        </w:rPr>
        <w:t>202</w:t>
      </w:r>
      <w:r>
        <w:rPr>
          <w:rFonts w:hint="eastAsia" w:ascii="仿宋" w:hAnsi="仿宋" w:eastAsia="仿宋"/>
          <w:color w:val="000000"/>
          <w:sz w:val="32"/>
          <w:szCs w:val="32"/>
        </w:rPr>
        <w:t>1年本年支出合计</w:t>
      </w:r>
      <w:r>
        <w:rPr>
          <w:rFonts w:hint="eastAsia" w:ascii="仿宋" w:hAnsi="仿宋" w:eastAsia="仿宋"/>
          <w:color w:val="000000"/>
          <w:sz w:val="32"/>
          <w:szCs w:val="32"/>
          <w:lang w:val="en-US" w:eastAsia="zh-CN"/>
        </w:rPr>
        <w:t>10989.83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10447.04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95</w:t>
      </w:r>
      <w:r>
        <w:rPr>
          <w:rFonts w:ascii="仿宋" w:hAnsi="仿宋" w:eastAsia="仿宋"/>
          <w:color w:val="000000"/>
          <w:sz w:val="32"/>
          <w:szCs w:val="32"/>
        </w:rPr>
        <w:t>%</w:t>
      </w:r>
      <w:r>
        <w:rPr>
          <w:rFonts w:hint="eastAsia" w:ascii="仿宋" w:hAnsi="仿宋" w:eastAsia="仿宋"/>
          <w:color w:val="000000"/>
          <w:sz w:val="32"/>
          <w:szCs w:val="32"/>
        </w:rPr>
        <w:t>；项目支出542.78万元，占</w:t>
      </w:r>
      <w:r>
        <w:rPr>
          <w:rFonts w:hint="eastAsia" w:ascii="仿宋" w:hAnsi="仿宋" w:eastAsia="仿宋"/>
          <w:color w:val="000000"/>
          <w:sz w:val="32"/>
          <w:szCs w:val="32"/>
          <w:lang w:val="en-US" w:eastAsia="zh-CN"/>
        </w:rPr>
        <w:t>5</w:t>
      </w:r>
      <w:r>
        <w:rPr>
          <w:rFonts w:ascii="仿宋" w:hAnsi="仿宋" w:eastAsia="仿宋"/>
          <w:color w:val="000000"/>
          <w:sz w:val="32"/>
          <w:szCs w:val="32"/>
        </w:rPr>
        <w:t>%</w:t>
      </w:r>
      <w:r>
        <w:rPr>
          <w:rFonts w:hint="eastAsia" w:ascii="仿宋" w:hAnsi="仿宋" w:eastAsia="仿宋"/>
          <w:color w:val="000000"/>
          <w:sz w:val="32"/>
          <w:szCs w:val="32"/>
        </w:rPr>
        <w:t>；上缴上级支出0元，占0</w:t>
      </w:r>
      <w:r>
        <w:rPr>
          <w:rFonts w:ascii="仿宋" w:hAnsi="仿宋" w:eastAsia="仿宋"/>
          <w:color w:val="000000"/>
          <w:sz w:val="32"/>
          <w:szCs w:val="32"/>
        </w:rPr>
        <w:t>%</w:t>
      </w:r>
      <w:r>
        <w:rPr>
          <w:rFonts w:hint="eastAsia" w:ascii="仿宋" w:hAnsi="仿宋" w:eastAsia="仿宋"/>
          <w:color w:val="000000"/>
          <w:sz w:val="32"/>
          <w:szCs w:val="32"/>
        </w:rPr>
        <w:t>；经营支出0元，占0</w:t>
      </w:r>
      <w:r>
        <w:rPr>
          <w:rFonts w:ascii="仿宋" w:hAnsi="仿宋" w:eastAsia="仿宋"/>
          <w:color w:val="000000"/>
          <w:sz w:val="32"/>
          <w:szCs w:val="32"/>
        </w:rPr>
        <w:t>%</w:t>
      </w:r>
      <w:r>
        <w:rPr>
          <w:rFonts w:hint="eastAsia" w:ascii="仿宋" w:hAnsi="仿宋" w:eastAsia="仿宋"/>
          <w:color w:val="000000"/>
          <w:sz w:val="32"/>
          <w:szCs w:val="32"/>
        </w:rPr>
        <w:t>；对附属单位补助支出0元，占0</w:t>
      </w:r>
      <w:r>
        <w:rPr>
          <w:rFonts w:ascii="仿宋" w:hAnsi="仿宋" w:eastAsia="仿宋"/>
          <w:color w:val="000000"/>
          <w:sz w:val="32"/>
          <w:szCs w:val="32"/>
        </w:rPr>
        <w:t>%</w:t>
      </w:r>
      <w:r>
        <w:rPr>
          <w:rFonts w:hint="eastAsia" w:ascii="仿宋" w:hAnsi="仿宋" w:eastAsia="仿宋"/>
          <w:color w:val="000000"/>
          <w:sz w:val="32"/>
          <w:szCs w:val="32"/>
        </w:rPr>
        <w:t>。</w:t>
      </w:r>
      <w:bookmarkEnd w:id="73"/>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：支出决算结构图）（饼状图）单位：万元</w:t>
      </w:r>
    </w:p>
    <w:p>
      <w:pPr>
        <w:spacing w:line="600" w:lineRule="exact"/>
        <w:rPr>
          <w:rFonts w:ascii="仿宋_GB2312" w:eastAsia="仿宋_GB2312"/>
          <w:color w:val="FF0000"/>
          <w:sz w:val="32"/>
          <w:szCs w:val="32"/>
        </w:rPr>
      </w:pPr>
      <w:r>
        <w:rPr>
          <w:rFonts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475615</wp:posOffset>
            </wp:positionH>
            <wp:positionV relativeFrom="paragraph">
              <wp:posOffset>171450</wp:posOffset>
            </wp:positionV>
            <wp:extent cx="4522470" cy="2390775"/>
            <wp:effectExtent l="4445" t="4445" r="6985" b="508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ind w:firstLine="640" w:firstLineChars="200"/>
        <w:outlineLvl w:val="1"/>
        <w:rPr>
          <w:rStyle w:val="20"/>
          <w:rFonts w:ascii="黑体" w:hAnsi="黑体" w:eastAsia="黑体"/>
          <w:b w:val="0"/>
        </w:rPr>
      </w:pPr>
      <w:bookmarkStart w:id="74" w:name="_Toc15396606"/>
      <w:bookmarkStart w:id="75" w:name="_Toc15377208"/>
      <w:bookmarkStart w:id="76" w:name="_Toc868601248_WPSOffice_Level2"/>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74"/>
      <w:bookmarkEnd w:id="75"/>
      <w:bookmarkEnd w:id="76"/>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1年财政拨款收、支总计1126.77万元。与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20年相比，财政拨款收、支各减少10916.63万元，下降90.64</w:t>
      </w:r>
      <w:r>
        <w:rPr>
          <w:rFonts w:ascii="仿宋" w:hAnsi="仿宋" w:eastAsia="仿宋"/>
          <w:color w:val="000000"/>
          <w:sz w:val="32"/>
          <w:szCs w:val="32"/>
        </w:rPr>
        <w:t>%</w:t>
      </w:r>
      <w:r>
        <w:rPr>
          <w:rFonts w:hint="eastAsia" w:ascii="仿宋" w:hAnsi="仿宋" w:eastAsia="仿宋"/>
          <w:color w:val="000000"/>
          <w:sz w:val="32"/>
          <w:szCs w:val="32"/>
        </w:rPr>
        <w:t>。主要变动原因是2020年收到财政专项资金基建款11004万元，并全部用于妇女儿童医院建设项目。</w:t>
      </w:r>
    </w:p>
    <w:p>
      <w:pPr>
        <w:spacing w:line="600" w:lineRule="exact"/>
        <w:ind w:firstLine="640"/>
        <w:rPr>
          <w:rFonts w:ascii="仿宋" w:hAnsi="仿宋" w:eastAsia="仿宋"/>
          <w:b/>
          <w:color w:val="FF000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0</wp:posOffset>
            </wp:positionH>
            <wp:positionV relativeFrom="paragraph">
              <wp:posOffset>333375</wp:posOffset>
            </wp:positionV>
            <wp:extent cx="5274310" cy="3076575"/>
            <wp:effectExtent l="19050" t="0" r="2159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color w:val="000000"/>
          <w:sz w:val="2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rPr>
          <w:rFonts w:ascii="仿宋" w:hAnsi="仿宋" w:eastAsia="仿宋"/>
          <w:b/>
          <w:color w:val="00B050"/>
          <w:sz w:val="32"/>
          <w:szCs w:val="32"/>
        </w:rPr>
      </w:pPr>
    </w:p>
    <w:p>
      <w:pPr>
        <w:spacing w:line="600" w:lineRule="exact"/>
        <w:ind w:firstLine="640" w:firstLineChars="200"/>
        <w:outlineLvl w:val="1"/>
        <w:rPr>
          <w:rStyle w:val="20"/>
          <w:rFonts w:ascii="黑体" w:hAnsi="黑体" w:eastAsia="黑体"/>
          <w:b w:val="0"/>
        </w:rPr>
      </w:pPr>
      <w:bookmarkStart w:id="77" w:name="_Toc15396607"/>
      <w:bookmarkStart w:id="78" w:name="_Toc53585959_WPSOffice_Level2"/>
      <w:bookmarkStart w:id="79"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77"/>
      <w:bookmarkEnd w:id="78"/>
      <w:bookmarkEnd w:id="79"/>
    </w:p>
    <w:p>
      <w:pPr>
        <w:spacing w:line="600" w:lineRule="exact"/>
        <w:ind w:firstLine="642" w:firstLineChars="200"/>
        <w:outlineLvl w:val="2"/>
        <w:rPr>
          <w:rFonts w:ascii="仿宋" w:hAnsi="仿宋" w:eastAsia="仿宋"/>
          <w:b/>
          <w:color w:val="000000"/>
          <w:sz w:val="32"/>
          <w:szCs w:val="32"/>
        </w:rPr>
      </w:pPr>
      <w:bookmarkStart w:id="80" w:name="_Toc15377210"/>
      <w:bookmarkStart w:id="81" w:name="_Toc85123953"/>
      <w:r>
        <w:rPr>
          <w:rFonts w:hint="eastAsia" w:ascii="仿宋" w:hAnsi="仿宋" w:eastAsia="仿宋"/>
          <w:b/>
          <w:color w:val="000000"/>
          <w:sz w:val="32"/>
          <w:szCs w:val="32"/>
        </w:rPr>
        <w:t>（一）一般公共预算财政拨款支出决算总体情况</w:t>
      </w:r>
      <w:bookmarkEnd w:id="80"/>
      <w:bookmarkEnd w:id="8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1年一般公共预算财政拨款支出1126.77万元，占本年支出合计的100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20年相比，一般公共预算财政拨款增加792.51万元，上升237.09</w:t>
      </w:r>
      <w:r>
        <w:rPr>
          <w:rFonts w:ascii="仿宋" w:hAnsi="仿宋" w:eastAsia="仿宋"/>
          <w:color w:val="000000"/>
          <w:sz w:val="32"/>
          <w:szCs w:val="32"/>
        </w:rPr>
        <w:t>%</w:t>
      </w:r>
      <w:r>
        <w:rPr>
          <w:rFonts w:hint="eastAsia" w:ascii="仿宋" w:hAnsi="仿宋" w:eastAsia="仿宋"/>
          <w:color w:val="000000"/>
          <w:sz w:val="32"/>
          <w:szCs w:val="32"/>
        </w:rPr>
        <w:t>。主要变动原因是资金来源不同</w:t>
      </w:r>
      <w:r>
        <w:rPr>
          <w:rFonts w:hint="eastAsia" w:ascii="仿宋" w:hAnsi="仿宋" w:eastAsia="仿宋"/>
          <w:color w:val="000000"/>
          <w:sz w:val="32"/>
          <w:szCs w:val="32"/>
          <w:lang w:eastAsia="zh-CN"/>
        </w:rPr>
        <w:t>，</w:t>
      </w:r>
      <w:r>
        <w:rPr>
          <w:rFonts w:hint="eastAsia" w:ascii="仿宋" w:hAnsi="仿宋" w:eastAsia="仿宋"/>
          <w:color w:val="000000"/>
          <w:sz w:val="32"/>
          <w:szCs w:val="32"/>
        </w:rPr>
        <w:t>2020年年初预算的机关事业单位基本养老保险441万元和城市公立医院改革补助资金221万元计入政府性基金财政拨款，2021年无政府性基金财政拨款</w:t>
      </w:r>
      <w:r>
        <w:rPr>
          <w:rFonts w:hint="eastAsia" w:ascii="仿宋" w:hAnsi="仿宋" w:eastAsia="仿宋"/>
          <w:color w:val="000000"/>
          <w:sz w:val="32"/>
          <w:szCs w:val="32"/>
          <w:lang w:eastAsia="zh-CN"/>
        </w:rPr>
        <w:t>。</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457200</wp:posOffset>
            </wp:positionH>
            <wp:positionV relativeFrom="paragraph">
              <wp:posOffset>57150</wp:posOffset>
            </wp:positionV>
            <wp:extent cx="4562475" cy="2695575"/>
            <wp:effectExtent l="19050" t="0" r="9525"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：一般公共预算财政拨款支出决算变动情况）（柱状图）单位：万元</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82" w:name="_Toc85123954"/>
      <w:bookmarkStart w:id="83" w:name="_Toc15377211"/>
      <w:r>
        <w:rPr>
          <w:rFonts w:hint="eastAsia" w:ascii="仿宋" w:hAnsi="仿宋" w:eastAsia="仿宋"/>
          <w:b/>
          <w:color w:val="000000"/>
          <w:sz w:val="32"/>
          <w:szCs w:val="32"/>
        </w:rPr>
        <w:t>（二）一般公共预算财政拨款支出决算结构情况</w:t>
      </w:r>
      <w:bookmarkEnd w:id="82"/>
      <w:bookmarkEnd w:id="83"/>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1年一般公共预算财政拨款支出1126.77万元，主要用于以下方面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支出7.49万元，占0.67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0元，占0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w:t>
      </w:r>
    </w:p>
    <w:p>
      <w:pPr>
        <w:spacing w:line="600" w:lineRule="exact"/>
        <w:rPr>
          <w:rFonts w:ascii="仿宋" w:hAnsi="仿宋" w:eastAsia="仿宋"/>
          <w:b/>
          <w:color w:val="000000"/>
          <w:sz w:val="32"/>
          <w:szCs w:val="32"/>
        </w:rPr>
      </w:pPr>
      <w:r>
        <w:rPr>
          <w:rFonts w:hint="eastAsia" w:ascii="仿宋" w:hAnsi="仿宋" w:eastAsia="仿宋"/>
          <w:b/>
          <w:color w:val="000000"/>
          <w:sz w:val="32"/>
          <w:szCs w:val="32"/>
        </w:rPr>
        <w:t>和就业（类）</w:t>
      </w:r>
      <w:r>
        <w:rPr>
          <w:rFonts w:hint="eastAsia" w:ascii="仿宋" w:hAnsi="仿宋" w:eastAsia="仿宋"/>
          <w:color w:val="000000"/>
          <w:sz w:val="32"/>
          <w:szCs w:val="32"/>
        </w:rPr>
        <w:t>支出519.93万元，占46.14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599.35万元，占53.19</w:t>
      </w:r>
      <w:r>
        <w:rPr>
          <w:rFonts w:ascii="仿宋" w:hAnsi="仿宋" w:eastAsia="仿宋"/>
          <w:color w:val="000000"/>
          <w:sz w:val="32"/>
          <w:szCs w:val="32"/>
        </w:rPr>
        <w:t>%</w:t>
      </w:r>
      <w:r>
        <w:rPr>
          <w:rFonts w:hint="eastAsia" w:ascii="仿宋" w:hAnsi="仿宋" w:eastAsia="仿宋"/>
          <w:color w:val="000000"/>
          <w:sz w:val="32"/>
          <w:szCs w:val="32"/>
        </w:rPr>
        <w:t>；住房保障支出0元，占0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457200</wp:posOffset>
            </wp:positionH>
            <wp:positionV relativeFrom="paragraph">
              <wp:posOffset>1304925</wp:posOffset>
            </wp:positionV>
            <wp:extent cx="4686300" cy="3076575"/>
            <wp:effectExtent l="19050" t="0" r="1905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2" w:firstLineChars="200"/>
        <w:outlineLvl w:val="2"/>
        <w:rPr>
          <w:rFonts w:ascii="仿宋" w:hAnsi="仿宋" w:eastAsia="仿宋"/>
          <w:b/>
          <w:color w:val="000000"/>
          <w:sz w:val="32"/>
          <w:szCs w:val="32"/>
        </w:rPr>
      </w:pPr>
      <w:bookmarkStart w:id="84" w:name="_Toc15377212"/>
    </w:p>
    <w:p>
      <w:pPr>
        <w:spacing w:line="600" w:lineRule="exact"/>
        <w:ind w:firstLine="642" w:firstLineChars="200"/>
        <w:outlineLvl w:val="2"/>
        <w:rPr>
          <w:rFonts w:ascii="仿宋" w:hAnsi="仿宋" w:eastAsia="仿宋"/>
          <w:b/>
          <w:color w:val="000000"/>
          <w:sz w:val="32"/>
          <w:szCs w:val="32"/>
        </w:rPr>
      </w:pPr>
      <w:bookmarkStart w:id="85" w:name="_Toc85123955"/>
      <w:r>
        <w:rPr>
          <w:rFonts w:hint="eastAsia" w:ascii="仿宋" w:hAnsi="仿宋" w:eastAsia="仿宋"/>
          <w:b/>
          <w:color w:val="000000"/>
          <w:sz w:val="32"/>
          <w:szCs w:val="32"/>
        </w:rPr>
        <w:t>（三）一般公共预算财政拨款支出决算具体情况</w:t>
      </w:r>
      <w:bookmarkEnd w:id="84"/>
      <w:bookmarkEnd w:id="85"/>
    </w:p>
    <w:p>
      <w:pPr>
        <w:spacing w:line="600" w:lineRule="exact"/>
        <w:ind w:firstLine="642" w:firstLineChars="200"/>
        <w:outlineLvl w:val="2"/>
        <w:rPr>
          <w:rFonts w:ascii="仿宋" w:hAnsi="仿宋" w:eastAsia="仿宋"/>
          <w:color w:val="FF0000"/>
          <w:sz w:val="32"/>
          <w:szCs w:val="32"/>
        </w:rPr>
      </w:pPr>
      <w:bookmarkStart w:id="86" w:name="_Toc85123956"/>
      <w:bookmarkStart w:id="87" w:name="_Toc15377213"/>
      <w:bookmarkStart w:id="88" w:name="_Toc15377444"/>
      <w:bookmarkStart w:id="89" w:name="_Toc15378460"/>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1年一般公共预算支出决算数为1126.77</w:t>
      </w:r>
      <w:r>
        <w:rPr>
          <w:rFonts w:hint="eastAsia" w:ascii="仿宋" w:hAnsi="仿宋" w:eastAsia="仿宋"/>
          <w:color w:val="000000"/>
          <w:sz w:val="32"/>
          <w:szCs w:val="32"/>
        </w:rPr>
        <w:t>，</w:t>
      </w:r>
      <w:r>
        <w:rPr>
          <w:rStyle w:val="17"/>
          <w:rFonts w:hint="eastAsia" w:ascii="仿宋" w:hAnsi="仿宋" w:eastAsia="仿宋"/>
          <w:bCs/>
          <w:color w:val="000000"/>
          <w:sz w:val="32"/>
          <w:szCs w:val="32"/>
        </w:rPr>
        <w:t>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bookmarkEnd w:id="86"/>
      <w:bookmarkEnd w:id="87"/>
      <w:bookmarkEnd w:id="88"/>
      <w:bookmarkEnd w:id="89"/>
    </w:p>
    <w:p>
      <w:pPr>
        <w:numPr>
          <w:ilvl w:val="-1"/>
          <w:numId w:val="0"/>
        </w:numPr>
        <w:spacing w:line="600" w:lineRule="exact"/>
        <w:ind w:firstLine="642" w:firstLineChars="200"/>
        <w:rPr>
          <w:rStyle w:val="17"/>
          <w:rFonts w:hint="eastAsia" w:ascii="仿宋" w:hAnsi="仿宋" w:eastAsia="仿宋"/>
          <w:b w:val="0"/>
          <w:bCs/>
          <w:color w:val="000000"/>
          <w:sz w:val="32"/>
          <w:szCs w:val="32"/>
        </w:rPr>
      </w:pPr>
      <w:r>
        <w:rPr>
          <w:rStyle w:val="17"/>
          <w:rFonts w:hint="eastAsia" w:ascii="仿宋" w:hAnsi="仿宋" w:eastAsia="仿宋"/>
          <w:bCs/>
          <w:color w:val="000000"/>
          <w:sz w:val="32"/>
          <w:szCs w:val="32"/>
          <w:lang w:val="en-US" w:eastAsia="zh-CN"/>
        </w:rPr>
        <w:t>1.</w:t>
      </w:r>
      <w:r>
        <w:rPr>
          <w:rStyle w:val="17"/>
          <w:rFonts w:hint="eastAsia" w:ascii="仿宋" w:hAnsi="仿宋" w:eastAsia="仿宋"/>
          <w:bCs/>
          <w:color w:val="000000"/>
          <w:sz w:val="32"/>
          <w:szCs w:val="32"/>
        </w:rPr>
        <w:t>一般公共服务（类）组织</w:t>
      </w:r>
      <w:r>
        <w:rPr>
          <w:rStyle w:val="17"/>
          <w:rFonts w:ascii="仿宋" w:hAnsi="仿宋" w:eastAsia="仿宋"/>
          <w:bCs/>
          <w:color w:val="000000"/>
          <w:sz w:val="32"/>
          <w:szCs w:val="32"/>
        </w:rPr>
        <w:t>事务</w:t>
      </w:r>
      <w:r>
        <w:rPr>
          <w:rStyle w:val="17"/>
          <w:rFonts w:hint="eastAsia" w:ascii="仿宋" w:hAnsi="仿宋" w:eastAsia="仿宋"/>
          <w:bCs/>
          <w:color w:val="000000"/>
          <w:sz w:val="32"/>
          <w:szCs w:val="32"/>
        </w:rPr>
        <w:t>（款）其他组织</w:t>
      </w:r>
      <w:r>
        <w:rPr>
          <w:rStyle w:val="17"/>
          <w:rFonts w:ascii="仿宋" w:hAnsi="仿宋" w:eastAsia="仿宋"/>
          <w:bCs/>
          <w:color w:val="000000"/>
          <w:sz w:val="32"/>
          <w:szCs w:val="32"/>
        </w:rPr>
        <w:t>事务支出</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支出决算为7.49万元，完成预算100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hint="eastAsia" w:ascii="仿宋" w:hAnsi="仿宋" w:eastAsia="仿宋"/>
          <w:b w:val="0"/>
          <w:bCs/>
          <w:color w:val="000000"/>
          <w:sz w:val="32"/>
          <w:szCs w:val="32"/>
        </w:rPr>
        <w:t>。</w:t>
      </w:r>
    </w:p>
    <w:p>
      <w:pPr>
        <w:pStyle w:val="14"/>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2" w:firstLineChars="200"/>
        <w:jc w:val="left"/>
        <w:outlineLvl w:val="9"/>
      </w:pPr>
      <w:r>
        <w:rPr>
          <w:rStyle w:val="17"/>
          <w:rFonts w:hint="eastAsia" w:ascii="仿宋" w:hAnsi="仿宋" w:eastAsia="仿宋"/>
          <w:b/>
          <w:bCs w:val="0"/>
          <w:color w:val="000000"/>
          <w:sz w:val="32"/>
          <w:szCs w:val="32"/>
          <w:lang w:val="en-US" w:eastAsia="zh-CN"/>
        </w:rPr>
        <w:t>2.</w:t>
      </w:r>
      <w:r>
        <w:rPr>
          <w:rFonts w:ascii="仿宋_GB2312" w:hAnsi="仿宋" w:eastAsia="仿宋_GB2312" w:cs="仿宋_GB2312"/>
          <w:b/>
          <w:bCs w:val="0"/>
          <w:caps w:val="0"/>
          <w:color w:val="auto"/>
          <w:kern w:val="0"/>
          <w:sz w:val="32"/>
          <w:szCs w:val="32"/>
          <w:vertAlign w:val="baseline"/>
          <w:lang w:val="en-US" w:eastAsia="zh-CN" w:bidi="ar"/>
        </w:rPr>
        <w:t>社会保障和就业（类）人力资源和社会保障管理事务（款） 其他人力资源和社会保障管理事务支出（项）: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69.80</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hint="eastAsia" w:ascii="仿宋" w:hAnsi="仿宋" w:eastAsia="仿宋"/>
          <w:b w:val="0"/>
          <w:bCs/>
          <w:color w:val="000000"/>
          <w:sz w:val="32"/>
          <w:szCs w:val="32"/>
        </w:rPr>
        <w:t>。</w:t>
      </w:r>
    </w:p>
    <w:p>
      <w:pPr>
        <w:spacing w:line="600" w:lineRule="exact"/>
        <w:ind w:firstLine="640" w:firstLineChars="200"/>
        <w:rPr>
          <w:rStyle w:val="17"/>
          <w:rFonts w:ascii="仿宋" w:hAnsi="仿宋" w:eastAsia="仿宋"/>
          <w:b w:val="0"/>
          <w:bCs/>
          <w:color w:val="000000"/>
          <w:sz w:val="32"/>
          <w:szCs w:val="32"/>
        </w:rPr>
      </w:pPr>
    </w:p>
    <w:p>
      <w:pPr>
        <w:spacing w:line="600" w:lineRule="exact"/>
        <w:ind w:firstLine="642" w:firstLineChars="200"/>
        <w:rPr>
          <w:rStyle w:val="17"/>
          <w:rFonts w:hint="eastAsia" w:ascii="仿宋" w:hAnsi="仿宋" w:eastAsia="仿宋"/>
          <w:b w:val="0"/>
          <w:bCs/>
          <w:sz w:val="32"/>
          <w:szCs w:val="32"/>
          <w:lang w:eastAsia="zh-CN"/>
        </w:rPr>
      </w:pPr>
      <w:r>
        <w:rPr>
          <w:rStyle w:val="17"/>
          <w:rFonts w:hint="eastAsia" w:ascii="仿宋" w:hAnsi="仿宋" w:eastAsia="仿宋"/>
          <w:bCs/>
          <w:color w:val="000000"/>
          <w:sz w:val="32"/>
          <w:szCs w:val="32"/>
          <w:lang w:val="en-US" w:eastAsia="zh-CN"/>
        </w:rPr>
        <w:t>3</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社会保障和就业（类）行政</w:t>
      </w:r>
      <w:r>
        <w:rPr>
          <w:rStyle w:val="17"/>
          <w:rFonts w:ascii="仿宋" w:hAnsi="仿宋" w:eastAsia="仿宋"/>
          <w:bCs/>
          <w:color w:val="000000"/>
          <w:sz w:val="32"/>
          <w:szCs w:val="32"/>
        </w:rPr>
        <w:t>事业单位养老支出</w:t>
      </w:r>
      <w:r>
        <w:rPr>
          <w:rStyle w:val="17"/>
          <w:rFonts w:hint="eastAsia" w:ascii="仿宋" w:hAnsi="仿宋" w:eastAsia="仿宋"/>
          <w:bCs/>
          <w:color w:val="000000"/>
          <w:sz w:val="32"/>
          <w:szCs w:val="32"/>
        </w:rPr>
        <w:t>（款）事业</w:t>
      </w:r>
      <w:r>
        <w:rPr>
          <w:rStyle w:val="17"/>
          <w:rFonts w:ascii="仿宋" w:hAnsi="仿宋" w:eastAsia="仿宋"/>
          <w:bCs/>
          <w:color w:val="000000"/>
          <w:sz w:val="32"/>
          <w:szCs w:val="32"/>
        </w:rPr>
        <w:t>单位离退休费</w:t>
      </w:r>
      <w:r>
        <w:rPr>
          <w:rStyle w:val="17"/>
          <w:rFonts w:hint="eastAsia" w:ascii="仿宋" w:hAnsi="仿宋" w:eastAsia="仿宋"/>
          <w:bCs/>
          <w:color w:val="000000"/>
          <w:sz w:val="32"/>
          <w:szCs w:val="32"/>
        </w:rPr>
        <w:t>（项）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66.37</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hint="eastAsia" w:ascii="仿宋" w:hAnsi="仿宋" w:eastAsia="仿宋"/>
          <w:b w:val="0"/>
          <w:bCs/>
          <w:sz w:val="32"/>
          <w:szCs w:val="32"/>
          <w:lang w:eastAsia="zh-CN"/>
        </w:rPr>
        <w:t>。</w:t>
      </w:r>
    </w:p>
    <w:p>
      <w:pPr>
        <w:spacing w:line="600" w:lineRule="exact"/>
        <w:ind w:firstLine="642" w:firstLineChars="200"/>
        <w:rPr>
          <w:rStyle w:val="17"/>
          <w:rFonts w:hint="eastAsia" w:ascii="仿宋" w:hAnsi="仿宋" w:eastAsia="仿宋"/>
          <w:b w:val="0"/>
          <w:bCs/>
          <w:color w:val="000000"/>
          <w:sz w:val="32"/>
          <w:szCs w:val="32"/>
        </w:rPr>
      </w:pPr>
      <w:r>
        <w:rPr>
          <w:rStyle w:val="17"/>
          <w:rFonts w:hint="eastAsia" w:ascii="仿宋" w:hAnsi="仿宋" w:eastAsia="仿宋"/>
          <w:bCs/>
          <w:color w:val="000000"/>
          <w:sz w:val="32"/>
          <w:szCs w:val="32"/>
          <w:lang w:val="en-US" w:eastAsia="zh-CN"/>
        </w:rPr>
        <w:t>4.</w:t>
      </w:r>
      <w:r>
        <w:rPr>
          <w:rStyle w:val="17"/>
          <w:rFonts w:hint="eastAsia" w:ascii="仿宋" w:hAnsi="仿宋" w:eastAsia="仿宋"/>
          <w:bCs/>
          <w:color w:val="000000"/>
          <w:sz w:val="32"/>
          <w:szCs w:val="32"/>
        </w:rPr>
        <w:t>社会保障和就业（类）行政</w:t>
      </w:r>
      <w:r>
        <w:rPr>
          <w:rStyle w:val="17"/>
          <w:rFonts w:ascii="仿宋" w:hAnsi="仿宋" w:eastAsia="仿宋"/>
          <w:bCs/>
          <w:color w:val="000000"/>
          <w:sz w:val="32"/>
          <w:szCs w:val="32"/>
        </w:rPr>
        <w:t>事业单位养老支出</w:t>
      </w:r>
      <w:r>
        <w:rPr>
          <w:rStyle w:val="17"/>
          <w:rFonts w:hint="eastAsia" w:ascii="仿宋" w:hAnsi="仿宋" w:eastAsia="仿宋"/>
          <w:bCs/>
          <w:color w:val="000000"/>
          <w:sz w:val="32"/>
          <w:szCs w:val="32"/>
        </w:rPr>
        <w:t>（款）机关事业单位基本养老保险缴费支出（项）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378.11</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hint="eastAsia" w:ascii="仿宋" w:hAnsi="仿宋" w:eastAsia="仿宋"/>
          <w:b w:val="0"/>
          <w:bCs/>
          <w:sz w:val="32"/>
          <w:szCs w:val="32"/>
          <w:lang w:eastAsia="zh-CN"/>
        </w:rPr>
        <w:t>。</w:t>
      </w:r>
    </w:p>
    <w:p>
      <w:pPr>
        <w:spacing w:line="600" w:lineRule="exact"/>
        <w:ind w:firstLine="642" w:firstLineChars="200"/>
        <w:rPr>
          <w:rFonts w:ascii="仿宋" w:hAnsi="仿宋" w:eastAsia="仿宋"/>
          <w:b/>
          <w:color w:val="000000"/>
          <w:sz w:val="32"/>
          <w:szCs w:val="32"/>
        </w:rPr>
      </w:pPr>
      <w:r>
        <w:rPr>
          <w:rStyle w:val="17"/>
          <w:rFonts w:hint="eastAsia" w:ascii="仿宋" w:hAnsi="仿宋" w:eastAsia="仿宋"/>
          <w:bCs/>
          <w:color w:val="000000"/>
          <w:sz w:val="32"/>
          <w:szCs w:val="32"/>
          <w:lang w:val="en-US" w:eastAsia="zh-CN"/>
        </w:rPr>
        <w:t>5.</w:t>
      </w:r>
      <w:r>
        <w:rPr>
          <w:rStyle w:val="17"/>
          <w:rFonts w:hint="eastAsia" w:ascii="仿宋" w:hAnsi="仿宋" w:eastAsia="仿宋"/>
          <w:bCs/>
          <w:color w:val="000000"/>
          <w:sz w:val="32"/>
          <w:szCs w:val="32"/>
        </w:rPr>
        <w:t>社会保障和就业（类）抚恤（款）死亡抚恤（项）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支出决算为5.66万元，完成预算100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ascii="仿宋" w:hAnsi="仿宋" w:eastAsia="仿宋"/>
          <w:b w:val="0"/>
          <w:bCs/>
          <w:color w:val="000000"/>
          <w:sz w:val="32"/>
          <w:szCs w:val="32"/>
        </w:rPr>
        <w:t>该资金为</w:t>
      </w:r>
      <w:r>
        <w:rPr>
          <w:rStyle w:val="17"/>
          <w:rFonts w:hint="eastAsia" w:ascii="仿宋" w:hAnsi="仿宋" w:eastAsia="仿宋"/>
          <w:b w:val="0"/>
          <w:bCs/>
          <w:color w:val="000000"/>
          <w:sz w:val="32"/>
          <w:szCs w:val="32"/>
        </w:rPr>
        <w:t>2020年应返还金额</w:t>
      </w:r>
      <w:r>
        <w:rPr>
          <w:rStyle w:val="17"/>
          <w:rFonts w:hint="eastAsia" w:ascii="仿宋" w:hAnsi="仿宋" w:eastAsia="仿宋"/>
          <w:b w:val="0"/>
          <w:bCs/>
          <w:color w:val="000000"/>
          <w:sz w:val="32"/>
          <w:szCs w:val="32"/>
          <w:lang w:eastAsia="zh-CN"/>
        </w:rPr>
        <w:t>。</w:t>
      </w:r>
    </w:p>
    <w:p>
      <w:pPr>
        <w:numPr>
          <w:ilvl w:val="-1"/>
          <w:numId w:val="0"/>
        </w:numPr>
        <w:spacing w:line="600" w:lineRule="exact"/>
        <w:ind w:firstLine="642" w:firstLineChars="200"/>
        <w:rPr>
          <w:rStyle w:val="17"/>
          <w:rFonts w:hint="eastAsia" w:ascii="仿宋" w:hAnsi="仿宋" w:eastAsia="仿宋"/>
          <w:b w:val="0"/>
          <w:bCs/>
          <w:color w:val="000000"/>
          <w:sz w:val="32"/>
          <w:szCs w:val="32"/>
          <w:lang w:eastAsia="zh-CN"/>
        </w:rPr>
      </w:pPr>
      <w:r>
        <w:rPr>
          <w:rStyle w:val="17"/>
          <w:rFonts w:hint="eastAsia" w:ascii="仿宋" w:hAnsi="仿宋" w:eastAsia="仿宋"/>
          <w:bCs/>
          <w:color w:val="000000"/>
          <w:sz w:val="32"/>
          <w:szCs w:val="32"/>
          <w:lang w:val="en-US" w:eastAsia="zh-CN"/>
        </w:rPr>
        <w:t>6.</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（类）公立</w:t>
      </w:r>
      <w:r>
        <w:rPr>
          <w:rStyle w:val="17"/>
          <w:rFonts w:ascii="仿宋" w:hAnsi="仿宋" w:eastAsia="仿宋"/>
          <w:bCs/>
          <w:color w:val="000000"/>
          <w:sz w:val="32"/>
          <w:szCs w:val="32"/>
        </w:rPr>
        <w:t>医院</w:t>
      </w:r>
      <w:r>
        <w:rPr>
          <w:rStyle w:val="17"/>
          <w:rFonts w:hint="eastAsia" w:ascii="仿宋" w:hAnsi="仿宋" w:eastAsia="仿宋"/>
          <w:bCs/>
          <w:color w:val="000000"/>
          <w:sz w:val="32"/>
          <w:szCs w:val="32"/>
        </w:rPr>
        <w:t>（款）妇幼保健医院（项）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支出决算为335.14万元，完成预算100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Style w:val="17"/>
          <w:rFonts w:ascii="仿宋" w:hAnsi="仿宋" w:eastAsia="仿宋"/>
          <w:b w:val="0"/>
          <w:bCs/>
          <w:color w:val="000000"/>
          <w:sz w:val="32"/>
          <w:szCs w:val="32"/>
        </w:rPr>
        <w:t>其中</w:t>
      </w:r>
      <w:r>
        <w:rPr>
          <w:rStyle w:val="17"/>
          <w:rFonts w:hint="eastAsia" w:ascii="仿宋" w:hAnsi="仿宋" w:eastAsia="仿宋"/>
          <w:b w:val="0"/>
          <w:bCs/>
          <w:color w:val="000000"/>
          <w:sz w:val="32"/>
          <w:szCs w:val="32"/>
        </w:rPr>
        <w:t>255.14万元为2020年安排的一般债券，在2021年调整到我院使用</w:t>
      </w:r>
      <w:r>
        <w:rPr>
          <w:rStyle w:val="17"/>
          <w:rFonts w:hint="eastAsia" w:ascii="仿宋" w:hAnsi="仿宋" w:eastAsia="仿宋"/>
          <w:b w:val="0"/>
          <w:bCs/>
          <w:color w:val="000000"/>
          <w:sz w:val="32"/>
          <w:szCs w:val="32"/>
          <w:lang w:eastAsia="zh-CN"/>
        </w:rPr>
        <w:t>。</w:t>
      </w:r>
    </w:p>
    <w:p>
      <w:pPr>
        <w:numPr>
          <w:ilvl w:val="-1"/>
          <w:numId w:val="0"/>
        </w:numPr>
        <w:spacing w:line="600" w:lineRule="exact"/>
        <w:ind w:firstLine="642" w:firstLineChars="200"/>
        <w:rPr>
          <w:rStyle w:val="17"/>
          <w:rFonts w:hint="eastAsia" w:ascii="仿宋" w:hAnsi="仿宋" w:eastAsia="仿宋"/>
          <w:b w:val="0"/>
          <w:bCs/>
          <w:color w:val="000000"/>
          <w:sz w:val="32"/>
          <w:szCs w:val="32"/>
          <w:lang w:eastAsia="zh-CN"/>
        </w:rPr>
      </w:pPr>
      <w:r>
        <w:rPr>
          <w:rFonts w:hint="eastAsia" w:ascii="仿宋" w:hAnsi="仿宋" w:eastAsia="仿宋"/>
          <w:b/>
          <w:bCs/>
          <w:color w:val="000000"/>
          <w:sz w:val="32"/>
          <w:szCs w:val="32"/>
          <w:lang w:val="en-US" w:eastAsia="zh-CN"/>
        </w:rPr>
        <w:t>7.</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（类）公共卫生（款）妇幼保健机构（项）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支出决算为133.86万元，完成预算100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hint="eastAsia" w:ascii="仿宋" w:hAnsi="仿宋" w:eastAsia="仿宋"/>
          <w:b w:val="0"/>
          <w:bCs/>
          <w:color w:val="000000"/>
          <w:sz w:val="32"/>
          <w:szCs w:val="32"/>
          <w:lang w:eastAsia="zh-CN"/>
        </w:rPr>
        <w:t>。</w:t>
      </w:r>
    </w:p>
    <w:p>
      <w:pPr>
        <w:numPr>
          <w:ilvl w:val="-1"/>
          <w:numId w:val="0"/>
        </w:numPr>
        <w:spacing w:line="600" w:lineRule="exact"/>
        <w:ind w:firstLine="642" w:firstLineChars="200"/>
        <w:rPr>
          <w:rStyle w:val="17"/>
          <w:rFonts w:hint="eastAsia" w:ascii="仿宋" w:hAnsi="仿宋" w:eastAsia="仿宋"/>
          <w:b w:val="0"/>
          <w:bCs/>
          <w:color w:val="000000"/>
          <w:sz w:val="32"/>
          <w:szCs w:val="32"/>
          <w:lang w:eastAsia="zh-CN"/>
        </w:rPr>
      </w:pPr>
      <w:r>
        <w:rPr>
          <w:rFonts w:hint="eastAsia" w:ascii="仿宋" w:hAnsi="仿宋" w:eastAsia="仿宋"/>
          <w:b/>
          <w:bCs/>
          <w:color w:val="000000"/>
          <w:sz w:val="32"/>
          <w:szCs w:val="32"/>
          <w:lang w:val="en-US" w:eastAsia="zh-CN"/>
        </w:rPr>
        <w:t>8.</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（类）公共卫生（款）基本公共卫生服务（项）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支出决算为11.1万元（含上年结转5.94万元），完成预算100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hint="eastAsia" w:ascii="仿宋" w:hAnsi="仿宋" w:eastAsia="仿宋"/>
          <w:b w:val="0"/>
          <w:bCs/>
          <w:color w:val="000000"/>
          <w:sz w:val="32"/>
          <w:szCs w:val="32"/>
          <w:lang w:eastAsia="zh-CN"/>
        </w:rPr>
        <w:t>。</w:t>
      </w:r>
    </w:p>
    <w:p>
      <w:pPr>
        <w:numPr>
          <w:ilvl w:val="-1"/>
          <w:numId w:val="0"/>
        </w:numPr>
        <w:spacing w:line="600" w:lineRule="exact"/>
        <w:ind w:firstLine="642" w:firstLineChars="200"/>
        <w:rPr>
          <w:rStyle w:val="17"/>
          <w:rFonts w:hint="eastAsia" w:ascii="仿宋" w:hAnsi="仿宋" w:eastAsia="仿宋"/>
          <w:b w:val="0"/>
          <w:bCs/>
          <w:sz w:val="32"/>
          <w:szCs w:val="32"/>
          <w:lang w:eastAsia="zh-CN"/>
        </w:rPr>
      </w:pPr>
      <w:r>
        <w:rPr>
          <w:rFonts w:hint="eastAsia" w:ascii="仿宋" w:hAnsi="仿宋" w:eastAsia="仿宋"/>
          <w:b/>
          <w:bCs/>
          <w:color w:val="000000"/>
          <w:sz w:val="32"/>
          <w:szCs w:val="32"/>
          <w:lang w:val="en-US" w:eastAsia="zh-CN"/>
        </w:rPr>
        <w:t>9.</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（类）公共卫生（款）重大公共卫生服务（项）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支出决算为15.1万元（含上年结转6.16万元），完成预算100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hint="eastAsia" w:ascii="仿宋" w:hAnsi="仿宋" w:eastAsia="仿宋"/>
          <w:b w:val="0"/>
          <w:bCs/>
          <w:sz w:val="32"/>
          <w:szCs w:val="32"/>
          <w:lang w:eastAsia="zh-CN"/>
        </w:rPr>
        <w:t>。</w:t>
      </w:r>
    </w:p>
    <w:p>
      <w:pPr>
        <w:numPr>
          <w:ilvl w:val="-1"/>
          <w:numId w:val="0"/>
        </w:numPr>
        <w:spacing w:line="600" w:lineRule="exact"/>
        <w:ind w:firstLine="642" w:firstLineChars="200"/>
        <w:rPr>
          <w:rStyle w:val="17"/>
          <w:rFonts w:hint="eastAsia" w:ascii="仿宋" w:hAnsi="仿宋" w:eastAsia="仿宋"/>
          <w:b w:val="0"/>
          <w:bCs/>
          <w:color w:val="000000"/>
          <w:sz w:val="32"/>
          <w:szCs w:val="32"/>
          <w:lang w:eastAsia="zh-CN"/>
        </w:rPr>
      </w:pPr>
      <w:r>
        <w:rPr>
          <w:rFonts w:hint="eastAsia" w:ascii="仿宋" w:hAnsi="仿宋" w:eastAsia="仿宋"/>
          <w:b/>
          <w:bCs/>
          <w:color w:val="000000"/>
          <w:sz w:val="32"/>
          <w:szCs w:val="32"/>
          <w:lang w:val="en-US" w:eastAsia="zh-CN"/>
        </w:rPr>
        <w:t>10.</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（类）公共卫生（款）突发公共卫生事件应急处理（项）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 xml:space="preserve"> 支出决算为1.75万元，完成预算100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，新冠肺炎疫情防控中央和省级补助结算资金（第二批）1.75万元为上年结转资金</w:t>
      </w:r>
      <w:r>
        <w:rPr>
          <w:rStyle w:val="17"/>
          <w:rFonts w:hint="eastAsia" w:ascii="仿宋" w:hAnsi="仿宋" w:eastAsia="仿宋"/>
          <w:b w:val="0"/>
          <w:bCs/>
          <w:sz w:val="32"/>
          <w:szCs w:val="32"/>
        </w:rPr>
        <w:t>，决算数等于预算数</w:t>
      </w:r>
      <w:r>
        <w:rPr>
          <w:rStyle w:val="17"/>
          <w:rFonts w:hint="eastAsia" w:ascii="仿宋" w:hAnsi="仿宋" w:eastAsia="仿宋"/>
          <w:b w:val="0"/>
          <w:bCs/>
          <w:color w:val="000000"/>
          <w:sz w:val="32"/>
          <w:szCs w:val="32"/>
          <w:lang w:eastAsia="zh-CN"/>
        </w:rPr>
        <w:t>。</w:t>
      </w:r>
    </w:p>
    <w:p>
      <w:pPr>
        <w:numPr>
          <w:ilvl w:val="-1"/>
          <w:numId w:val="0"/>
        </w:numPr>
        <w:spacing w:line="600" w:lineRule="exact"/>
        <w:ind w:firstLine="642" w:firstLineChars="200"/>
        <w:rPr>
          <w:rStyle w:val="17"/>
          <w:rFonts w:hint="eastAsia" w:ascii="仿宋" w:hAnsi="仿宋" w:eastAsia="仿宋"/>
          <w:b w:val="0"/>
          <w:bCs/>
          <w:sz w:val="32"/>
          <w:szCs w:val="32"/>
          <w:lang w:eastAsia="zh-CN"/>
        </w:rPr>
      </w:pPr>
      <w:r>
        <w:rPr>
          <w:rFonts w:hint="eastAsia" w:ascii="仿宋" w:hAnsi="仿宋" w:eastAsia="仿宋"/>
          <w:b/>
          <w:bCs/>
          <w:color w:val="000000"/>
          <w:sz w:val="32"/>
          <w:szCs w:val="32"/>
          <w:lang w:val="en-US" w:eastAsia="zh-CN"/>
        </w:rPr>
        <w:t>11.</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（类）公共卫生（款）其他公共卫生支出（项）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 xml:space="preserve"> 支出决算为2.4万元，完成预算100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hint="eastAsia" w:ascii="仿宋" w:hAnsi="仿宋" w:eastAsia="仿宋"/>
          <w:b w:val="0"/>
          <w:bCs/>
          <w:sz w:val="32"/>
          <w:szCs w:val="32"/>
          <w:lang w:eastAsia="zh-CN"/>
        </w:rPr>
        <w:t>。</w:t>
      </w:r>
    </w:p>
    <w:p>
      <w:pPr>
        <w:numPr>
          <w:ilvl w:val="-1"/>
          <w:numId w:val="0"/>
        </w:numPr>
        <w:spacing w:line="600" w:lineRule="exact"/>
        <w:ind w:firstLine="642" w:firstLineChars="200"/>
        <w:rPr>
          <w:rFonts w:ascii="仿宋" w:hAnsi="仿宋" w:eastAsia="仿宋"/>
          <w:b/>
          <w:color w:val="000000"/>
          <w:sz w:val="32"/>
          <w:szCs w:val="32"/>
        </w:rPr>
      </w:pPr>
      <w:r>
        <w:rPr>
          <w:rFonts w:hint="eastAsia" w:ascii="仿宋" w:hAnsi="仿宋" w:eastAsia="仿宋"/>
          <w:b/>
          <w:bCs/>
          <w:color w:val="000000"/>
          <w:sz w:val="32"/>
          <w:szCs w:val="32"/>
          <w:lang w:val="en-US" w:eastAsia="zh-CN"/>
        </w:rPr>
        <w:t>12.</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（类）其他卫生健康支出（款）其他卫生健康支出（项）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 xml:space="preserve"> 支出决算为100万元（含上年结转8万元），完成预算100</w:t>
      </w:r>
      <w:r>
        <w:rPr>
          <w:rStyle w:val="17"/>
          <w:rFonts w:ascii="仿宋" w:hAnsi="仿宋" w:eastAsia="仿宋"/>
          <w:b w:val="0"/>
          <w:bCs/>
          <w:color w:val="000000"/>
          <w:sz w:val="32"/>
          <w:szCs w:val="32"/>
        </w:rPr>
        <w:t>%</w:t>
      </w:r>
      <w:r>
        <w:rPr>
          <w:rStyle w:val="17"/>
          <w:rFonts w:hint="eastAsia" w:ascii="仿宋" w:hAnsi="仿宋" w:eastAsia="仿宋"/>
          <w:b w:val="0"/>
          <w:bCs/>
          <w:sz w:val="32"/>
          <w:szCs w:val="32"/>
        </w:rPr>
        <w:t>，决算数等于预算数，</w:t>
      </w:r>
      <w:r>
        <w:rPr>
          <w:rStyle w:val="17"/>
          <w:rFonts w:hint="eastAsia" w:ascii="仿宋" w:hAnsi="仿宋" w:eastAsia="仿宋"/>
          <w:b w:val="0"/>
          <w:bCs/>
          <w:color w:val="000000"/>
          <w:sz w:val="32"/>
          <w:szCs w:val="32"/>
        </w:rPr>
        <w:t>2020年公共卫生体系建设和重大疫情防控救治体系建设补助22.1万元，根据攀卫办【2020】131号文件的实施方案在2020已使用10.5万元，2021年使用8万元。</w:t>
      </w:r>
      <w:r>
        <w:rPr>
          <w:rFonts w:ascii="仿宋" w:hAnsi="仿宋" w:eastAsia="仿宋"/>
          <w:b/>
          <w:color w:val="000000"/>
          <w:sz w:val="32"/>
          <w:szCs w:val="32"/>
        </w:rPr>
        <w:t xml:space="preserve"> </w:t>
      </w:r>
    </w:p>
    <w:p>
      <w:pPr>
        <w:tabs>
          <w:tab w:val="right" w:pos="8306"/>
        </w:tabs>
        <w:spacing w:line="600" w:lineRule="exact"/>
        <w:ind w:firstLine="640"/>
        <w:outlineLvl w:val="1"/>
        <w:rPr>
          <w:rStyle w:val="20"/>
        </w:rPr>
      </w:pPr>
      <w:bookmarkStart w:id="90" w:name="_Toc15396608"/>
      <w:bookmarkStart w:id="91" w:name="_Toc15377214"/>
      <w:bookmarkStart w:id="92" w:name="_Toc640336099_WPSOffice_Level2"/>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90"/>
      <w:bookmarkEnd w:id="91"/>
      <w:bookmarkEnd w:id="92"/>
      <w:r>
        <w:rPr>
          <w:rStyle w:val="20"/>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1年一般公共预算财政拨款基本支出583.99万元，其中：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人员经费566.56万元，主要包括：基本工资0元、津贴补贴0元、奖金0元、伙食补助费0元、绩效工资0元、机关事业单位基本养老保险缴费378.11元、职业年金缴费0元、其他社会保障缴费0元、其他工资福利支出0元、离休费0元、退休费0万元、抚恤金5.66万元、生活补助175.68万元、医疗费补助7.12万元、奖励金0元、住房公积金0元、其他对个人和家庭的补助支出0万元。</w:t>
      </w:r>
    </w:p>
    <w:p>
      <w:pPr>
        <w:spacing w:line="600" w:lineRule="exact"/>
        <w:ind w:firstLine="640"/>
        <w:rPr>
          <w:rFonts w:ascii="仿宋" w:hAnsi="仿宋" w:eastAsia="仿宋"/>
          <w:b/>
          <w:color w:val="FF0000"/>
          <w:sz w:val="32"/>
          <w:szCs w:val="32"/>
        </w:rPr>
      </w:pPr>
      <w:r>
        <w:rPr>
          <w:rFonts w:hint="eastAsia" w:ascii="仿宋" w:hAnsi="仿宋" w:eastAsia="仿宋"/>
          <w:color w:val="000000"/>
          <w:sz w:val="32"/>
          <w:szCs w:val="32"/>
        </w:rPr>
        <w:t>公用经费17.43万元，主要包括：办公费0.04万元、印刷费0元、咨询费0元、手续费0元、水费0元、电费0万元、邮电费0元、取暖费0元、物业管理费0元、差旅费0万元、因公出国（境）费用0元、维修（护）费0万元、租赁费0万元、会议费0万元、培训费0万元、公务接待费0元、专用材料费0万元、劳务费0万元、委托业务费0元、工会经费0元、福利费7.06万元、公务用车运行维护费0万元、其他交通费0元、税金及附加费用0元、其他商品和服务支出10.33万元、办公设备购置0万元、专用设备购置0元、信息网络及软件购置更新0元、其他资本性支出0元、无形资产购置0万元。</w:t>
      </w:r>
    </w:p>
    <w:p>
      <w:pPr>
        <w:spacing w:line="600" w:lineRule="exact"/>
        <w:ind w:firstLine="640"/>
        <w:outlineLvl w:val="1"/>
        <w:rPr>
          <w:rStyle w:val="20"/>
          <w:rFonts w:ascii="黑体" w:hAnsi="黑体" w:eastAsia="黑体"/>
          <w:b w:val="0"/>
        </w:rPr>
      </w:pPr>
      <w:bookmarkStart w:id="93" w:name="_Toc657757713_WPSOffice_Level2"/>
      <w:bookmarkStart w:id="94" w:name="_Toc15377215"/>
      <w:bookmarkStart w:id="95" w:name="_Toc15396609"/>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93"/>
      <w:bookmarkEnd w:id="94"/>
      <w:bookmarkEnd w:id="95"/>
    </w:p>
    <w:p>
      <w:pPr>
        <w:spacing w:line="600" w:lineRule="exact"/>
        <w:ind w:firstLine="640"/>
        <w:outlineLvl w:val="2"/>
        <w:rPr>
          <w:rFonts w:ascii="仿宋" w:hAnsi="仿宋" w:eastAsia="仿宋"/>
          <w:b/>
          <w:color w:val="000000"/>
          <w:sz w:val="32"/>
          <w:szCs w:val="32"/>
        </w:rPr>
      </w:pPr>
      <w:bookmarkStart w:id="96" w:name="_Toc15377216"/>
      <w:bookmarkStart w:id="97" w:name="_Toc85123959"/>
      <w:r>
        <w:rPr>
          <w:rFonts w:hint="eastAsia" w:ascii="仿宋" w:hAnsi="仿宋" w:eastAsia="仿宋"/>
          <w:b/>
          <w:color w:val="000000"/>
          <w:sz w:val="32"/>
          <w:szCs w:val="32"/>
        </w:rPr>
        <w:t>（一）“三公”经费财政拨款支出决算总体情况说明</w:t>
      </w:r>
      <w:bookmarkEnd w:id="96"/>
      <w:bookmarkEnd w:id="9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1年“三公”经费财政拨款支出决算为4.25万元，完成预算100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98" w:name="_Toc85123960"/>
      <w:bookmarkStart w:id="99" w:name="_Toc15377217"/>
      <w:r>
        <w:rPr>
          <w:rFonts w:hint="eastAsia" w:ascii="仿宋" w:hAnsi="仿宋" w:eastAsia="仿宋"/>
          <w:b/>
          <w:color w:val="000000"/>
          <w:sz w:val="32"/>
          <w:szCs w:val="32"/>
        </w:rPr>
        <w:t>（二）“三公”经费财政拨款支出决算具体情况说明</w:t>
      </w:r>
      <w:bookmarkEnd w:id="98"/>
      <w:bookmarkEnd w:id="9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；公务用车购置及运行维护费支出决算4.</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5万元，占</w:t>
      </w:r>
      <w:r>
        <w:rPr>
          <w:rFonts w:hint="eastAsia" w:ascii="仿宋" w:hAnsi="仿宋" w:eastAsia="仿宋"/>
          <w:color w:val="000000"/>
          <w:sz w:val="32"/>
          <w:szCs w:val="32"/>
          <w:lang w:val="en-US" w:eastAsia="zh-CN"/>
        </w:rPr>
        <w:t>98</w:t>
      </w:r>
      <w:r>
        <w:rPr>
          <w:rFonts w:ascii="仿宋" w:hAnsi="仿宋" w:eastAsia="仿宋"/>
          <w:color w:val="000000"/>
          <w:sz w:val="32"/>
          <w:szCs w:val="32"/>
        </w:rPr>
        <w:t>%</w:t>
      </w:r>
      <w:r>
        <w:rPr>
          <w:rFonts w:hint="eastAsia" w:ascii="仿宋" w:hAnsi="仿宋" w:eastAsia="仿宋"/>
          <w:color w:val="000000"/>
          <w:sz w:val="32"/>
          <w:szCs w:val="32"/>
        </w:rPr>
        <w:t>；公务接待费支出决算0</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元，占</w:t>
      </w:r>
      <w:r>
        <w:rPr>
          <w:rFonts w:hint="eastAsia" w:ascii="仿宋" w:hAnsi="仿宋" w:eastAsia="仿宋"/>
          <w:color w:val="000000"/>
          <w:sz w:val="32"/>
          <w:szCs w:val="32"/>
          <w:lang w:val="en-US" w:eastAsia="zh-CN"/>
        </w:rPr>
        <w:t>2</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276225</wp:posOffset>
            </wp:positionH>
            <wp:positionV relativeFrom="paragraph">
              <wp:posOffset>28575</wp:posOffset>
            </wp:positionV>
            <wp:extent cx="5274310" cy="3076575"/>
            <wp:effectExtent l="19050" t="0" r="2159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0元，</w:t>
      </w:r>
      <w:r>
        <w:rPr>
          <w:rStyle w:val="17"/>
          <w:rFonts w:hint="eastAsia" w:ascii="仿宋" w:hAnsi="仿宋" w:eastAsia="仿宋"/>
          <w:b w:val="0"/>
          <w:bCs/>
          <w:color w:val="000000"/>
          <w:sz w:val="32"/>
          <w:szCs w:val="32"/>
        </w:rPr>
        <w:t>完成预算0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w:t>
      </w:r>
      <w:r>
        <w:rPr>
          <w:rFonts w:hint="eastAsia" w:ascii="仿宋_GB2312" w:eastAsia="仿宋_GB2312"/>
          <w:color w:val="000000"/>
          <w:sz w:val="32"/>
          <w:szCs w:val="32"/>
          <w:lang w:eastAsia="zh-CN"/>
        </w:rPr>
        <w:t>与</w:t>
      </w:r>
      <w:r>
        <w:rPr>
          <w:rFonts w:ascii="仿宋_GB2312" w:eastAsia="仿宋_GB2312"/>
          <w:color w:val="000000"/>
          <w:sz w:val="32"/>
          <w:szCs w:val="32"/>
        </w:rPr>
        <w:t>20</w:t>
      </w:r>
      <w:r>
        <w:rPr>
          <w:rFonts w:hint="eastAsia" w:ascii="仿宋_GB2312" w:eastAsia="仿宋_GB2312"/>
          <w:color w:val="000000"/>
          <w:sz w:val="32"/>
          <w:szCs w:val="32"/>
        </w:rPr>
        <w:t>20年</w:t>
      </w:r>
      <w:r>
        <w:rPr>
          <w:rFonts w:hint="eastAsia" w:ascii="仿宋_GB2312" w:eastAsia="仿宋_GB2312"/>
          <w:color w:val="000000"/>
          <w:sz w:val="32"/>
          <w:szCs w:val="32"/>
          <w:lang w:eastAsia="zh-CN"/>
        </w:rPr>
        <w:t>持平。</w:t>
      </w:r>
    </w:p>
    <w:p>
      <w:pPr>
        <w:spacing w:line="480" w:lineRule="auto"/>
        <w:ind w:firstLine="642" w:firstLineChars="200"/>
        <w:jc w:val="left"/>
        <w:rPr>
          <w:rFonts w:hint="eastAsia" w:ascii="仿宋_GB2312" w:eastAsia="仿宋_GB2312"/>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5万元</w:t>
      </w:r>
      <w:r>
        <w:rPr>
          <w:rFonts w:ascii="仿宋_GB2312" w:eastAsia="仿宋_GB2312"/>
          <w:color w:val="000000"/>
          <w:sz w:val="32"/>
          <w:szCs w:val="32"/>
        </w:rPr>
        <w:t>,</w:t>
      </w:r>
      <w:r>
        <w:rPr>
          <w:rStyle w:val="17"/>
          <w:rFonts w:hint="eastAsia" w:ascii="仿宋" w:hAnsi="仿宋" w:eastAsia="仿宋"/>
          <w:b w:val="0"/>
          <w:bCs/>
          <w:color w:val="000000"/>
          <w:sz w:val="32"/>
          <w:szCs w:val="32"/>
        </w:rPr>
        <w:t>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rPr>
        <w:t>20年下降2.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2万元，下降34.31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公务用车维护费减少。</w:t>
      </w:r>
    </w:p>
    <w:p>
      <w:pPr>
        <w:spacing w:line="600" w:lineRule="exact"/>
        <w:ind w:firstLine="64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r>
        <w:rPr>
          <w:rFonts w:hint="eastAsia" w:ascii="仿宋_GB2312" w:eastAsia="仿宋_GB2312"/>
          <w:sz w:val="32"/>
          <w:szCs w:val="32"/>
        </w:rPr>
        <w:t>全年按规定更新购置公务用车0辆，其中：轿车0辆、金额0万元，越野车0辆、金额0万元，载客汽车0辆、金额0万元。</w:t>
      </w: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月底，单位共有公务用车6辆，其中：轿车1辆、越野车2辆、救护车3辆。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4.15万元。主要用于2021年发生流感监测、食源性监测标本运送</w:t>
      </w:r>
      <w:r>
        <w:rPr>
          <w:rFonts w:hint="eastAsia" w:ascii="仿宋_GB2312" w:eastAsia="仿宋_GB2312"/>
          <w:color w:val="000000"/>
          <w:sz w:val="32"/>
          <w:szCs w:val="32"/>
          <w:lang w:eastAsia="zh-CN"/>
        </w:rPr>
        <w:t>等</w:t>
      </w:r>
      <w:r>
        <w:rPr>
          <w:rFonts w:hint="default" w:ascii="仿宋_GB2312" w:hAnsi="Times New Roman" w:eastAsia="仿宋_GB2312" w:cs="仿宋_GB2312"/>
          <w:b w:val="0"/>
          <w:bCs w:val="0"/>
          <w:caps w:val="0"/>
          <w:color w:val="auto"/>
          <w:kern w:val="2"/>
          <w:sz w:val="32"/>
          <w:szCs w:val="32"/>
          <w:vertAlign w:val="baseline"/>
          <w:lang w:val="en-US" w:eastAsia="zh-CN" w:bidi="ar"/>
        </w:rPr>
        <w:t>所需的公务用车燃料费、维修费、过路过桥费、保险费等支出</w:t>
      </w:r>
      <w:r>
        <w:rPr>
          <w:rFonts w:hint="eastAsia" w:ascii="仿宋_GB2312" w:eastAsia="仿宋_GB2312" w:cs="仿宋_GB2312"/>
          <w:b w:val="0"/>
          <w:bCs w:val="0"/>
          <w:caps w:val="0"/>
          <w:color w:val="auto"/>
          <w:kern w:val="2"/>
          <w:sz w:val="32"/>
          <w:szCs w:val="32"/>
          <w:vertAlign w:val="baseline"/>
          <w:lang w:val="en-US" w:eastAsia="zh-CN" w:bidi="ar"/>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0.1万元，</w:t>
      </w:r>
      <w:r>
        <w:rPr>
          <w:rStyle w:val="17"/>
          <w:rFonts w:hint="eastAsia" w:ascii="仿宋" w:hAnsi="仿宋" w:eastAsia="仿宋"/>
          <w:b w:val="0"/>
          <w:bCs/>
          <w:color w:val="000000"/>
          <w:sz w:val="32"/>
          <w:szCs w:val="32"/>
        </w:rPr>
        <w:t>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rPr>
        <w:t>20年增加0.1万元，增长100</w:t>
      </w:r>
      <w:r>
        <w:rPr>
          <w:rFonts w:ascii="仿宋_GB2312" w:eastAsia="仿宋_GB2312"/>
          <w:color w:val="000000"/>
          <w:sz w:val="32"/>
          <w:szCs w:val="32"/>
        </w:rPr>
        <w:t>%</w:t>
      </w:r>
      <w:bookmarkStart w:id="100" w:name="_Toc15377218"/>
      <w:bookmarkStart w:id="101" w:name="_Toc15396610"/>
      <w:r>
        <w:rPr>
          <w:rFonts w:hint="eastAsia" w:ascii="仿宋_GB2312" w:eastAsia="仿宋_GB2312"/>
          <w:color w:val="000000"/>
          <w:sz w:val="32"/>
          <w:szCs w:val="32"/>
        </w:rPr>
        <w:t>。</w:t>
      </w:r>
      <w:r>
        <w:rPr>
          <w:rFonts w:hint="eastAsia" w:ascii="仿宋_GB2312" w:eastAsia="仿宋_GB2312"/>
          <w:sz w:val="32"/>
          <w:szCs w:val="32"/>
        </w:rPr>
        <w:t>主要原因是2021年接待省级预防艾梅乙母婴传播工作指导专家</w:t>
      </w:r>
      <w:r>
        <w:rPr>
          <w:rFonts w:hint="eastAsia" w:ascii="仿宋_GB2312" w:eastAsia="仿宋_GB2312"/>
          <w:sz w:val="32"/>
          <w:szCs w:val="32"/>
          <w:lang w:eastAsia="zh-CN"/>
        </w:rPr>
        <w:t>组</w:t>
      </w:r>
      <w:r>
        <w:rPr>
          <w:rFonts w:hint="eastAsia" w:ascii="仿宋_GB2312" w:eastAsia="仿宋_GB2312"/>
          <w:sz w:val="32"/>
          <w:szCs w:val="32"/>
        </w:rPr>
        <w:t>，产生接待费。</w:t>
      </w:r>
      <w:r>
        <w:rPr>
          <w:rFonts w:hint="eastAsia" w:ascii="仿宋_GB2312" w:eastAsia="仿宋_GB2312"/>
          <w:color w:val="000000"/>
          <w:sz w:val="32"/>
          <w:szCs w:val="32"/>
        </w:rPr>
        <w:t>其中：</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left"/>
        <w:outlineLvl w:val="9"/>
        <w:rPr>
          <w:rFonts w:hint="default" w:eastAsia="仿宋_GB2312"/>
          <w:lang w:val="en-US" w:eastAsia="zh-CN"/>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0.1</w:t>
      </w:r>
      <w:r>
        <w:rPr>
          <w:rFonts w:hint="eastAsia" w:ascii="仿宋_GB2312" w:eastAsia="仿宋_GB2312"/>
          <w:color w:val="000000"/>
          <w:sz w:val="32"/>
          <w:szCs w:val="32"/>
        </w:rPr>
        <w:t>万元，主要用于开展业务活动开支的用餐费等。</w:t>
      </w:r>
      <w:r>
        <w:rPr>
          <w:rFonts w:hint="eastAsia" w:ascii="仿宋_GB2312" w:eastAsia="仿宋_GB2312"/>
          <w:color w:val="000000"/>
          <w:sz w:val="32"/>
          <w:szCs w:val="32"/>
          <w:lang w:eastAsia="zh-CN"/>
        </w:rPr>
        <w:t>国内公务</w:t>
      </w:r>
      <w:r>
        <w:rPr>
          <w:rFonts w:hint="eastAsia" w:ascii="仿宋_GB2312" w:eastAsia="仿宋_GB2312"/>
          <w:color w:val="000000"/>
          <w:sz w:val="32"/>
          <w:szCs w:val="32"/>
        </w:rPr>
        <w:t>接待1批次，6人</w:t>
      </w:r>
      <w:r>
        <w:rPr>
          <w:rFonts w:hint="eastAsia" w:ascii="仿宋_GB2312" w:eastAsia="仿宋_GB2312"/>
          <w:color w:val="000000"/>
          <w:sz w:val="32"/>
          <w:szCs w:val="32"/>
          <w:lang w:eastAsia="zh-CN"/>
        </w:rPr>
        <w:t>次</w:t>
      </w:r>
      <w:r>
        <w:rPr>
          <w:rFonts w:hint="default" w:ascii="仿宋_GB2312" w:hAnsi="Times New Roman" w:eastAsia="仿宋_GB2312" w:cs="仿宋_GB2312"/>
          <w:b w:val="0"/>
          <w:bCs w:val="0"/>
          <w:caps w:val="0"/>
          <w:color w:val="auto"/>
          <w:kern w:val="2"/>
          <w:sz w:val="32"/>
          <w:szCs w:val="32"/>
          <w:vertAlign w:val="baseline"/>
          <w:lang w:val="en-US" w:eastAsia="zh-CN" w:bidi="ar"/>
        </w:rPr>
        <w:t>（不包括陪同人员），共计支出</w:t>
      </w:r>
      <w:r>
        <w:rPr>
          <w:rFonts w:hint="eastAsia" w:ascii="仿宋_GB2312" w:eastAsia="仿宋_GB2312" w:cs="仿宋_GB2312"/>
          <w:b w:val="0"/>
          <w:bCs w:val="0"/>
          <w:caps w:val="0"/>
          <w:color w:val="auto"/>
          <w:kern w:val="2"/>
          <w:sz w:val="32"/>
          <w:szCs w:val="32"/>
          <w:vertAlign w:val="baseline"/>
          <w:lang w:val="en-US" w:eastAsia="zh-CN" w:bidi="ar"/>
        </w:rPr>
        <w:t>0.1</w:t>
      </w:r>
      <w:r>
        <w:rPr>
          <w:rFonts w:hint="eastAsia" w:ascii="仿宋_GB2312" w:hAnsi="Times New Roman" w:eastAsia="仿宋_GB2312" w:cs="仿宋_GB2312"/>
          <w:b w:val="0"/>
          <w:bCs w:val="0"/>
          <w:caps w:val="0"/>
          <w:color w:val="auto"/>
          <w:kern w:val="2"/>
          <w:sz w:val="32"/>
          <w:szCs w:val="32"/>
          <w:vertAlign w:val="baseline"/>
          <w:lang w:val="en-US" w:eastAsia="zh-CN" w:bidi="ar"/>
        </w:rPr>
        <w:t>万元，</w:t>
      </w:r>
      <w:r>
        <w:rPr>
          <w:rFonts w:hint="eastAsia" w:ascii="仿宋_GB2312" w:eastAsia="仿宋_GB2312" w:cs="仿宋_GB2312"/>
          <w:b w:val="0"/>
          <w:bCs w:val="0"/>
          <w:caps w:val="0"/>
          <w:color w:val="auto"/>
          <w:kern w:val="2"/>
          <w:sz w:val="32"/>
          <w:szCs w:val="32"/>
          <w:vertAlign w:val="baseline"/>
          <w:lang w:val="en-US" w:eastAsia="zh-CN" w:bidi="ar"/>
        </w:rPr>
        <w:t>具体内容包括：</w:t>
      </w:r>
      <w:r>
        <w:rPr>
          <w:rFonts w:hint="eastAsia" w:ascii="仿宋_GB2312" w:eastAsia="仿宋_GB2312"/>
          <w:sz w:val="32"/>
          <w:szCs w:val="32"/>
        </w:rPr>
        <w:t>接待省级预防艾梅乙母婴传播工作指导</w:t>
      </w:r>
      <w:r>
        <w:rPr>
          <w:rFonts w:hint="eastAsia" w:ascii="仿宋_GB2312" w:eastAsia="仿宋_GB2312"/>
          <w:sz w:val="32"/>
          <w:szCs w:val="32"/>
          <w:lang w:eastAsia="zh-CN"/>
        </w:rPr>
        <w:t>专家组</w:t>
      </w:r>
      <w:r>
        <w:rPr>
          <w:rFonts w:hint="eastAsia" w:ascii="仿宋_GB2312" w:eastAsia="仿宋_GB2312"/>
          <w:sz w:val="32"/>
          <w:szCs w:val="32"/>
          <w:lang w:val="en-US" w:eastAsia="zh-CN"/>
        </w:rPr>
        <w:t>0.1万元。</w:t>
      </w:r>
    </w:p>
    <w:p>
      <w:pPr>
        <w:spacing w:line="600" w:lineRule="exact"/>
        <w:ind w:firstLine="642" w:firstLineChars="200"/>
        <w:outlineLvl w:val="9"/>
        <w:rPr>
          <w:rFonts w:ascii="黑体" w:eastAsia="黑体"/>
          <w:color w:val="000000"/>
          <w:sz w:val="32"/>
          <w:szCs w:val="32"/>
        </w:rPr>
      </w:pPr>
      <w:r>
        <w:rPr>
          <w:rFonts w:hint="eastAsia" w:ascii="仿宋" w:hAnsi="仿宋" w:eastAsia="仿宋"/>
          <w:b/>
          <w:color w:val="000000"/>
          <w:sz w:val="32"/>
          <w:szCs w:val="32"/>
        </w:rPr>
        <w:t>外事接待支出</w:t>
      </w:r>
      <w:r>
        <w:rPr>
          <w:rFonts w:ascii="仿宋" w:hAnsi="仿宋" w:eastAsia="仿宋"/>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人，共计支出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0"/>
          <w:rFonts w:ascii="黑体" w:hAnsi="黑体" w:eastAsia="黑体"/>
        </w:rPr>
      </w:pPr>
      <w:bookmarkStart w:id="102" w:name="_Toc1851934299_WPSOffice_Level2"/>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100"/>
      <w:bookmarkEnd w:id="101"/>
      <w:bookmarkEnd w:id="102"/>
    </w:p>
    <w:p>
      <w:pPr>
        <w:spacing w:line="600" w:lineRule="exact"/>
        <w:ind w:left="0" w:firstLine="640"/>
        <w:outlineLvl w:val="9"/>
        <w:rPr>
          <w:rStyle w:val="20"/>
          <w:rFonts w:ascii="黑体" w:hAnsi="黑体" w:eastAsia="黑体"/>
          <w:b w:val="0"/>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bookmarkStart w:id="103" w:name="_Toc15377219"/>
      <w:bookmarkStart w:id="104" w:name="_Toc15396611"/>
    </w:p>
    <w:p>
      <w:pPr>
        <w:numPr>
          <w:ilvl w:val="0"/>
          <w:numId w:val="2"/>
        </w:numPr>
        <w:spacing w:line="600" w:lineRule="exact"/>
        <w:ind w:firstLine="640"/>
        <w:outlineLvl w:val="1"/>
        <w:rPr>
          <w:rStyle w:val="20"/>
          <w:rFonts w:ascii="黑体" w:hAnsi="黑体" w:eastAsia="黑体"/>
          <w:b w:val="0"/>
        </w:rPr>
      </w:pPr>
      <w:bookmarkStart w:id="105" w:name="_Toc1278841334_WPSOffice_Level2"/>
      <w:r>
        <w:rPr>
          <w:rStyle w:val="20"/>
          <w:rFonts w:hint="eastAsia" w:ascii="黑体" w:hAnsi="黑体" w:eastAsia="黑体"/>
          <w:b w:val="0"/>
        </w:rPr>
        <w:t>国有资本经营预算支出决算情况说明</w:t>
      </w:r>
      <w:bookmarkEnd w:id="103"/>
      <w:bookmarkEnd w:id="104"/>
      <w:bookmarkEnd w:id="105"/>
    </w:p>
    <w:p>
      <w:pPr>
        <w:spacing w:line="600" w:lineRule="exact"/>
        <w:ind w:firstLine="640" w:firstLineChars="0"/>
        <w:outlineLvl w:val="9"/>
        <w:rPr>
          <w:rFonts w:ascii="黑体" w:hAnsi="黑体" w:eastAsia="黑体"/>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1年国有资本经营预算拨款支出0元。</w:t>
      </w:r>
      <w:bookmarkStart w:id="106" w:name="_Toc15377221"/>
      <w:bookmarkStart w:id="107" w:name="_Toc15396612"/>
    </w:p>
    <w:p>
      <w:pPr>
        <w:numPr>
          <w:ilvl w:val="0"/>
          <w:numId w:val="2"/>
        </w:numPr>
        <w:spacing w:line="600" w:lineRule="exact"/>
        <w:ind w:firstLine="640"/>
        <w:outlineLvl w:val="1"/>
        <w:rPr>
          <w:rStyle w:val="20"/>
          <w:rFonts w:ascii="黑体" w:hAnsi="黑体" w:eastAsia="黑体"/>
          <w:b w:val="0"/>
        </w:rPr>
      </w:pPr>
      <w:bookmarkStart w:id="108" w:name="_Toc1861324612_WPSOffice_Level2"/>
      <w:r>
        <w:rPr>
          <w:rStyle w:val="20"/>
          <w:rFonts w:hint="eastAsia" w:ascii="黑体" w:hAnsi="黑体" w:eastAsia="黑体"/>
          <w:b w:val="0"/>
        </w:rPr>
        <w:t>其他重要事项的情况说明</w:t>
      </w:r>
      <w:bookmarkEnd w:id="106"/>
      <w:bookmarkEnd w:id="107"/>
      <w:bookmarkEnd w:id="108"/>
    </w:p>
    <w:p>
      <w:pPr>
        <w:spacing w:line="600" w:lineRule="exact"/>
        <w:ind w:firstLine="642" w:firstLineChars="200"/>
        <w:outlineLvl w:val="2"/>
        <w:rPr>
          <w:rFonts w:ascii="仿宋" w:hAnsi="仿宋" w:eastAsia="仿宋"/>
          <w:color w:val="000000"/>
          <w:sz w:val="32"/>
          <w:szCs w:val="32"/>
        </w:rPr>
      </w:pPr>
      <w:bookmarkStart w:id="109" w:name="_Toc15377222"/>
      <w:bookmarkStart w:id="110" w:name="_Toc85123964"/>
      <w:r>
        <w:rPr>
          <w:rFonts w:hint="eastAsia" w:ascii="仿宋" w:hAnsi="仿宋" w:eastAsia="仿宋"/>
          <w:b/>
          <w:color w:val="000000"/>
          <w:sz w:val="32"/>
          <w:szCs w:val="32"/>
        </w:rPr>
        <w:t>（一）机关运行经费支出情况</w:t>
      </w:r>
      <w:bookmarkEnd w:id="109"/>
      <w:bookmarkEnd w:id="11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default" w:ascii="仿宋_GB2312" w:hAnsi="Times New Roman" w:eastAsia="仿宋_GB2312" w:cs="仿宋_GB2312"/>
          <w:b w:val="0"/>
          <w:bCs w:val="0"/>
          <w:caps w:val="0"/>
          <w:color w:val="auto"/>
          <w:kern w:val="2"/>
          <w:sz w:val="32"/>
          <w:szCs w:val="32"/>
          <w:vertAlign w:val="baseline"/>
          <w:lang w:val="en-US" w:eastAsia="zh-CN" w:bidi="ar"/>
        </w:rPr>
        <w:t>20</w:t>
      </w:r>
      <w:r>
        <w:rPr>
          <w:rFonts w:hint="eastAsia" w:ascii="仿宋_GB2312" w:hAnsi="Times New Roman" w:eastAsia="仿宋_GB2312" w:cs="仿宋_GB2312"/>
          <w:b w:val="0"/>
          <w:bCs w:val="0"/>
          <w:caps w:val="0"/>
          <w:color w:val="auto"/>
          <w:kern w:val="2"/>
          <w:sz w:val="32"/>
          <w:szCs w:val="32"/>
          <w:vertAlign w:val="baseline"/>
          <w:lang w:val="en-US" w:eastAsia="zh-CN" w:bidi="ar"/>
        </w:rPr>
        <w:t>21年，</w:t>
      </w:r>
      <w:r>
        <w:rPr>
          <w:rFonts w:hint="eastAsia" w:ascii="仿宋_GB2312" w:eastAsia="仿宋_GB2312" w:cs="仿宋_GB2312"/>
          <w:b w:val="0"/>
          <w:bCs w:val="0"/>
          <w:caps w:val="0"/>
          <w:color w:val="auto"/>
          <w:kern w:val="2"/>
          <w:sz w:val="32"/>
          <w:szCs w:val="32"/>
          <w:vertAlign w:val="baseline"/>
          <w:lang w:val="en-US" w:eastAsia="zh-CN" w:bidi="ar"/>
        </w:rPr>
        <w:t>攀枝花市妇幼保健院</w:t>
      </w:r>
      <w:r>
        <w:rPr>
          <w:rFonts w:hint="eastAsia" w:ascii="仿宋_GB2312" w:hAnsi="Times New Roman" w:eastAsia="仿宋_GB2312" w:cs="仿宋_GB2312"/>
          <w:b w:val="0"/>
          <w:bCs w:val="0"/>
          <w:caps w:val="0"/>
          <w:color w:val="auto"/>
          <w:kern w:val="2"/>
          <w:sz w:val="32"/>
          <w:szCs w:val="32"/>
          <w:vertAlign w:val="baseline"/>
          <w:lang w:val="en-US" w:eastAsia="zh-CN" w:bidi="ar"/>
        </w:rPr>
        <w:t>机关运行经费支出</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万元，与2020年决算数持平</w:t>
      </w:r>
      <w:r>
        <w:rPr>
          <w:rFonts w:hint="eastAsia" w:ascii="仿宋_GB2312" w:eastAsia="仿宋_GB2312" w:cs="仿宋_GB2312"/>
          <w:b w:val="0"/>
          <w:bCs w:val="0"/>
          <w:caps w:val="0"/>
          <w:color w:val="auto"/>
          <w:kern w:val="2"/>
          <w:sz w:val="32"/>
          <w:szCs w:val="32"/>
          <w:vertAlign w:val="baseline"/>
          <w:lang w:val="en-US" w:eastAsia="zh-CN" w:bidi="ar"/>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11" w:name="_Toc85123965"/>
      <w:bookmarkStart w:id="112" w:name="_Toc15377223"/>
      <w:r>
        <w:rPr>
          <w:rFonts w:hint="eastAsia" w:ascii="仿宋" w:hAnsi="仿宋" w:eastAsia="仿宋"/>
          <w:b/>
          <w:color w:val="000000"/>
          <w:sz w:val="32"/>
          <w:szCs w:val="32"/>
        </w:rPr>
        <w:t>（二）政府采购支出情况</w:t>
      </w:r>
      <w:bookmarkEnd w:id="111"/>
      <w:bookmarkEnd w:id="11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采购支出总额871.89万元，其中：政府采购货物支出753.09万元、政府采购工程支出0元、政府采购服务支出118.8万元。主要用于医疗专用设备、办公设备、保洁、安保等物业服务。授予中小企业合同金额1171.89万元，占政府采购支出总额的134</w:t>
      </w:r>
      <w:r>
        <w:rPr>
          <w:rFonts w:ascii="仿宋_GB2312" w:eastAsia="仿宋_GB2312"/>
          <w:color w:val="000000"/>
          <w:sz w:val="32"/>
          <w:szCs w:val="32"/>
        </w:rPr>
        <w:t>%</w:t>
      </w:r>
      <w:r>
        <w:rPr>
          <w:rFonts w:hint="eastAsia" w:ascii="仿宋_GB2312" w:eastAsia="仿宋_GB2312"/>
          <w:color w:val="000000"/>
          <w:sz w:val="32"/>
          <w:szCs w:val="32"/>
        </w:rPr>
        <w:t>，其中：授予小微企业合同金额1171.89万元，占政府采购支出总额的134</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13" w:name="_Toc85123966"/>
      <w:bookmarkStart w:id="114" w:name="_Toc15377224"/>
      <w:r>
        <w:rPr>
          <w:rFonts w:hint="eastAsia" w:ascii="仿宋" w:hAnsi="仿宋" w:eastAsia="仿宋"/>
          <w:b/>
          <w:color w:val="000000"/>
          <w:sz w:val="32"/>
          <w:szCs w:val="32"/>
        </w:rPr>
        <w:t>（三）国有资产占有使用情况</w:t>
      </w:r>
      <w:bookmarkEnd w:id="113"/>
      <w:bookmarkEnd w:id="11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日，我院共有车辆6辆，其中：主要领导干部用车0辆、机要通信用车0辆、应急保障用车0辆、特种专业技术用车3辆、其他用车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其他用车主要是用于日常业务及公务出行</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15" w:name="_Toc85123967"/>
      <w:r>
        <w:rPr>
          <w:rFonts w:hint="eastAsia" w:ascii="仿宋" w:hAnsi="仿宋" w:eastAsia="仿宋"/>
          <w:b/>
          <w:color w:val="000000"/>
          <w:sz w:val="32"/>
          <w:szCs w:val="32"/>
        </w:rPr>
        <w:t>（四）预算绩效管理情况。</w:t>
      </w:r>
      <w:bookmarkEnd w:id="115"/>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根据预算绩效管理要求，本单位在年初预算编制阶段，组织对援藏</w:t>
      </w:r>
      <w:r>
        <w:rPr>
          <w:rFonts w:ascii="仿宋_GB2312" w:hAnsi="仿宋_GB2312" w:eastAsia="仿宋_GB2312" w:cs="仿宋_GB2312"/>
          <w:sz w:val="32"/>
          <w:szCs w:val="32"/>
        </w:rPr>
        <w:t>援彝人才补助</w:t>
      </w:r>
      <w:r>
        <w:rPr>
          <w:rFonts w:hint="eastAsia" w:ascii="仿宋_GB2312" w:hAnsi="仿宋_GB2312" w:eastAsia="仿宋_GB2312" w:cs="仿宋_GB2312"/>
          <w:sz w:val="32"/>
          <w:szCs w:val="32"/>
        </w:rPr>
        <w:t>项目、机关事业单位养老保险改革补助项目、城市公立医院改革补助项目开展了预算事前绩效评估，对3个项目编制了绩效目标，预算执行过程中，选取3个项目开展绩效监控，年终执行完毕后，对12个项目开展了绩效目标完成情况自评，2021年特定目标类部门预算项目绩效目标自评表见附件（第四部分）。</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numPr>
          <w:ilvl w:val="0"/>
          <w:numId w:val="3"/>
        </w:numPr>
        <w:spacing w:line="600" w:lineRule="exact"/>
        <w:ind w:firstLine="660" w:firstLineChars="150"/>
        <w:jc w:val="center"/>
        <w:outlineLvl w:val="0"/>
        <w:rPr>
          <w:rStyle w:val="19"/>
          <w:rFonts w:ascii="黑体" w:hAnsi="黑体" w:eastAsia="黑体"/>
          <w:b w:val="0"/>
        </w:rPr>
      </w:pPr>
      <w:bookmarkStart w:id="116" w:name="_Toc15377225"/>
      <w:bookmarkStart w:id="117" w:name="_Toc15396613"/>
      <w:bookmarkStart w:id="118" w:name="_Toc1647466676_WPSOffice_Level1"/>
      <w:r>
        <w:rPr>
          <w:rFonts w:hint="eastAsia" w:ascii="黑体" w:hAnsi="黑体" w:eastAsia="黑体"/>
          <w:color w:val="000000"/>
          <w:sz w:val="44"/>
          <w:szCs w:val="44"/>
        </w:rPr>
        <w:t>名</w:t>
      </w:r>
      <w:r>
        <w:rPr>
          <w:rStyle w:val="19"/>
          <w:rFonts w:hint="eastAsia" w:ascii="黑体" w:hAnsi="黑体" w:eastAsia="黑体"/>
          <w:b w:val="0"/>
        </w:rPr>
        <w:t>词解释</w:t>
      </w:r>
      <w:bookmarkEnd w:id="116"/>
      <w:bookmarkEnd w:id="117"/>
      <w:bookmarkEnd w:id="118"/>
    </w:p>
    <w:p>
      <w:pPr>
        <w:spacing w:line="600" w:lineRule="exact"/>
        <w:jc w:val="left"/>
        <w:rPr>
          <w:rFonts w:ascii="宋体"/>
          <w:b/>
          <w:color w:val="000000"/>
          <w:sz w:val="44"/>
          <w:szCs w:val="44"/>
        </w:rPr>
      </w:pPr>
    </w:p>
    <w:p>
      <w:pPr>
        <w:pStyle w:val="2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其他收入：指单位取得的除上述收入以外的各项收入。主要是孕卡本、儿保本、新生儿筛查款、财产物资盘盈收入等。</w:t>
      </w:r>
      <w:r>
        <w:rPr>
          <w:rFonts w:ascii="仿宋_GB2312" w:eastAsia="仿宋_GB2312"/>
          <w:sz w:val="32"/>
          <w:szCs w:val="32"/>
        </w:rPr>
        <w:t xml:space="preserve"> </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人力资源事务（款）其他人力资源事务支出（项）：指反映除行政运行、一般行政管理事务、机关服务、政府特殊津贴、资助留学回国人员、博士后日常经费、引进人才费用、事业运行以外的其他人力资源事务方面的支出。一般公共服务（类）组织事务（款）其他组织事务支出（项）：指除行政运行、一般行政管理事务、机关服务、公务员事务、事业运行外的用于中国共产党组织部门的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事业单位离退休（项）：指实行归口管理的事业单位开支的离退休经费。社会保障和就业（类）抚恤（款）死亡抚恤（项）：指按规定用于烈士和牺牲、病故人员家属的一次性和定期抚恤金以及丧葬补助费。社会保障和就业（类）其他社会保障和就业支出（款）其他社会保障和就业支出（项）：指除人力资源和社会保障管理事务、民政管理事务、补充全国社会保障基金、行政事业单位离退休、企业改革补助、就业补助、抚恤、退役安置、社会福利、残疾人事业、红十字事业、最低生活保障、临时救助、特困人员救助供养、补充道路交通事故社会救助基金、其他生活救助、财政对基本养老保险基金的补助、财政对其他社会保险基金、退役军人管理事务外的用于社会保障和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卫生健康支出（类）公共卫生（款）妇幼保健机构（项）：指反映卫生健康部门所属妇幼保健机构的支出；卫生健康支出（类）公共卫生（款）基本公共卫生服务（项）：指反映基本公共卫生支出；卫生健康支出（类）公共卫生（款）重大公共卫生服务（项）：指反映重大疾病预防控制等重大公共卫生服务项目支出；卫生健康支出（类）公共卫生（款）突发公共卫生事件应急处理（项）：指反映用于突发公共卫生事件应急处理支出；卫生健康支出（类）其他卫生健康支出（款）其他卫生健康支出（项）：指除卫生健康管理事务、公立医院、基层医疗卫生机构、公共卫生、中医药、计划生育事务、行政事业单位医疗、财政对基本医疗保险基金的补助、医疗救助、优抚对象医疗、医疗保障管理事务、行政运行、老龄卫生健康事务以外的其他用于卫生健康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城乡社区（类）国有土地使用权出让收入安排的支出（款）土地开发支出（项）：反映新疆生产建设兵团和地方政府用于前期土地开发性支出以及前期土地开发相关费用的支出。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抗疫特别国债安排支出（类）基础设施建设（款）公共卫生体系建设（项）：指</w:t>
      </w:r>
      <w:r>
        <w:rPr>
          <w:rFonts w:hint="default" w:ascii="仿宋_GB2312" w:eastAsia="仿宋_GB2312"/>
          <w:color w:val="000000"/>
          <w:sz w:val="32"/>
          <w:szCs w:val="32"/>
          <w:lang w:val="en"/>
        </w:rPr>
        <w:t>抗疫特别国债</w:t>
      </w:r>
      <w:bookmarkStart w:id="142" w:name="_GoBack"/>
      <w:bookmarkEnd w:id="142"/>
      <w:r>
        <w:rPr>
          <w:rFonts w:hint="eastAsia" w:ascii="仿宋_GB2312" w:eastAsia="仿宋_GB2312"/>
          <w:color w:val="000000"/>
          <w:sz w:val="32"/>
          <w:szCs w:val="32"/>
        </w:rPr>
        <w:t>资金安排的公共卫生体系建设支出。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olor w:val="000000"/>
          <w:sz w:val="44"/>
          <w:szCs w:val="44"/>
        </w:rPr>
      </w:pPr>
      <w:bookmarkStart w:id="119" w:name="_Toc15396614"/>
      <w:bookmarkStart w:id="120"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19"/>
          <w:rFonts w:ascii="黑体" w:hAnsi="黑体" w:eastAsia="黑体"/>
          <w:b w:val="0"/>
        </w:rPr>
      </w:pPr>
      <w:bookmarkStart w:id="121" w:name="_Toc480479196_WPSOffice_Level1"/>
      <w:r>
        <w:rPr>
          <w:rFonts w:hint="eastAsia" w:ascii="黑体" w:hAnsi="黑体" w:eastAsia="黑体"/>
          <w:color w:val="000000"/>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119"/>
      <w:bookmarkEnd w:id="121"/>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378.11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378.11</w:t>
            </w:r>
          </w:p>
        </w:tc>
      </w:tr>
      <w:tr>
        <w:tblPrEx>
          <w:tblCellMar>
            <w:top w:w="0" w:type="dxa"/>
            <w:left w:w="108" w:type="dxa"/>
            <w:bottom w:w="0" w:type="dxa"/>
            <w:right w:w="108" w:type="dxa"/>
          </w:tblCellMar>
        </w:tblPrEx>
        <w:trPr>
          <w:trHeight w:val="598"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378.11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440" w:firstLineChars="600"/>
              <w:textAlignment w:val="center"/>
              <w:rPr>
                <w:rFonts w:ascii="宋体" w:hAnsi="宋体" w:cs="宋体"/>
                <w:sz w:val="24"/>
              </w:rPr>
            </w:pPr>
            <w:r>
              <w:rPr>
                <w:rFonts w:hint="eastAsia" w:ascii="宋体" w:hAnsi="宋体" w:cs="宋体"/>
                <w:sz w:val="24"/>
              </w:rPr>
              <w:t>378.11</w:t>
            </w:r>
          </w:p>
        </w:tc>
      </w:tr>
      <w:tr>
        <w:tblPrEx>
          <w:tblCellMar>
            <w:top w:w="0" w:type="dxa"/>
            <w:left w:w="108" w:type="dxa"/>
            <w:bottom w:w="0" w:type="dxa"/>
            <w:right w:w="108" w:type="dxa"/>
          </w:tblCellMar>
        </w:tblPrEx>
        <w:trPr>
          <w:trHeight w:val="21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546"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按时足额完成2021年正式职工的基本养老保险及职业年金缴费。</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按时足额完成了2021年正式职工的基本养老保险及职业年金缴费。</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正式职工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178人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178人</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养老保险与职业年金缴费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按时足额缴纳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按时足额缴纳</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1523"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基本养老保险缴费及职业年金缴费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378.11万元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378.11万元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保障职工利益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激励职工创造更多价值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激励职工创造更多价值</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职工满意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满意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满意</w:t>
            </w:r>
          </w:p>
        </w:tc>
      </w:tr>
      <w:bookmarkEnd w:id="120"/>
    </w:tbl>
    <w:p>
      <w:pPr>
        <w:widowControl/>
        <w:jc w:val="left"/>
        <w:rPr>
          <w:rFonts w:ascii="黑体" w:hAnsi="黑体" w:eastAsia="黑体"/>
          <w:color w:val="000000"/>
          <w:sz w:val="44"/>
          <w:szCs w:val="44"/>
        </w:rPr>
      </w:pPr>
      <w:bookmarkStart w:id="122" w:name="_Toc15396618"/>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 xml:space="preserve">      6</w:t>
            </w:r>
          </w:p>
        </w:tc>
      </w:tr>
      <w:tr>
        <w:tblPrEx>
          <w:tblCellMar>
            <w:top w:w="0" w:type="dxa"/>
            <w:left w:w="108" w:type="dxa"/>
            <w:bottom w:w="0" w:type="dxa"/>
            <w:right w:w="108" w:type="dxa"/>
          </w:tblCellMar>
        </w:tblPrEx>
        <w:trPr>
          <w:trHeight w:val="598"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440" w:firstLineChars="600"/>
              <w:textAlignment w:val="center"/>
              <w:rPr>
                <w:rFonts w:ascii="宋体" w:hAnsi="宋体" w:cs="宋体"/>
                <w:sz w:val="24"/>
              </w:rPr>
            </w:pPr>
            <w:r>
              <w:rPr>
                <w:rFonts w:hint="eastAsia" w:ascii="宋体" w:hAnsi="宋体" w:cs="宋体"/>
                <w:sz w:val="24"/>
              </w:rPr>
              <w:t>6</w:t>
            </w:r>
          </w:p>
        </w:tc>
      </w:tr>
      <w:tr>
        <w:trPr>
          <w:trHeight w:val="21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rPr>
          <w:trHeight w:val="546"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促进木里县的妇幼卫生事业发展，激发援藏援彝干部人才的支援热情</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促进了木里县的妇幼卫生事业发展，激发了援藏援彝干部人才的支援热情</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人数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2人</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按时拨付援藏干部补助</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按时足额缴纳</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按时足额缴纳</w:t>
            </w:r>
          </w:p>
        </w:tc>
      </w:tr>
      <w:tr>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1523"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2名援藏干部所需资金</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6万元</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6万元</w:t>
            </w:r>
          </w:p>
        </w:tc>
      </w:tr>
      <w:tr>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援藏干部工作热情</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激发干事创业热情</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激发干事创业热情</w:t>
            </w:r>
          </w:p>
        </w:tc>
      </w:tr>
      <w:tr>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援藏干部满意度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bl>
    <w:p>
      <w:pPr>
        <w:widowControl/>
        <w:jc w:val="center"/>
        <w:rPr>
          <w:rFonts w:ascii="黑体" w:hAnsi="黑体" w:eastAsia="黑体"/>
          <w:color w:val="000000"/>
          <w:sz w:val="44"/>
          <w:szCs w:val="44"/>
        </w:rPr>
      </w:pPr>
      <w:bookmarkStart w:id="123" w:name="_Toc1254471518_WPSOffice_Level2"/>
      <w:bookmarkStart w:id="124" w:name="_Toc2081540865_WPSOffice_Level2"/>
      <w:bookmarkStart w:id="125" w:name="_Toc659040322_WPSOffice_Level2"/>
      <w:r>
        <w:rPr>
          <w:rFonts w:hint="eastAsia" w:ascii="宋体" w:hAnsi="宋体" w:cs="宋体"/>
          <w:b/>
          <w:sz w:val="32"/>
          <w:szCs w:val="32"/>
        </w:rPr>
        <w:t>2021年特定目标类部门预算项目绩效目标自评</w:t>
      </w:r>
      <w:bookmarkEnd w:id="123"/>
      <w:bookmarkEnd w:id="124"/>
      <w:bookmarkEnd w:id="125"/>
    </w:p>
    <w:p>
      <w:pPr>
        <w:spacing w:line="600" w:lineRule="exact"/>
        <w:jc w:val="center"/>
        <w:outlineLvl w:val="0"/>
        <w:rPr>
          <w:rFonts w:ascii="黑体" w:hAnsi="黑体" w:eastAsia="黑体"/>
          <w:color w:val="000000"/>
          <w:sz w:val="44"/>
          <w:szCs w:val="44"/>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80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 xml:space="preserve">   80</w:t>
            </w:r>
          </w:p>
        </w:tc>
      </w:tr>
      <w:tr>
        <w:tblPrEx>
          <w:tblCellMar>
            <w:top w:w="0" w:type="dxa"/>
            <w:left w:w="108" w:type="dxa"/>
            <w:bottom w:w="0" w:type="dxa"/>
            <w:right w:w="108" w:type="dxa"/>
          </w:tblCellMar>
        </w:tblPrEx>
        <w:trPr>
          <w:trHeight w:val="598"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80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200" w:firstLineChars="500"/>
              <w:textAlignment w:val="center"/>
              <w:rPr>
                <w:rFonts w:ascii="宋体" w:hAnsi="宋体" w:cs="宋体"/>
                <w:sz w:val="24"/>
              </w:rPr>
            </w:pPr>
            <w:r>
              <w:rPr>
                <w:rFonts w:hint="eastAsia" w:ascii="宋体" w:hAnsi="宋体" w:cs="宋体"/>
                <w:sz w:val="24"/>
              </w:rPr>
              <w:t>80</w:t>
            </w:r>
          </w:p>
        </w:tc>
      </w:tr>
      <w:tr>
        <w:tblPrEx>
          <w:tblCellMar>
            <w:top w:w="0" w:type="dxa"/>
            <w:left w:w="108" w:type="dxa"/>
            <w:bottom w:w="0" w:type="dxa"/>
            <w:right w:w="108" w:type="dxa"/>
          </w:tblCellMar>
        </w:tblPrEx>
        <w:trPr>
          <w:trHeight w:val="21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546"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顺利完成卫生材料采购，促进公立医院发展。</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顺利完成卫生材料采购，促进公立医院发展。</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高值</w:t>
            </w:r>
            <w:r>
              <w:rPr>
                <w:rFonts w:ascii="仿宋_GB2312" w:hAnsi="仿宋_GB2312" w:eastAsia="仿宋_GB2312" w:cs="仿宋_GB2312"/>
                <w:sz w:val="28"/>
                <w:szCs w:val="28"/>
              </w:rPr>
              <w:t>耗材</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低值耗材采购数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1.2万件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1.2万件</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高值</w:t>
            </w:r>
            <w:r>
              <w:rPr>
                <w:rFonts w:ascii="仿宋_GB2312" w:hAnsi="仿宋_GB2312" w:eastAsia="仿宋_GB2312" w:cs="仿宋_GB2312"/>
                <w:sz w:val="28"/>
                <w:szCs w:val="28"/>
              </w:rPr>
              <w:t>耗材</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低值耗材采购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符合</w:t>
            </w:r>
            <w:r>
              <w:rPr>
                <w:rFonts w:ascii="仿宋_GB2312" w:hAnsi="仿宋_GB2312" w:eastAsia="仿宋_GB2312" w:cs="仿宋_GB2312"/>
                <w:sz w:val="28"/>
                <w:szCs w:val="28"/>
              </w:rPr>
              <w:t>临床业务需求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符合</w:t>
            </w:r>
            <w:r>
              <w:rPr>
                <w:rFonts w:ascii="仿宋_GB2312" w:hAnsi="仿宋_GB2312" w:eastAsia="仿宋_GB2312" w:cs="仿宋_GB2312"/>
                <w:sz w:val="28"/>
                <w:szCs w:val="28"/>
              </w:rPr>
              <w:t>临床业务需求</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78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耗材采购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提升医疗质量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提升医疗质量</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医疗质量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逐步提升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逐步提升</w:t>
            </w: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患者</w:t>
            </w:r>
            <w:r>
              <w:rPr>
                <w:rFonts w:ascii="仿宋_GB2312" w:hAnsi="仿宋_GB2312" w:eastAsia="仿宋_GB2312" w:cs="仿宋_GB2312"/>
                <w:sz w:val="28"/>
                <w:szCs w:val="28"/>
              </w:rPr>
              <w:t>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bl>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57" w:type="dxa"/>
        <w:tblInd w:w="0" w:type="dxa"/>
        <w:tblLayout w:type="fixed"/>
        <w:tblCellMar>
          <w:top w:w="0" w:type="dxa"/>
          <w:left w:w="108" w:type="dxa"/>
          <w:bottom w:w="0" w:type="dxa"/>
          <w:right w:w="108" w:type="dxa"/>
        </w:tblCellMar>
      </w:tblPr>
      <w:tblGrid>
        <w:gridCol w:w="2034"/>
        <w:gridCol w:w="1176"/>
        <w:gridCol w:w="1683"/>
        <w:gridCol w:w="1224"/>
        <w:gridCol w:w="1260"/>
        <w:gridCol w:w="2480"/>
      </w:tblGrid>
      <w:tr>
        <w:tblPrEx>
          <w:tblCellMar>
            <w:top w:w="0" w:type="dxa"/>
            <w:left w:w="108" w:type="dxa"/>
            <w:bottom w:w="0" w:type="dxa"/>
            <w:right w:w="108" w:type="dxa"/>
          </w:tblCellMar>
        </w:tblPrEx>
        <w:trPr>
          <w:trHeight w:val="247" w:hRule="atLeast"/>
        </w:trPr>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中共攀枝花市</w:t>
            </w:r>
            <w:r>
              <w:rPr>
                <w:rFonts w:hint="eastAsia" w:ascii="宋体" w:hAnsi="宋体" w:cs="宋体"/>
                <w:sz w:val="24"/>
              </w:rPr>
              <w:t>委</w:t>
            </w:r>
            <w:r>
              <w:rPr>
                <w:rFonts w:ascii="宋体" w:hAnsi="宋体" w:cs="宋体"/>
                <w:sz w:val="24"/>
              </w:rPr>
              <w:t>组织部</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blPrEx>
          <w:tblCellMar>
            <w:top w:w="0" w:type="dxa"/>
            <w:left w:w="108" w:type="dxa"/>
            <w:bottom w:w="0" w:type="dxa"/>
            <w:right w:w="108" w:type="dxa"/>
          </w:tblCellMar>
        </w:tblPrEx>
        <w:trPr>
          <w:trHeight w:val="331" w:hRule="atLeast"/>
        </w:trPr>
        <w:tc>
          <w:tcPr>
            <w:tcW w:w="32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1.49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 xml:space="preserve">  1.49</w:t>
            </w:r>
          </w:p>
        </w:tc>
      </w:tr>
      <w:tr>
        <w:tblPrEx>
          <w:tblCellMar>
            <w:top w:w="0" w:type="dxa"/>
            <w:left w:w="108" w:type="dxa"/>
            <w:bottom w:w="0" w:type="dxa"/>
            <w:right w:w="108" w:type="dxa"/>
          </w:tblCellMar>
        </w:tblPrEx>
        <w:trPr>
          <w:trHeight w:val="580" w:hRule="atLeast"/>
        </w:trPr>
        <w:tc>
          <w:tcPr>
            <w:tcW w:w="32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1.49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960" w:firstLineChars="400"/>
              <w:textAlignment w:val="center"/>
              <w:rPr>
                <w:rFonts w:ascii="宋体" w:hAnsi="宋体" w:cs="宋体"/>
                <w:sz w:val="24"/>
              </w:rPr>
            </w:pPr>
            <w:r>
              <w:rPr>
                <w:rFonts w:hint="eastAsia" w:ascii="宋体" w:hAnsi="宋体" w:cs="宋体"/>
                <w:sz w:val="24"/>
              </w:rPr>
              <w:t>1.49</w:t>
            </w:r>
          </w:p>
        </w:tc>
      </w:tr>
      <w:tr>
        <w:tblPrEx>
          <w:tblCellMar>
            <w:top w:w="0" w:type="dxa"/>
            <w:left w:w="108" w:type="dxa"/>
            <w:bottom w:w="0" w:type="dxa"/>
            <w:right w:w="108" w:type="dxa"/>
          </w:tblCellMar>
        </w:tblPrEx>
        <w:trPr>
          <w:trHeight w:val="205" w:hRule="atLeast"/>
        </w:trPr>
        <w:tc>
          <w:tcPr>
            <w:tcW w:w="32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1" w:hRule="atLeast"/>
        </w:trPr>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0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530" w:hRule="atLeast"/>
        </w:trPr>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082"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促进木里县的妇幼卫生事业发展，激发援藏援彝挂职干部人才的支援热情</w:t>
            </w:r>
          </w:p>
        </w:tc>
        <w:tc>
          <w:tcPr>
            <w:tcW w:w="374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促进了木里县的妇幼卫生事业发展，激发援藏援彝挂职干部人才的支援热情</w:t>
            </w:r>
          </w:p>
        </w:tc>
      </w:tr>
      <w:tr>
        <w:tblPrEx>
          <w:tblCellMar>
            <w:top w:w="0" w:type="dxa"/>
            <w:left w:w="108" w:type="dxa"/>
            <w:bottom w:w="0" w:type="dxa"/>
            <w:right w:w="108" w:type="dxa"/>
          </w:tblCellMar>
        </w:tblPrEx>
        <w:trPr>
          <w:trHeight w:val="673" w:hRule="atLeast"/>
        </w:trPr>
        <w:tc>
          <w:tcPr>
            <w:tcW w:w="203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7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03" w:hRule="atLeast"/>
        </w:trPr>
        <w:tc>
          <w:tcPr>
            <w:tcW w:w="20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挂职干部人数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2人</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2人</w:t>
            </w:r>
          </w:p>
        </w:tc>
      </w:tr>
      <w:tr>
        <w:tblPrEx>
          <w:tblCellMar>
            <w:top w:w="0" w:type="dxa"/>
            <w:left w:w="108" w:type="dxa"/>
            <w:bottom w:w="0" w:type="dxa"/>
            <w:right w:w="108" w:type="dxa"/>
          </w:tblCellMar>
        </w:tblPrEx>
        <w:trPr>
          <w:trHeight w:val="403" w:hRule="atLeast"/>
        </w:trPr>
        <w:tc>
          <w:tcPr>
            <w:tcW w:w="20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按时全额拨付挂职干部补贴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按时足额拨付补助资金</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按时足额拨付补助资金</w:t>
            </w:r>
          </w:p>
        </w:tc>
      </w:tr>
      <w:tr>
        <w:tblPrEx>
          <w:tblCellMar>
            <w:top w:w="0" w:type="dxa"/>
            <w:left w:w="108" w:type="dxa"/>
            <w:bottom w:w="0" w:type="dxa"/>
            <w:right w:w="108" w:type="dxa"/>
          </w:tblCellMar>
        </w:tblPrEx>
        <w:trPr>
          <w:trHeight w:val="403" w:hRule="atLeast"/>
        </w:trPr>
        <w:tc>
          <w:tcPr>
            <w:tcW w:w="20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按时拨付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761" w:hRule="atLeast"/>
        </w:trPr>
        <w:tc>
          <w:tcPr>
            <w:tcW w:w="20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2名挂职干部补助所需资金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1.49万元</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1.49万元</w:t>
            </w:r>
          </w:p>
        </w:tc>
      </w:tr>
      <w:tr>
        <w:tblPrEx>
          <w:tblCellMar>
            <w:top w:w="0" w:type="dxa"/>
            <w:left w:w="108" w:type="dxa"/>
            <w:bottom w:w="0" w:type="dxa"/>
            <w:right w:w="108" w:type="dxa"/>
          </w:tblCellMar>
        </w:tblPrEx>
        <w:trPr>
          <w:trHeight w:val="466" w:hRule="atLeast"/>
        </w:trPr>
        <w:tc>
          <w:tcPr>
            <w:tcW w:w="20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66" w:hRule="atLeast"/>
        </w:trPr>
        <w:tc>
          <w:tcPr>
            <w:tcW w:w="20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挂职干部工作热情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激发挂职干部工作热情</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激发挂职干部工作热情</w:t>
            </w:r>
          </w:p>
        </w:tc>
      </w:tr>
      <w:tr>
        <w:tblPrEx>
          <w:tblCellMar>
            <w:top w:w="0" w:type="dxa"/>
            <w:left w:w="108" w:type="dxa"/>
            <w:bottom w:w="0" w:type="dxa"/>
            <w:right w:w="108" w:type="dxa"/>
          </w:tblCellMar>
        </w:tblPrEx>
        <w:trPr>
          <w:trHeight w:val="560" w:hRule="atLeast"/>
        </w:trPr>
        <w:tc>
          <w:tcPr>
            <w:tcW w:w="20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66" w:hRule="atLeast"/>
        </w:trPr>
        <w:tc>
          <w:tcPr>
            <w:tcW w:w="203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14" w:hRule="atLeast"/>
        </w:trPr>
        <w:tc>
          <w:tcPr>
            <w:tcW w:w="20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挂职干部满意度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满意</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满意</w:t>
            </w:r>
          </w:p>
        </w:tc>
      </w:tr>
    </w:tbl>
    <w:p>
      <w:pPr>
        <w:spacing w:line="600" w:lineRule="exact"/>
        <w:outlineLvl w:val="0"/>
        <w:rPr>
          <w:rFonts w:ascii="黑体" w:hAnsi="黑体" w:eastAsia="黑体"/>
          <w:color w:val="000000"/>
          <w:sz w:val="44"/>
          <w:szCs w:val="44"/>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69.8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 xml:space="preserve">     69.8</w:t>
            </w:r>
          </w:p>
        </w:tc>
      </w:tr>
      <w:tr>
        <w:tblPrEx>
          <w:tblCellMar>
            <w:top w:w="0" w:type="dxa"/>
            <w:left w:w="108" w:type="dxa"/>
            <w:bottom w:w="0" w:type="dxa"/>
            <w:right w:w="108" w:type="dxa"/>
          </w:tblCellMar>
        </w:tblPrEx>
        <w:trPr>
          <w:trHeight w:val="598"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69.8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200" w:firstLineChars="500"/>
              <w:textAlignment w:val="center"/>
              <w:rPr>
                <w:rFonts w:ascii="宋体" w:hAnsi="宋体" w:cs="宋体"/>
                <w:sz w:val="24"/>
              </w:rPr>
            </w:pPr>
            <w:r>
              <w:rPr>
                <w:rFonts w:hint="eastAsia" w:ascii="宋体" w:hAnsi="宋体" w:cs="宋体"/>
                <w:sz w:val="24"/>
              </w:rPr>
              <w:t>69.8</w:t>
            </w:r>
          </w:p>
        </w:tc>
      </w:tr>
      <w:tr>
        <w:tblPrEx>
          <w:tblCellMar>
            <w:top w:w="0" w:type="dxa"/>
            <w:left w:w="108" w:type="dxa"/>
            <w:bottom w:w="0" w:type="dxa"/>
            <w:right w:w="108" w:type="dxa"/>
          </w:tblCellMar>
        </w:tblPrEx>
        <w:trPr>
          <w:trHeight w:val="21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546"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r>
              <w:rPr>
                <w:rFonts w:hint="eastAsia" w:ascii="宋体" w:hAnsi="宋体" w:cs="宋体"/>
                <w:kern w:val="0"/>
                <w:sz w:val="24"/>
              </w:rPr>
              <w:t>结合年初预算安排兑现高层次人才相关待遇69.8万元</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ascii="宋体" w:hAnsi="宋体" w:cs="宋体"/>
                <w:kern w:val="0"/>
                <w:sz w:val="24"/>
              </w:rPr>
              <w:t>结合年初预算安排兑现高层次人才相关待遇69.8万元</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兑现给个人待遇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35人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35人</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784"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兑现给个人待遇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69.8万元</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69.8万元</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保障我市人才工作顺利进行</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促进我市更好地发展</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促进我市更好地发展</w:t>
            </w: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收到优惠待遇的人才的满意程度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spacing w:line="600" w:lineRule="exact"/>
        <w:jc w:val="center"/>
        <w:outlineLvl w:val="0"/>
        <w:rPr>
          <w:rFonts w:ascii="黑体" w:hAnsi="黑体" w:eastAsia="黑体"/>
          <w:color w:val="000000"/>
          <w:sz w:val="44"/>
          <w:szCs w:val="44"/>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58.09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 xml:space="preserve">  58.09</w:t>
            </w:r>
          </w:p>
        </w:tc>
      </w:tr>
      <w:tr>
        <w:tblPrEx>
          <w:tblCellMar>
            <w:top w:w="0" w:type="dxa"/>
            <w:left w:w="108" w:type="dxa"/>
            <w:bottom w:w="0" w:type="dxa"/>
            <w:right w:w="108" w:type="dxa"/>
          </w:tblCellMar>
        </w:tblPrEx>
        <w:trPr>
          <w:trHeight w:val="598"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58.09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960" w:firstLineChars="400"/>
              <w:textAlignment w:val="center"/>
              <w:rPr>
                <w:rFonts w:ascii="宋体" w:hAnsi="宋体" w:cs="宋体"/>
                <w:sz w:val="24"/>
              </w:rPr>
            </w:pPr>
            <w:r>
              <w:rPr>
                <w:rFonts w:hint="eastAsia" w:ascii="宋体" w:hAnsi="宋体" w:cs="宋体"/>
                <w:sz w:val="24"/>
              </w:rPr>
              <w:t>58.09</w:t>
            </w:r>
          </w:p>
        </w:tc>
      </w:tr>
      <w:tr>
        <w:tblPrEx>
          <w:tblCellMar>
            <w:top w:w="0" w:type="dxa"/>
            <w:left w:w="108" w:type="dxa"/>
            <w:bottom w:w="0" w:type="dxa"/>
            <w:right w:w="108" w:type="dxa"/>
          </w:tblCellMar>
        </w:tblPrEx>
        <w:trPr>
          <w:trHeight w:val="21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546"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发放2014-2015年已退休“中人”一次性退休补贴资金</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发放2014-2015年已退休“中人”一次性退休补贴资金</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市本级已退休“中人”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12人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12人</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78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市本级已退休“中人”一次性补贴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58.09万元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58.09万元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收到补贴资金人员满意程度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 xml:space="preserve">  2.4</w:t>
            </w:r>
          </w:p>
        </w:tc>
      </w:tr>
      <w:tr>
        <w:tblPrEx>
          <w:tblCellMar>
            <w:top w:w="0" w:type="dxa"/>
            <w:left w:w="108" w:type="dxa"/>
            <w:bottom w:w="0" w:type="dxa"/>
            <w:right w:w="108" w:type="dxa"/>
          </w:tblCellMar>
        </w:tblPrEx>
        <w:trPr>
          <w:trHeight w:val="598"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960" w:firstLineChars="400"/>
              <w:textAlignment w:val="center"/>
              <w:rPr>
                <w:rFonts w:ascii="宋体" w:hAnsi="宋体" w:cs="宋体"/>
                <w:sz w:val="24"/>
              </w:rPr>
            </w:pPr>
            <w:r>
              <w:rPr>
                <w:rFonts w:hint="eastAsia" w:ascii="宋体" w:hAnsi="宋体" w:cs="宋体"/>
                <w:sz w:val="24"/>
              </w:rPr>
              <w:t>2.4</w:t>
            </w:r>
          </w:p>
        </w:tc>
      </w:tr>
      <w:tr>
        <w:tblPrEx>
          <w:tblCellMar>
            <w:top w:w="0" w:type="dxa"/>
            <w:left w:w="108" w:type="dxa"/>
            <w:bottom w:w="0" w:type="dxa"/>
            <w:right w:w="108" w:type="dxa"/>
          </w:tblCellMar>
        </w:tblPrEx>
        <w:trPr>
          <w:trHeight w:val="21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546"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强化民族地区卫生人才队伍能力提升。全面实施贫困地区城乡医疗卫生对口支援“传帮带”工程，圆满完成2021年对口支援基层医疗机构临床骨干人员进修工作任务。</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强化民族地区卫生人才队伍能力提升。全面实施贫困地区城乡医疗卫生对口支援“传帮带”工程，圆满完成2021年对口支援基层医疗机构临床骨干人员进修工作任务。</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对口支援基层医疗机构临床骨干人员进修人数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1人</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项目完成时间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78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对口支援骨干人员补助资金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2.4万元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2.4万元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81"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58"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服务对象满意程度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bl>
    <w:p>
      <w:pPr>
        <w:spacing w:line="600" w:lineRule="exact"/>
        <w:outlineLvl w:val="0"/>
        <w:rPr>
          <w:rFonts w:ascii="黑体" w:hAnsi="黑体" w:eastAsia="黑体"/>
          <w:color w:val="000000"/>
          <w:sz w:val="44"/>
          <w:szCs w:val="44"/>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11.1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 xml:space="preserve">  11.1</w:t>
            </w:r>
          </w:p>
        </w:tc>
      </w:tr>
      <w:tr>
        <w:tblPrEx>
          <w:tblCellMar>
            <w:top w:w="0" w:type="dxa"/>
            <w:left w:w="108" w:type="dxa"/>
            <w:bottom w:w="0" w:type="dxa"/>
            <w:right w:w="108" w:type="dxa"/>
          </w:tblCellMar>
        </w:tblPrEx>
        <w:trPr>
          <w:trHeight w:val="598"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11.1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960" w:firstLineChars="400"/>
              <w:textAlignment w:val="center"/>
              <w:rPr>
                <w:rFonts w:ascii="宋体" w:hAnsi="宋体" w:cs="宋体"/>
                <w:sz w:val="24"/>
              </w:rPr>
            </w:pPr>
            <w:r>
              <w:rPr>
                <w:rFonts w:hint="eastAsia" w:ascii="宋体" w:hAnsi="宋体" w:cs="宋体"/>
                <w:sz w:val="24"/>
              </w:rPr>
              <w:t>11.1</w:t>
            </w:r>
          </w:p>
        </w:tc>
      </w:tr>
      <w:tr>
        <w:trPr>
          <w:trHeight w:val="21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rPr>
          <w:trHeight w:val="546"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目标1：开展对重点疾病及危害因素检测，有效控制疾病流行，为制定相关政策提供科学依据。               目标2：推进妇幼健康工作。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目标1：开展对重点疾病及危害因素检测，有效控制疾病流行，为制定相关政策提供科学依据。               目标2：推进妇幼健康工作。</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传染病</w:t>
            </w:r>
            <w:r>
              <w:rPr>
                <w:rFonts w:ascii="仿宋_GB2312" w:hAnsi="仿宋_GB2312" w:eastAsia="仿宋_GB2312" w:cs="仿宋_GB2312"/>
                <w:sz w:val="28"/>
                <w:szCs w:val="28"/>
              </w:rPr>
              <w:t>报告管理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降低漏报率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未发生</w:t>
            </w:r>
            <w:r>
              <w:rPr>
                <w:rFonts w:ascii="仿宋_GB2312" w:hAnsi="仿宋_GB2312" w:eastAsia="仿宋_GB2312" w:cs="仿宋_GB2312"/>
                <w:sz w:val="28"/>
                <w:szCs w:val="28"/>
              </w:rPr>
              <w:t>漏报</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458"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城乡居民卫生差异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不断缩小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不断缩小</w:t>
            </w:r>
          </w:p>
        </w:tc>
      </w:tr>
      <w:tr>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基本公共卫生服务水平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不断提高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不断提高</w:t>
            </w:r>
          </w:p>
        </w:tc>
      </w:tr>
      <w:tr>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服务对象满意程度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不断提高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不断提高</w:t>
            </w:r>
          </w:p>
        </w:tc>
      </w:tr>
    </w:tbl>
    <w:p>
      <w:pPr>
        <w:spacing w:line="600" w:lineRule="exact"/>
        <w:jc w:val="center"/>
        <w:outlineLvl w:val="0"/>
        <w:rPr>
          <w:rFonts w:ascii="黑体" w:hAnsi="黑体" w:eastAsia="黑体"/>
          <w:color w:val="000000"/>
          <w:sz w:val="44"/>
          <w:szCs w:val="44"/>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42.1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 xml:space="preserve"> 8.94</w:t>
            </w:r>
          </w:p>
        </w:tc>
      </w:tr>
      <w:tr>
        <w:tblPrEx>
          <w:tblCellMar>
            <w:top w:w="0" w:type="dxa"/>
            <w:left w:w="108" w:type="dxa"/>
            <w:bottom w:w="0" w:type="dxa"/>
            <w:right w:w="108" w:type="dxa"/>
          </w:tblCellMar>
        </w:tblPrEx>
        <w:trPr>
          <w:trHeight w:val="598"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42.1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960" w:firstLineChars="400"/>
              <w:textAlignment w:val="center"/>
              <w:rPr>
                <w:rFonts w:ascii="宋体" w:hAnsi="宋体" w:cs="宋体"/>
                <w:sz w:val="24"/>
              </w:rPr>
            </w:pPr>
            <w:r>
              <w:rPr>
                <w:rFonts w:hint="eastAsia" w:ascii="宋体" w:hAnsi="宋体" w:cs="宋体"/>
                <w:sz w:val="24"/>
              </w:rPr>
              <w:t>8.94</w:t>
            </w:r>
          </w:p>
        </w:tc>
      </w:tr>
      <w:tr>
        <w:tblPrEx>
          <w:tblCellMar>
            <w:top w:w="0" w:type="dxa"/>
            <w:left w:w="108" w:type="dxa"/>
            <w:bottom w:w="0" w:type="dxa"/>
            <w:right w:w="108" w:type="dxa"/>
          </w:tblCellMar>
        </w:tblPrEx>
        <w:trPr>
          <w:trHeight w:val="21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546"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进一步完善“政府组织领导、部门各负其责、全社会共同参与”的防治机制,全面落实各项艾滋病预防控制措施，提高发现率，扩大治疗覆盖面，提升治疗成功率，降低死亡率，降低新发感染，提高感染者和病人的生活质量。</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进一步完善“政府组织领导、部门各负其责、全社会共同参与”的防治机制,全面落实各项艾滋病预防控制措施，提高发现率，扩大治疗覆盖面，提升治疗成功率，降低死亡率，降低新发感染，提高感染者和病人的生活质量。</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全市母婴阻断督导</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4次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4次</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艾滋病母婴传播率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项目完成时间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36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81"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艾滋病传播率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降低</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降低</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5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艾滋病母婴传播率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降低</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降低</w:t>
            </w: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服务对象满意程度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满意</w:t>
            </w:r>
          </w:p>
        </w:tc>
      </w:tr>
    </w:tbl>
    <w:p>
      <w:pPr>
        <w:spacing w:line="600" w:lineRule="exact"/>
        <w:jc w:val="center"/>
        <w:outlineLvl w:val="0"/>
        <w:rPr>
          <w:rFonts w:ascii="黑体" w:hAnsi="黑体" w:eastAsia="黑体"/>
          <w:color w:val="000000"/>
          <w:sz w:val="44"/>
          <w:szCs w:val="44"/>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92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jc w:val="center"/>
              <w:textAlignment w:val="center"/>
              <w:rPr>
                <w:rFonts w:ascii="宋体" w:hAnsi="宋体" w:cs="宋体"/>
                <w:sz w:val="24"/>
              </w:rPr>
            </w:pPr>
            <w:r>
              <w:rPr>
                <w:rFonts w:hint="eastAsia" w:ascii="宋体" w:hAnsi="宋体" w:cs="宋体"/>
                <w:sz w:val="24"/>
              </w:rPr>
              <w:t>92</w:t>
            </w:r>
          </w:p>
        </w:tc>
      </w:tr>
      <w:tr>
        <w:tblPrEx>
          <w:tblCellMar>
            <w:top w:w="0" w:type="dxa"/>
            <w:left w:w="108" w:type="dxa"/>
            <w:bottom w:w="0" w:type="dxa"/>
            <w:right w:w="108" w:type="dxa"/>
          </w:tblCellMar>
        </w:tblPrEx>
        <w:trPr>
          <w:trHeight w:val="588"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92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960" w:firstLineChars="400"/>
              <w:jc w:val="center"/>
              <w:textAlignment w:val="center"/>
              <w:rPr>
                <w:rFonts w:ascii="宋体" w:hAnsi="宋体" w:cs="宋体"/>
                <w:sz w:val="24"/>
              </w:rPr>
            </w:pPr>
            <w:r>
              <w:rPr>
                <w:rFonts w:hint="eastAsia" w:ascii="宋体" w:hAnsi="宋体" w:cs="宋体"/>
                <w:sz w:val="24"/>
              </w:rPr>
              <w:t>92</w:t>
            </w:r>
          </w:p>
        </w:tc>
      </w:tr>
      <w:tr>
        <w:tblPrEx>
          <w:tblCellMar>
            <w:top w:w="0" w:type="dxa"/>
            <w:left w:w="108" w:type="dxa"/>
            <w:bottom w:w="0" w:type="dxa"/>
            <w:right w:w="108" w:type="dxa"/>
          </w:tblCellMar>
        </w:tblPrEx>
        <w:trPr>
          <w:trHeight w:val="21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546"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深化公立医院综合改革，建立健全现代医院管理制度，协调推进药品耗材改革、人事薪酬制度改革等，提高医疗卫生服务质量，提升患者满意度。</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深化公立医院综合改革，建立健全现代医院管理制度，协调推进药品耗材改革、人事薪酬制度改革等，提高医疗卫生服务质量，提升患者满意度。</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对口支援人数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5人</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项目完成时间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36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百元医疗收入的医疗支出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低于2020年水平</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低于2020年水平</w:t>
            </w:r>
          </w:p>
        </w:tc>
      </w:tr>
      <w:tr>
        <w:tblPrEx>
          <w:tblCellMar>
            <w:top w:w="0" w:type="dxa"/>
            <w:left w:w="108" w:type="dxa"/>
            <w:bottom w:w="0" w:type="dxa"/>
            <w:right w:w="108" w:type="dxa"/>
          </w:tblCellMar>
        </w:tblPrEx>
        <w:trPr>
          <w:trHeight w:val="47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1721"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每门急诊人次平均收费水平增长比例</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较</w:t>
            </w:r>
            <w:r>
              <w:rPr>
                <w:rFonts w:hint="eastAsia" w:ascii="仿宋_GB2312" w:hAnsi="仿宋_GB2312" w:eastAsia="仿宋_GB2312" w:cs="仿宋_GB2312"/>
                <w:sz w:val="28"/>
                <w:szCs w:val="28"/>
              </w:rPr>
              <w:t>2020年</w:t>
            </w:r>
            <w:r>
              <w:rPr>
                <w:rFonts w:ascii="仿宋_GB2312" w:hAnsi="仿宋_GB2312" w:eastAsia="仿宋_GB2312" w:cs="仿宋_GB2312"/>
                <w:sz w:val="28"/>
                <w:szCs w:val="28"/>
              </w:rPr>
              <w:t>降低</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较</w:t>
            </w:r>
            <w:r>
              <w:rPr>
                <w:rFonts w:hint="eastAsia" w:ascii="仿宋_GB2312" w:hAnsi="仿宋_GB2312" w:eastAsia="仿宋_GB2312" w:cs="仿宋_GB2312"/>
                <w:sz w:val="28"/>
                <w:szCs w:val="28"/>
              </w:rPr>
              <w:t>2020年</w:t>
            </w:r>
            <w:r>
              <w:rPr>
                <w:rFonts w:ascii="仿宋_GB2312" w:hAnsi="仿宋_GB2312" w:eastAsia="仿宋_GB2312" w:cs="仿宋_GB2312"/>
                <w:sz w:val="28"/>
                <w:szCs w:val="28"/>
              </w:rPr>
              <w:t>降低</w:t>
            </w:r>
          </w:p>
        </w:tc>
      </w:tr>
      <w:tr>
        <w:tblPrEx>
          <w:tblCellMar>
            <w:top w:w="0" w:type="dxa"/>
            <w:left w:w="108" w:type="dxa"/>
            <w:bottom w:w="0" w:type="dxa"/>
            <w:right w:w="108" w:type="dxa"/>
          </w:tblCellMar>
        </w:tblPrEx>
        <w:trPr>
          <w:trHeight w:val="45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管理费占公立医院业务支出的比例</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较</w:t>
            </w:r>
            <w:r>
              <w:rPr>
                <w:rFonts w:hint="eastAsia" w:ascii="仿宋_GB2312" w:hAnsi="仿宋_GB2312" w:eastAsia="仿宋_GB2312" w:cs="仿宋_GB2312"/>
                <w:sz w:val="28"/>
                <w:szCs w:val="28"/>
              </w:rPr>
              <w:t>2020年</w:t>
            </w:r>
            <w:r>
              <w:rPr>
                <w:rFonts w:ascii="仿宋_GB2312" w:hAnsi="仿宋_GB2312" w:eastAsia="仿宋_GB2312" w:cs="仿宋_GB2312"/>
                <w:sz w:val="28"/>
                <w:szCs w:val="28"/>
              </w:rPr>
              <w:t>降低</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较</w:t>
            </w:r>
            <w:r>
              <w:rPr>
                <w:rFonts w:hint="eastAsia" w:ascii="仿宋_GB2312" w:hAnsi="仿宋_GB2312" w:eastAsia="仿宋_GB2312" w:cs="仿宋_GB2312"/>
                <w:sz w:val="28"/>
                <w:szCs w:val="28"/>
              </w:rPr>
              <w:t>2020年</w:t>
            </w:r>
            <w:r>
              <w:rPr>
                <w:rFonts w:ascii="仿宋_GB2312" w:hAnsi="仿宋_GB2312" w:eastAsia="仿宋_GB2312" w:cs="仿宋_GB2312"/>
                <w:sz w:val="28"/>
                <w:szCs w:val="28"/>
              </w:rPr>
              <w:t>降低</w:t>
            </w: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服务对象满意程度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不断提高</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不断提高</w:t>
            </w:r>
          </w:p>
        </w:tc>
      </w:tr>
    </w:tbl>
    <w:p>
      <w:pPr>
        <w:spacing w:line="600" w:lineRule="exact"/>
        <w:jc w:val="center"/>
        <w:outlineLvl w:val="0"/>
        <w:rPr>
          <w:rFonts w:ascii="黑体" w:hAnsi="黑体" w:eastAsia="黑体"/>
          <w:color w:val="000000"/>
          <w:sz w:val="44"/>
          <w:szCs w:val="44"/>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overflowPunct w:val="0"/>
        <w:topLinePunct/>
        <w:spacing w:line="580" w:lineRule="exact"/>
        <w:rPr>
          <w:rFonts w:ascii="仿宋_GB2312" w:hAnsi="宋体" w:eastAsia="仿宋_GB2312" w:cs="宋体"/>
          <w:color w:val="000000"/>
          <w:kern w:val="0"/>
          <w:sz w:val="32"/>
          <w:szCs w:val="32"/>
          <w:shd w:val="clear" w:color="auto" w:fill="FFFFFF"/>
        </w:rPr>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攀枝花市卫生健康委员会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攀枝花市妇幼保健院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 xml:space="preserve"> 3</w:t>
            </w:r>
          </w:p>
        </w:tc>
      </w:tr>
      <w:tr>
        <w:tblPrEx>
          <w:tblCellMar>
            <w:top w:w="0" w:type="dxa"/>
            <w:left w:w="108" w:type="dxa"/>
            <w:bottom w:w="0" w:type="dxa"/>
            <w:right w:w="108" w:type="dxa"/>
          </w:tblCellMar>
        </w:tblPrEx>
        <w:trPr>
          <w:trHeight w:val="598"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960" w:firstLineChars="400"/>
              <w:textAlignment w:val="center"/>
              <w:rPr>
                <w:rFonts w:ascii="宋体" w:hAnsi="宋体" w:cs="宋体"/>
                <w:sz w:val="24"/>
              </w:rPr>
            </w:pPr>
            <w:r>
              <w:rPr>
                <w:rFonts w:hint="eastAsia" w:ascii="宋体" w:hAnsi="宋体" w:cs="宋体"/>
                <w:sz w:val="24"/>
              </w:rPr>
              <w:t>3</w:t>
            </w:r>
          </w:p>
        </w:tc>
      </w:tr>
      <w:tr>
        <w:tblPrEx>
          <w:tblCellMar>
            <w:top w:w="0" w:type="dxa"/>
            <w:left w:w="108" w:type="dxa"/>
            <w:bottom w:w="0" w:type="dxa"/>
            <w:right w:w="108" w:type="dxa"/>
          </w:tblCellMar>
        </w:tblPrEx>
        <w:trPr>
          <w:trHeight w:val="21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546"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提升公立医院核酸检测能力</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 w:val="24"/>
              </w:rPr>
              <w:t>提升公立医院核酸检测能力</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设备购置数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1台</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设备质量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满足临床需求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满足临床需求</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_GB2312" w:hAnsi="仿宋_GB2312" w:eastAsia="仿宋_GB2312" w:cs="仿宋_GB2312"/>
                <w:sz w:val="28"/>
                <w:szCs w:val="28"/>
              </w:rPr>
              <w:t>项目完成时间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w:t>
            </w:r>
          </w:p>
        </w:tc>
      </w:tr>
      <w:tr>
        <w:tblPrEx>
          <w:tblCellMar>
            <w:top w:w="0" w:type="dxa"/>
            <w:left w:w="108" w:type="dxa"/>
            <w:bottom w:w="0" w:type="dxa"/>
            <w:right w:w="108" w:type="dxa"/>
          </w:tblCellMar>
        </w:tblPrEx>
        <w:trPr>
          <w:trHeight w:val="36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每台</w:t>
            </w:r>
            <w:r>
              <w:rPr>
                <w:rFonts w:ascii="仿宋_GB2312" w:hAnsi="仿宋_GB2312" w:eastAsia="仿宋_GB2312" w:cs="仿宋_GB2312"/>
                <w:sz w:val="28"/>
                <w:szCs w:val="28"/>
              </w:rPr>
              <w:t>设备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81"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群众核酸检测需求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满足不断提升的核酸检测需求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满足不断提升的核酸检测需求</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5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群众满意程度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bl>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bCs/>
          <w:kern w:val="44"/>
          <w:sz w:val="44"/>
          <w:szCs w:val="44"/>
        </w:rPr>
      </w:pPr>
      <w:bookmarkStart w:id="126" w:name="_Toc1238062989_WPSOffice_Level1"/>
      <w:r>
        <w:rPr>
          <w:rFonts w:hint="eastAsia" w:ascii="黑体" w:hAnsi="黑体" w:eastAsia="黑体"/>
          <w:color w:val="000000"/>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122"/>
      <w:bookmarkEnd w:id="126"/>
    </w:p>
    <w:p>
      <w:pPr>
        <w:pStyle w:val="3"/>
        <w:numPr>
          <w:ilvl w:val="0"/>
          <w:numId w:val="4"/>
        </w:numPr>
        <w:spacing w:before="0" w:after="0"/>
        <w:rPr>
          <w:rStyle w:val="20"/>
          <w:rFonts w:ascii="仿宋" w:hAnsi="仿宋" w:eastAsia="仿宋"/>
          <w:b w:val="0"/>
          <w:bCs w:val="0"/>
        </w:rPr>
      </w:pPr>
      <w:bookmarkStart w:id="127" w:name="_Toc15396619"/>
      <w:bookmarkStart w:id="128" w:name="_Toc2047363522_WPSOffice_Level2"/>
      <w:r>
        <w:rPr>
          <w:rFonts w:hint="eastAsia" w:ascii="仿宋" w:hAnsi="仿宋" w:eastAsia="仿宋"/>
          <w:b w:val="0"/>
          <w:color w:val="000000"/>
        </w:rPr>
        <w:t>收</w:t>
      </w:r>
      <w:r>
        <w:rPr>
          <w:rStyle w:val="20"/>
          <w:rFonts w:hint="eastAsia" w:ascii="仿宋" w:hAnsi="仿宋" w:eastAsia="仿宋"/>
          <w:b w:val="0"/>
          <w:bCs w:val="0"/>
        </w:rPr>
        <w:t>入支出决算总表</w:t>
      </w:r>
      <w:bookmarkEnd w:id="127"/>
      <w:bookmarkEnd w:id="128"/>
    </w:p>
    <w:p>
      <w:pPr>
        <w:pStyle w:val="3"/>
        <w:numPr>
          <w:ilvl w:val="0"/>
          <w:numId w:val="4"/>
        </w:numPr>
        <w:spacing w:before="0" w:after="0"/>
        <w:rPr>
          <w:rFonts w:ascii="仿宋" w:hAnsi="仿宋" w:eastAsia="仿宋"/>
          <w:b w:val="0"/>
          <w:bCs w:val="0"/>
        </w:rPr>
      </w:pPr>
      <w:bookmarkStart w:id="129" w:name="_Toc837217151_WPSOffice_Level2"/>
      <w:r>
        <w:rPr>
          <w:rFonts w:hint="eastAsia" w:ascii="仿宋" w:hAnsi="仿宋" w:eastAsia="仿宋"/>
          <w:b w:val="0"/>
          <w:color w:val="000000"/>
        </w:rPr>
        <w:t>收</w:t>
      </w:r>
      <w:r>
        <w:rPr>
          <w:rStyle w:val="20"/>
          <w:rFonts w:hint="eastAsia" w:ascii="仿宋" w:hAnsi="仿宋" w:eastAsia="仿宋"/>
          <w:b w:val="0"/>
          <w:bCs w:val="0"/>
        </w:rPr>
        <w:t>入决算表</w:t>
      </w:r>
      <w:bookmarkEnd w:id="129"/>
    </w:p>
    <w:p>
      <w:pPr>
        <w:pStyle w:val="3"/>
        <w:spacing w:before="0" w:after="0"/>
        <w:rPr>
          <w:rFonts w:ascii="仿宋" w:hAnsi="仿宋" w:eastAsia="仿宋"/>
          <w:color w:val="000000"/>
        </w:rPr>
      </w:pPr>
      <w:bookmarkStart w:id="130" w:name="_Toc718028214_WPSOffice_Level2"/>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130"/>
    </w:p>
    <w:p>
      <w:pPr>
        <w:pStyle w:val="3"/>
        <w:spacing w:before="0" w:after="0"/>
        <w:rPr>
          <w:rFonts w:ascii="仿宋" w:hAnsi="仿宋" w:eastAsia="仿宋"/>
          <w:color w:val="000000"/>
        </w:rPr>
      </w:pPr>
      <w:bookmarkStart w:id="131" w:name="_Toc1383651782_WPSOffice_Level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131"/>
    </w:p>
    <w:p>
      <w:pPr>
        <w:pStyle w:val="3"/>
        <w:spacing w:before="0" w:after="0"/>
        <w:rPr>
          <w:rStyle w:val="20"/>
          <w:rFonts w:ascii="仿宋" w:hAnsi="仿宋" w:eastAsia="仿宋"/>
          <w:b/>
          <w:bCs/>
          <w:color w:val="000000"/>
        </w:rPr>
      </w:pPr>
      <w:bookmarkStart w:id="132" w:name="_Toc1444551550_WPSOffice_Level2"/>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132"/>
    </w:p>
    <w:p>
      <w:pPr>
        <w:pStyle w:val="3"/>
        <w:spacing w:before="0" w:after="0"/>
        <w:rPr>
          <w:rFonts w:ascii="仿宋" w:hAnsi="仿宋" w:eastAsia="仿宋"/>
          <w:color w:val="000000"/>
        </w:rPr>
      </w:pPr>
      <w:bookmarkStart w:id="133" w:name="_Toc531812657_WPSOffice_Level2"/>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133"/>
    </w:p>
    <w:p>
      <w:pPr>
        <w:pStyle w:val="3"/>
        <w:spacing w:before="0" w:after="0"/>
        <w:rPr>
          <w:rFonts w:ascii="仿宋" w:hAnsi="仿宋" w:eastAsia="仿宋"/>
          <w:color w:val="000000"/>
        </w:rPr>
      </w:pPr>
      <w:bookmarkStart w:id="134" w:name="_Toc38061258_WPSOffice_Level2"/>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134"/>
    </w:p>
    <w:p>
      <w:pPr>
        <w:pStyle w:val="3"/>
        <w:spacing w:before="0" w:after="0"/>
        <w:rPr>
          <w:rFonts w:ascii="仿宋" w:hAnsi="仿宋" w:eastAsia="仿宋"/>
          <w:color w:val="000000"/>
        </w:rPr>
      </w:pPr>
      <w:bookmarkStart w:id="135" w:name="_Toc826722044_WPSOffice_Level2"/>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135"/>
    </w:p>
    <w:p>
      <w:pPr>
        <w:pStyle w:val="3"/>
        <w:spacing w:before="0" w:after="0"/>
        <w:rPr>
          <w:rFonts w:ascii="仿宋" w:hAnsi="仿宋" w:eastAsia="仿宋"/>
          <w:color w:val="000000"/>
        </w:rPr>
      </w:pPr>
      <w:bookmarkStart w:id="136" w:name="_Toc803994730_WPSOffice_Level2"/>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136"/>
    </w:p>
    <w:p>
      <w:pPr>
        <w:pStyle w:val="3"/>
        <w:spacing w:before="0" w:after="0"/>
        <w:rPr>
          <w:rStyle w:val="20"/>
          <w:rFonts w:ascii="仿宋" w:hAnsi="仿宋" w:eastAsia="仿宋"/>
          <w:b w:val="0"/>
          <w:bCs w:val="0"/>
        </w:rPr>
      </w:pPr>
      <w:bookmarkStart w:id="137" w:name="_Toc1011066897_WPSOffice_Level2"/>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137"/>
    </w:p>
    <w:p>
      <w:pPr>
        <w:pStyle w:val="3"/>
        <w:spacing w:before="0" w:after="0"/>
        <w:rPr>
          <w:rFonts w:ascii="仿宋" w:hAnsi="仿宋" w:eastAsia="仿宋"/>
          <w:color w:val="000000"/>
        </w:rPr>
      </w:pPr>
      <w:bookmarkStart w:id="138" w:name="_Toc734341972_WPSOffice_Level2"/>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138"/>
    </w:p>
    <w:p>
      <w:pPr>
        <w:pStyle w:val="3"/>
        <w:spacing w:before="0" w:after="0"/>
        <w:rPr>
          <w:rFonts w:ascii="仿宋" w:hAnsi="仿宋" w:eastAsia="仿宋"/>
          <w:color w:val="000000"/>
        </w:rPr>
      </w:pPr>
      <w:bookmarkStart w:id="139" w:name="_Toc522691705_WPSOffice_Level2"/>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府性基金预算财政拨款“三公”经费支出决算表（此表无数据）</w:t>
      </w:r>
      <w:bookmarkEnd w:id="139"/>
    </w:p>
    <w:p>
      <w:pPr>
        <w:pStyle w:val="3"/>
        <w:spacing w:before="0" w:after="0"/>
        <w:rPr>
          <w:rStyle w:val="20"/>
          <w:rFonts w:ascii="仿宋" w:hAnsi="仿宋" w:eastAsia="仿宋"/>
          <w:b/>
          <w:bCs/>
          <w:color w:val="000000"/>
        </w:rPr>
      </w:pPr>
      <w:bookmarkStart w:id="140" w:name="_Toc1070095746_WPSOffice_Level2"/>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有资本经营预算财政拨款收入支出决算表（</w:t>
      </w:r>
      <w:r>
        <w:rPr>
          <w:rStyle w:val="20"/>
          <w:rFonts w:hint="eastAsia" w:ascii="仿宋" w:hAnsi="仿宋" w:eastAsia="仿宋"/>
          <w:b w:val="0"/>
          <w:bCs w:val="0"/>
          <w:lang w:eastAsia="zh-CN"/>
        </w:rPr>
        <w:t>此表</w:t>
      </w:r>
      <w:r>
        <w:rPr>
          <w:rStyle w:val="20"/>
          <w:rFonts w:hint="eastAsia" w:ascii="仿宋" w:hAnsi="仿宋" w:eastAsia="仿宋"/>
          <w:b w:val="0"/>
          <w:bCs w:val="0"/>
        </w:rPr>
        <w:t>无数据）</w:t>
      </w:r>
      <w:bookmarkEnd w:id="140"/>
    </w:p>
    <w:p>
      <w:pPr>
        <w:pStyle w:val="3"/>
        <w:spacing w:before="0" w:after="0"/>
        <w:rPr>
          <w:rStyle w:val="20"/>
          <w:rFonts w:ascii="仿宋" w:hAnsi="仿宋" w:eastAsia="仿宋"/>
          <w:b/>
          <w:bCs/>
          <w:color w:val="000000"/>
        </w:rPr>
      </w:pPr>
      <w:bookmarkStart w:id="141" w:name="_Toc2141288392_WPSOffice_Level2"/>
      <w:r>
        <w:rPr>
          <w:rStyle w:val="20"/>
          <w:rFonts w:hint="eastAsia" w:ascii="仿宋" w:hAnsi="仿宋" w:eastAsia="仿宋"/>
          <w:b w:val="0"/>
          <w:bCs w:val="0"/>
        </w:rPr>
        <w:t>十四、国有资本经营预算财政拨款支出决算表（此表无数据）</w:t>
      </w:r>
      <w:bookmarkEnd w:id="14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10</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6E8A7FF0"/>
    <w:multiLevelType w:val="multilevel"/>
    <w:tmpl w:val="6E8A7FF0"/>
    <w:lvl w:ilvl="0" w:tentative="0">
      <w:start w:val="1"/>
      <w:numFmt w:val="japaneseCounting"/>
      <w:lvlText w:val="%1、"/>
      <w:lvlJc w:val="left"/>
      <w:pPr>
        <w:ind w:left="660" w:hanging="6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10E07"/>
    <w:rsid w:val="000118DD"/>
    <w:rsid w:val="00013911"/>
    <w:rsid w:val="00013D24"/>
    <w:rsid w:val="0001566B"/>
    <w:rsid w:val="00015A7E"/>
    <w:rsid w:val="000169EF"/>
    <w:rsid w:val="000222C6"/>
    <w:rsid w:val="00023F92"/>
    <w:rsid w:val="0002549F"/>
    <w:rsid w:val="00033A5F"/>
    <w:rsid w:val="00035804"/>
    <w:rsid w:val="00037666"/>
    <w:rsid w:val="000468DB"/>
    <w:rsid w:val="00047A4C"/>
    <w:rsid w:val="0005695E"/>
    <w:rsid w:val="000639F8"/>
    <w:rsid w:val="0006487A"/>
    <w:rsid w:val="00065F8F"/>
    <w:rsid w:val="0007042E"/>
    <w:rsid w:val="00070A43"/>
    <w:rsid w:val="00071E30"/>
    <w:rsid w:val="00071E3A"/>
    <w:rsid w:val="000768F2"/>
    <w:rsid w:val="0008014C"/>
    <w:rsid w:val="00081D39"/>
    <w:rsid w:val="00082834"/>
    <w:rsid w:val="0008287D"/>
    <w:rsid w:val="00082979"/>
    <w:rsid w:val="0008308E"/>
    <w:rsid w:val="00085014"/>
    <w:rsid w:val="000859E1"/>
    <w:rsid w:val="00085FCC"/>
    <w:rsid w:val="00086F86"/>
    <w:rsid w:val="000870B9"/>
    <w:rsid w:val="0009184B"/>
    <w:rsid w:val="00092AAA"/>
    <w:rsid w:val="00094236"/>
    <w:rsid w:val="0009593C"/>
    <w:rsid w:val="00095C79"/>
    <w:rsid w:val="00097322"/>
    <w:rsid w:val="000A5EF8"/>
    <w:rsid w:val="000A6A92"/>
    <w:rsid w:val="000B047F"/>
    <w:rsid w:val="000B5923"/>
    <w:rsid w:val="000B5A48"/>
    <w:rsid w:val="000B6FF3"/>
    <w:rsid w:val="000C031F"/>
    <w:rsid w:val="000C3467"/>
    <w:rsid w:val="000C3CA6"/>
    <w:rsid w:val="000C4D60"/>
    <w:rsid w:val="000C78C5"/>
    <w:rsid w:val="000D1267"/>
    <w:rsid w:val="000D18C4"/>
    <w:rsid w:val="000D1D50"/>
    <w:rsid w:val="000D296F"/>
    <w:rsid w:val="000D40EE"/>
    <w:rsid w:val="000D4307"/>
    <w:rsid w:val="000D5782"/>
    <w:rsid w:val="000E4214"/>
    <w:rsid w:val="000E6613"/>
    <w:rsid w:val="000E7119"/>
    <w:rsid w:val="000F0300"/>
    <w:rsid w:val="000F3DF1"/>
    <w:rsid w:val="000F6722"/>
    <w:rsid w:val="00105C77"/>
    <w:rsid w:val="00114E9B"/>
    <w:rsid w:val="00114F69"/>
    <w:rsid w:val="00115301"/>
    <w:rsid w:val="00116154"/>
    <w:rsid w:val="0013193E"/>
    <w:rsid w:val="001319E1"/>
    <w:rsid w:val="00135098"/>
    <w:rsid w:val="001357A4"/>
    <w:rsid w:val="00135F17"/>
    <w:rsid w:val="00142072"/>
    <w:rsid w:val="00142216"/>
    <w:rsid w:val="00144D6A"/>
    <w:rsid w:val="0014729F"/>
    <w:rsid w:val="00157BAB"/>
    <w:rsid w:val="001654D1"/>
    <w:rsid w:val="001723D8"/>
    <w:rsid w:val="00173A91"/>
    <w:rsid w:val="00174518"/>
    <w:rsid w:val="0018106D"/>
    <w:rsid w:val="00181B93"/>
    <w:rsid w:val="00183DD8"/>
    <w:rsid w:val="001877A7"/>
    <w:rsid w:val="001908C7"/>
    <w:rsid w:val="00191536"/>
    <w:rsid w:val="00193F77"/>
    <w:rsid w:val="001952AC"/>
    <w:rsid w:val="00196687"/>
    <w:rsid w:val="001B24D9"/>
    <w:rsid w:val="001B365E"/>
    <w:rsid w:val="001B48AD"/>
    <w:rsid w:val="001B5008"/>
    <w:rsid w:val="001B72A1"/>
    <w:rsid w:val="001C0962"/>
    <w:rsid w:val="001C2C6F"/>
    <w:rsid w:val="001C6EFE"/>
    <w:rsid w:val="001C7B69"/>
    <w:rsid w:val="001D7531"/>
    <w:rsid w:val="001E3ECC"/>
    <w:rsid w:val="001E6C15"/>
    <w:rsid w:val="001E737D"/>
    <w:rsid w:val="001E7C60"/>
    <w:rsid w:val="001F0592"/>
    <w:rsid w:val="001F551B"/>
    <w:rsid w:val="001F611A"/>
    <w:rsid w:val="001F74AE"/>
    <w:rsid w:val="001F7506"/>
    <w:rsid w:val="002006CD"/>
    <w:rsid w:val="00202B36"/>
    <w:rsid w:val="00203338"/>
    <w:rsid w:val="00204B7A"/>
    <w:rsid w:val="00204CDE"/>
    <w:rsid w:val="00206D66"/>
    <w:rsid w:val="0021101A"/>
    <w:rsid w:val="00213702"/>
    <w:rsid w:val="00220536"/>
    <w:rsid w:val="002244B4"/>
    <w:rsid w:val="0023168C"/>
    <w:rsid w:val="00233B59"/>
    <w:rsid w:val="00235629"/>
    <w:rsid w:val="00244B33"/>
    <w:rsid w:val="00245CC5"/>
    <w:rsid w:val="00246219"/>
    <w:rsid w:val="00256262"/>
    <w:rsid w:val="00256AF3"/>
    <w:rsid w:val="00260936"/>
    <w:rsid w:val="00260C38"/>
    <w:rsid w:val="002616C0"/>
    <w:rsid w:val="002644BA"/>
    <w:rsid w:val="00265372"/>
    <w:rsid w:val="00265AB4"/>
    <w:rsid w:val="002662AA"/>
    <w:rsid w:val="0026680E"/>
    <w:rsid w:val="0026704E"/>
    <w:rsid w:val="00276324"/>
    <w:rsid w:val="00280275"/>
    <w:rsid w:val="00280496"/>
    <w:rsid w:val="0028171C"/>
    <w:rsid w:val="00286307"/>
    <w:rsid w:val="00294DC9"/>
    <w:rsid w:val="00295495"/>
    <w:rsid w:val="002A31DE"/>
    <w:rsid w:val="002B1125"/>
    <w:rsid w:val="002B2613"/>
    <w:rsid w:val="002B6082"/>
    <w:rsid w:val="002C382E"/>
    <w:rsid w:val="002C5466"/>
    <w:rsid w:val="002D4F6D"/>
    <w:rsid w:val="002D52A4"/>
    <w:rsid w:val="002D6D05"/>
    <w:rsid w:val="002E2F62"/>
    <w:rsid w:val="002E3F0C"/>
    <w:rsid w:val="002E47AB"/>
    <w:rsid w:val="002F1818"/>
    <w:rsid w:val="002F1D5E"/>
    <w:rsid w:val="002F2CC8"/>
    <w:rsid w:val="002F4A98"/>
    <w:rsid w:val="002F567B"/>
    <w:rsid w:val="002F6920"/>
    <w:rsid w:val="00303ECA"/>
    <w:rsid w:val="003202CB"/>
    <w:rsid w:val="003216A9"/>
    <w:rsid w:val="00335A74"/>
    <w:rsid w:val="003365A9"/>
    <w:rsid w:val="00341692"/>
    <w:rsid w:val="00342B79"/>
    <w:rsid w:val="00342C57"/>
    <w:rsid w:val="00356A7B"/>
    <w:rsid w:val="0036561B"/>
    <w:rsid w:val="0037013F"/>
    <w:rsid w:val="00371581"/>
    <w:rsid w:val="00380C92"/>
    <w:rsid w:val="0038526E"/>
    <w:rsid w:val="00385E92"/>
    <w:rsid w:val="00385FEF"/>
    <w:rsid w:val="003923E4"/>
    <w:rsid w:val="0039378C"/>
    <w:rsid w:val="00395DDC"/>
    <w:rsid w:val="003A271D"/>
    <w:rsid w:val="003A2BB5"/>
    <w:rsid w:val="003A484F"/>
    <w:rsid w:val="003A4883"/>
    <w:rsid w:val="003B0BE0"/>
    <w:rsid w:val="003B0C1B"/>
    <w:rsid w:val="003B1D74"/>
    <w:rsid w:val="003B688C"/>
    <w:rsid w:val="003B7E0D"/>
    <w:rsid w:val="003C0291"/>
    <w:rsid w:val="003C39AE"/>
    <w:rsid w:val="003C3C7D"/>
    <w:rsid w:val="003C403A"/>
    <w:rsid w:val="003C57AE"/>
    <w:rsid w:val="003C68E6"/>
    <w:rsid w:val="003C7B60"/>
    <w:rsid w:val="003D0C0F"/>
    <w:rsid w:val="003D1FB2"/>
    <w:rsid w:val="003D66DA"/>
    <w:rsid w:val="003D7B01"/>
    <w:rsid w:val="003E1310"/>
    <w:rsid w:val="003E35DD"/>
    <w:rsid w:val="003E381F"/>
    <w:rsid w:val="003E696C"/>
    <w:rsid w:val="003E6F55"/>
    <w:rsid w:val="003F199B"/>
    <w:rsid w:val="003F4686"/>
    <w:rsid w:val="003F6D23"/>
    <w:rsid w:val="003F7E30"/>
    <w:rsid w:val="00406254"/>
    <w:rsid w:val="00417D57"/>
    <w:rsid w:val="0042050A"/>
    <w:rsid w:val="004223DE"/>
    <w:rsid w:val="0042582D"/>
    <w:rsid w:val="00427C7C"/>
    <w:rsid w:val="0043307E"/>
    <w:rsid w:val="00434489"/>
    <w:rsid w:val="00437085"/>
    <w:rsid w:val="00443880"/>
    <w:rsid w:val="004464F4"/>
    <w:rsid w:val="0045509F"/>
    <w:rsid w:val="004619B1"/>
    <w:rsid w:val="00461EF3"/>
    <w:rsid w:val="004660B8"/>
    <w:rsid w:val="00466A6A"/>
    <w:rsid w:val="00471401"/>
    <w:rsid w:val="00473F31"/>
    <w:rsid w:val="0048263A"/>
    <w:rsid w:val="00487E5D"/>
    <w:rsid w:val="004A10DE"/>
    <w:rsid w:val="004A6535"/>
    <w:rsid w:val="004A711F"/>
    <w:rsid w:val="004B0B59"/>
    <w:rsid w:val="004B199D"/>
    <w:rsid w:val="004B2832"/>
    <w:rsid w:val="004B4690"/>
    <w:rsid w:val="004E0A2D"/>
    <w:rsid w:val="004E206B"/>
    <w:rsid w:val="004E6868"/>
    <w:rsid w:val="004E6DF7"/>
    <w:rsid w:val="004F0FBD"/>
    <w:rsid w:val="004F25AD"/>
    <w:rsid w:val="004F5914"/>
    <w:rsid w:val="004F6FF1"/>
    <w:rsid w:val="004F7E96"/>
    <w:rsid w:val="00501255"/>
    <w:rsid w:val="00505A47"/>
    <w:rsid w:val="00505D9F"/>
    <w:rsid w:val="0051011B"/>
    <w:rsid w:val="00511AF5"/>
    <w:rsid w:val="00512FDA"/>
    <w:rsid w:val="0051414D"/>
    <w:rsid w:val="005165B3"/>
    <w:rsid w:val="00520DA0"/>
    <w:rsid w:val="0052268C"/>
    <w:rsid w:val="005244CF"/>
    <w:rsid w:val="00525A9B"/>
    <w:rsid w:val="00525F24"/>
    <w:rsid w:val="005269D7"/>
    <w:rsid w:val="00543AFA"/>
    <w:rsid w:val="005544F6"/>
    <w:rsid w:val="00560361"/>
    <w:rsid w:val="005664BB"/>
    <w:rsid w:val="00566FFA"/>
    <w:rsid w:val="00567D30"/>
    <w:rsid w:val="005707D4"/>
    <w:rsid w:val="00570A35"/>
    <w:rsid w:val="00572CE0"/>
    <w:rsid w:val="0057481D"/>
    <w:rsid w:val="005824DF"/>
    <w:rsid w:val="0058486E"/>
    <w:rsid w:val="00584D85"/>
    <w:rsid w:val="00585B33"/>
    <w:rsid w:val="00585C51"/>
    <w:rsid w:val="0059014D"/>
    <w:rsid w:val="00591A5D"/>
    <w:rsid w:val="0059675D"/>
    <w:rsid w:val="005A76B6"/>
    <w:rsid w:val="005B5C64"/>
    <w:rsid w:val="005B7E5E"/>
    <w:rsid w:val="005C5337"/>
    <w:rsid w:val="005C6BD0"/>
    <w:rsid w:val="005D1C8B"/>
    <w:rsid w:val="005D45DB"/>
    <w:rsid w:val="005D468D"/>
    <w:rsid w:val="005D4976"/>
    <w:rsid w:val="005D5225"/>
    <w:rsid w:val="005D59E3"/>
    <w:rsid w:val="005D5CED"/>
    <w:rsid w:val="005E5D73"/>
    <w:rsid w:val="005F1A4C"/>
    <w:rsid w:val="00600AF5"/>
    <w:rsid w:val="00601A44"/>
    <w:rsid w:val="00604825"/>
    <w:rsid w:val="006050C1"/>
    <w:rsid w:val="00605688"/>
    <w:rsid w:val="00606A94"/>
    <w:rsid w:val="006070AF"/>
    <w:rsid w:val="00607E6C"/>
    <w:rsid w:val="006101B1"/>
    <w:rsid w:val="0061319D"/>
    <w:rsid w:val="0061375F"/>
    <w:rsid w:val="00614E44"/>
    <w:rsid w:val="00615999"/>
    <w:rsid w:val="00617DDC"/>
    <w:rsid w:val="006205D8"/>
    <w:rsid w:val="0062270A"/>
    <w:rsid w:val="00622830"/>
    <w:rsid w:val="00623DA0"/>
    <w:rsid w:val="00625B62"/>
    <w:rsid w:val="00630AEF"/>
    <w:rsid w:val="006325F8"/>
    <w:rsid w:val="00632AEC"/>
    <w:rsid w:val="00633463"/>
    <w:rsid w:val="00634C9A"/>
    <w:rsid w:val="006440E4"/>
    <w:rsid w:val="00644FA8"/>
    <w:rsid w:val="00652DBB"/>
    <w:rsid w:val="006537AB"/>
    <w:rsid w:val="00654749"/>
    <w:rsid w:val="0066343B"/>
    <w:rsid w:val="00664777"/>
    <w:rsid w:val="00670749"/>
    <w:rsid w:val="0067370C"/>
    <w:rsid w:val="00673BB4"/>
    <w:rsid w:val="006748A4"/>
    <w:rsid w:val="00676CE3"/>
    <w:rsid w:val="00681A31"/>
    <w:rsid w:val="00683E73"/>
    <w:rsid w:val="00685C4F"/>
    <w:rsid w:val="00691C5A"/>
    <w:rsid w:val="0069645D"/>
    <w:rsid w:val="006A3141"/>
    <w:rsid w:val="006A3801"/>
    <w:rsid w:val="006A5E34"/>
    <w:rsid w:val="006B2422"/>
    <w:rsid w:val="006B2496"/>
    <w:rsid w:val="006B2B9A"/>
    <w:rsid w:val="006B55AC"/>
    <w:rsid w:val="006C1937"/>
    <w:rsid w:val="006C1CC0"/>
    <w:rsid w:val="006C583A"/>
    <w:rsid w:val="006C6F3C"/>
    <w:rsid w:val="006D3D33"/>
    <w:rsid w:val="006E285C"/>
    <w:rsid w:val="006E7CB5"/>
    <w:rsid w:val="006F020C"/>
    <w:rsid w:val="006F6AFE"/>
    <w:rsid w:val="006F70F1"/>
    <w:rsid w:val="00703F68"/>
    <w:rsid w:val="007076FA"/>
    <w:rsid w:val="00710447"/>
    <w:rsid w:val="007112DD"/>
    <w:rsid w:val="0071270E"/>
    <w:rsid w:val="007127B7"/>
    <w:rsid w:val="00715B74"/>
    <w:rsid w:val="0071798E"/>
    <w:rsid w:val="00720006"/>
    <w:rsid w:val="00725036"/>
    <w:rsid w:val="00731FAD"/>
    <w:rsid w:val="00733CE7"/>
    <w:rsid w:val="007347A5"/>
    <w:rsid w:val="007416B6"/>
    <w:rsid w:val="00745D55"/>
    <w:rsid w:val="00746F48"/>
    <w:rsid w:val="00747E75"/>
    <w:rsid w:val="0075404D"/>
    <w:rsid w:val="0076182A"/>
    <w:rsid w:val="00762A3C"/>
    <w:rsid w:val="0076537F"/>
    <w:rsid w:val="00767439"/>
    <w:rsid w:val="00767B7E"/>
    <w:rsid w:val="007735C8"/>
    <w:rsid w:val="007757DF"/>
    <w:rsid w:val="007770C3"/>
    <w:rsid w:val="007844F8"/>
    <w:rsid w:val="00784D24"/>
    <w:rsid w:val="00785FBA"/>
    <w:rsid w:val="00786047"/>
    <w:rsid w:val="00786D98"/>
    <w:rsid w:val="00786E4A"/>
    <w:rsid w:val="007875EB"/>
    <w:rsid w:val="0078776F"/>
    <w:rsid w:val="0079426B"/>
    <w:rsid w:val="007A2D61"/>
    <w:rsid w:val="007A3285"/>
    <w:rsid w:val="007A482D"/>
    <w:rsid w:val="007A75FB"/>
    <w:rsid w:val="007B0137"/>
    <w:rsid w:val="007C1467"/>
    <w:rsid w:val="007C268B"/>
    <w:rsid w:val="007C3CD2"/>
    <w:rsid w:val="007D1682"/>
    <w:rsid w:val="007D312A"/>
    <w:rsid w:val="007D3F19"/>
    <w:rsid w:val="007D493E"/>
    <w:rsid w:val="007D7203"/>
    <w:rsid w:val="007E04F7"/>
    <w:rsid w:val="007E066C"/>
    <w:rsid w:val="007E23B0"/>
    <w:rsid w:val="007E23E5"/>
    <w:rsid w:val="007F1991"/>
    <w:rsid w:val="007F2C2F"/>
    <w:rsid w:val="007F55FC"/>
    <w:rsid w:val="007F5665"/>
    <w:rsid w:val="007F59F3"/>
    <w:rsid w:val="007F6DBF"/>
    <w:rsid w:val="00800112"/>
    <w:rsid w:val="008026EB"/>
    <w:rsid w:val="00804B1D"/>
    <w:rsid w:val="00804CB8"/>
    <w:rsid w:val="00810182"/>
    <w:rsid w:val="0081181D"/>
    <w:rsid w:val="00813348"/>
    <w:rsid w:val="00816417"/>
    <w:rsid w:val="00816E0A"/>
    <w:rsid w:val="00822A9F"/>
    <w:rsid w:val="008253BB"/>
    <w:rsid w:val="00827DB1"/>
    <w:rsid w:val="00831568"/>
    <w:rsid w:val="0083706E"/>
    <w:rsid w:val="008408F6"/>
    <w:rsid w:val="00840E7E"/>
    <w:rsid w:val="008423A5"/>
    <w:rsid w:val="00846F0B"/>
    <w:rsid w:val="00850625"/>
    <w:rsid w:val="008534C7"/>
    <w:rsid w:val="00853718"/>
    <w:rsid w:val="00855221"/>
    <w:rsid w:val="00856020"/>
    <w:rsid w:val="00860645"/>
    <w:rsid w:val="008663FF"/>
    <w:rsid w:val="00867FDE"/>
    <w:rsid w:val="00871F71"/>
    <w:rsid w:val="00872FD8"/>
    <w:rsid w:val="00876A2F"/>
    <w:rsid w:val="00880CDF"/>
    <w:rsid w:val="008847E6"/>
    <w:rsid w:val="00885AF4"/>
    <w:rsid w:val="00886C6B"/>
    <w:rsid w:val="008939CD"/>
    <w:rsid w:val="008A229A"/>
    <w:rsid w:val="008A40EF"/>
    <w:rsid w:val="008A4574"/>
    <w:rsid w:val="008A4E2E"/>
    <w:rsid w:val="008B4D41"/>
    <w:rsid w:val="008B768C"/>
    <w:rsid w:val="008C0EF7"/>
    <w:rsid w:val="008C4DB1"/>
    <w:rsid w:val="008C4EAF"/>
    <w:rsid w:val="008C5176"/>
    <w:rsid w:val="008C7FD0"/>
    <w:rsid w:val="008D7020"/>
    <w:rsid w:val="008D7D9D"/>
    <w:rsid w:val="008E1DE7"/>
    <w:rsid w:val="008E3206"/>
    <w:rsid w:val="008E5C0E"/>
    <w:rsid w:val="008E707C"/>
    <w:rsid w:val="008F0EF6"/>
    <w:rsid w:val="008F3FD1"/>
    <w:rsid w:val="008F4DF6"/>
    <w:rsid w:val="00900B08"/>
    <w:rsid w:val="00902155"/>
    <w:rsid w:val="00902FA3"/>
    <w:rsid w:val="00903519"/>
    <w:rsid w:val="00905265"/>
    <w:rsid w:val="0090593B"/>
    <w:rsid w:val="00910CC6"/>
    <w:rsid w:val="00912F12"/>
    <w:rsid w:val="00920F46"/>
    <w:rsid w:val="00923564"/>
    <w:rsid w:val="0092392E"/>
    <w:rsid w:val="00923A04"/>
    <w:rsid w:val="009241F8"/>
    <w:rsid w:val="009262FD"/>
    <w:rsid w:val="00926DF2"/>
    <w:rsid w:val="009315F9"/>
    <w:rsid w:val="00933499"/>
    <w:rsid w:val="009334D8"/>
    <w:rsid w:val="009353EB"/>
    <w:rsid w:val="00935C98"/>
    <w:rsid w:val="009403E4"/>
    <w:rsid w:val="00946945"/>
    <w:rsid w:val="009500DB"/>
    <w:rsid w:val="00951248"/>
    <w:rsid w:val="0095152F"/>
    <w:rsid w:val="00954940"/>
    <w:rsid w:val="00954C49"/>
    <w:rsid w:val="0095559A"/>
    <w:rsid w:val="00955E37"/>
    <w:rsid w:val="0097099F"/>
    <w:rsid w:val="00970BB4"/>
    <w:rsid w:val="00971997"/>
    <w:rsid w:val="00971FFC"/>
    <w:rsid w:val="00973131"/>
    <w:rsid w:val="00973770"/>
    <w:rsid w:val="009749CA"/>
    <w:rsid w:val="00977597"/>
    <w:rsid w:val="0098306A"/>
    <w:rsid w:val="009831D1"/>
    <w:rsid w:val="0098660A"/>
    <w:rsid w:val="009931C3"/>
    <w:rsid w:val="009A06FC"/>
    <w:rsid w:val="009A0B92"/>
    <w:rsid w:val="009A23F3"/>
    <w:rsid w:val="009A59DF"/>
    <w:rsid w:val="009A5C85"/>
    <w:rsid w:val="009B0AE8"/>
    <w:rsid w:val="009B2C43"/>
    <w:rsid w:val="009B423F"/>
    <w:rsid w:val="009B4EAE"/>
    <w:rsid w:val="009B658D"/>
    <w:rsid w:val="009B7573"/>
    <w:rsid w:val="009C22F4"/>
    <w:rsid w:val="009C2A4B"/>
    <w:rsid w:val="009C2E98"/>
    <w:rsid w:val="009C5D35"/>
    <w:rsid w:val="009D2045"/>
    <w:rsid w:val="009D33EE"/>
    <w:rsid w:val="009D3447"/>
    <w:rsid w:val="009D3F58"/>
    <w:rsid w:val="009D4711"/>
    <w:rsid w:val="009D5DF9"/>
    <w:rsid w:val="009E1677"/>
    <w:rsid w:val="009F1185"/>
    <w:rsid w:val="009F18CD"/>
    <w:rsid w:val="009F2A13"/>
    <w:rsid w:val="009F323C"/>
    <w:rsid w:val="009F533C"/>
    <w:rsid w:val="009F72DA"/>
    <w:rsid w:val="009F7527"/>
    <w:rsid w:val="009F7CEE"/>
    <w:rsid w:val="00A00009"/>
    <w:rsid w:val="00A04EB0"/>
    <w:rsid w:val="00A04F94"/>
    <w:rsid w:val="00A13CC1"/>
    <w:rsid w:val="00A16847"/>
    <w:rsid w:val="00A212D5"/>
    <w:rsid w:val="00A21895"/>
    <w:rsid w:val="00A237D8"/>
    <w:rsid w:val="00A268C4"/>
    <w:rsid w:val="00A307CD"/>
    <w:rsid w:val="00A331C8"/>
    <w:rsid w:val="00A361D6"/>
    <w:rsid w:val="00A40A00"/>
    <w:rsid w:val="00A40A0E"/>
    <w:rsid w:val="00A4142F"/>
    <w:rsid w:val="00A422EB"/>
    <w:rsid w:val="00A4314B"/>
    <w:rsid w:val="00A45BB7"/>
    <w:rsid w:val="00A56DF2"/>
    <w:rsid w:val="00A56E6E"/>
    <w:rsid w:val="00A6437F"/>
    <w:rsid w:val="00A67AB5"/>
    <w:rsid w:val="00A70CBF"/>
    <w:rsid w:val="00A733B2"/>
    <w:rsid w:val="00A741C2"/>
    <w:rsid w:val="00A804A8"/>
    <w:rsid w:val="00A83C2B"/>
    <w:rsid w:val="00A8686A"/>
    <w:rsid w:val="00A91694"/>
    <w:rsid w:val="00A91760"/>
    <w:rsid w:val="00A91B34"/>
    <w:rsid w:val="00A9351E"/>
    <w:rsid w:val="00A93B00"/>
    <w:rsid w:val="00A93C21"/>
    <w:rsid w:val="00AA50A5"/>
    <w:rsid w:val="00AB64C9"/>
    <w:rsid w:val="00AB7975"/>
    <w:rsid w:val="00AC30D8"/>
    <w:rsid w:val="00AC3971"/>
    <w:rsid w:val="00AC3A23"/>
    <w:rsid w:val="00AC3C6A"/>
    <w:rsid w:val="00AD2447"/>
    <w:rsid w:val="00AD3942"/>
    <w:rsid w:val="00AD3B22"/>
    <w:rsid w:val="00AD3F54"/>
    <w:rsid w:val="00AD5620"/>
    <w:rsid w:val="00AD656B"/>
    <w:rsid w:val="00AD7C1B"/>
    <w:rsid w:val="00AE16BA"/>
    <w:rsid w:val="00AE1EBE"/>
    <w:rsid w:val="00AE41A7"/>
    <w:rsid w:val="00AF43B6"/>
    <w:rsid w:val="00AF4C67"/>
    <w:rsid w:val="00B014DE"/>
    <w:rsid w:val="00B03C9D"/>
    <w:rsid w:val="00B060AE"/>
    <w:rsid w:val="00B063C8"/>
    <w:rsid w:val="00B10517"/>
    <w:rsid w:val="00B14E76"/>
    <w:rsid w:val="00B161B8"/>
    <w:rsid w:val="00B2048C"/>
    <w:rsid w:val="00B211AB"/>
    <w:rsid w:val="00B27D9A"/>
    <w:rsid w:val="00B27E72"/>
    <w:rsid w:val="00B310B9"/>
    <w:rsid w:val="00B32400"/>
    <w:rsid w:val="00B35F3F"/>
    <w:rsid w:val="00B36CBB"/>
    <w:rsid w:val="00B425E0"/>
    <w:rsid w:val="00B43CD4"/>
    <w:rsid w:val="00B440AA"/>
    <w:rsid w:val="00B44142"/>
    <w:rsid w:val="00B44962"/>
    <w:rsid w:val="00B44B70"/>
    <w:rsid w:val="00B53C56"/>
    <w:rsid w:val="00B57DAF"/>
    <w:rsid w:val="00B66742"/>
    <w:rsid w:val="00B706DB"/>
    <w:rsid w:val="00B7138F"/>
    <w:rsid w:val="00B76949"/>
    <w:rsid w:val="00B77EA6"/>
    <w:rsid w:val="00B81598"/>
    <w:rsid w:val="00B841F1"/>
    <w:rsid w:val="00B87E03"/>
    <w:rsid w:val="00B90DAE"/>
    <w:rsid w:val="00B90E4E"/>
    <w:rsid w:val="00B943D2"/>
    <w:rsid w:val="00B944D6"/>
    <w:rsid w:val="00B965DC"/>
    <w:rsid w:val="00BA21B2"/>
    <w:rsid w:val="00BA70E4"/>
    <w:rsid w:val="00BA7A3C"/>
    <w:rsid w:val="00BB4DF0"/>
    <w:rsid w:val="00BC1390"/>
    <w:rsid w:val="00BC289F"/>
    <w:rsid w:val="00BC2D50"/>
    <w:rsid w:val="00BC4E39"/>
    <w:rsid w:val="00BC5361"/>
    <w:rsid w:val="00BC5460"/>
    <w:rsid w:val="00BC6B50"/>
    <w:rsid w:val="00BD0E25"/>
    <w:rsid w:val="00BD3768"/>
    <w:rsid w:val="00BD42BC"/>
    <w:rsid w:val="00BE317E"/>
    <w:rsid w:val="00BE7C1B"/>
    <w:rsid w:val="00BF5BD6"/>
    <w:rsid w:val="00BF7002"/>
    <w:rsid w:val="00C01C98"/>
    <w:rsid w:val="00C01DF6"/>
    <w:rsid w:val="00C03E31"/>
    <w:rsid w:val="00C11C3C"/>
    <w:rsid w:val="00C201F5"/>
    <w:rsid w:val="00C20A80"/>
    <w:rsid w:val="00C21195"/>
    <w:rsid w:val="00C21570"/>
    <w:rsid w:val="00C2308D"/>
    <w:rsid w:val="00C33E72"/>
    <w:rsid w:val="00C354B2"/>
    <w:rsid w:val="00C35554"/>
    <w:rsid w:val="00C42709"/>
    <w:rsid w:val="00C43026"/>
    <w:rsid w:val="00C50153"/>
    <w:rsid w:val="00C52315"/>
    <w:rsid w:val="00C52FE7"/>
    <w:rsid w:val="00C533CC"/>
    <w:rsid w:val="00C54683"/>
    <w:rsid w:val="00C5751C"/>
    <w:rsid w:val="00C61BFC"/>
    <w:rsid w:val="00C62B85"/>
    <w:rsid w:val="00C65438"/>
    <w:rsid w:val="00C70F0B"/>
    <w:rsid w:val="00C80EF9"/>
    <w:rsid w:val="00C827D4"/>
    <w:rsid w:val="00C82A6F"/>
    <w:rsid w:val="00C82D25"/>
    <w:rsid w:val="00C82E27"/>
    <w:rsid w:val="00C87FA6"/>
    <w:rsid w:val="00C87FD8"/>
    <w:rsid w:val="00C91381"/>
    <w:rsid w:val="00C91CBB"/>
    <w:rsid w:val="00C92406"/>
    <w:rsid w:val="00C950FB"/>
    <w:rsid w:val="00C95C0B"/>
    <w:rsid w:val="00C97545"/>
    <w:rsid w:val="00C97F5E"/>
    <w:rsid w:val="00CA71B2"/>
    <w:rsid w:val="00CB260B"/>
    <w:rsid w:val="00CB4E70"/>
    <w:rsid w:val="00CC09B6"/>
    <w:rsid w:val="00CC666F"/>
    <w:rsid w:val="00CD1E3F"/>
    <w:rsid w:val="00CD4111"/>
    <w:rsid w:val="00CE0FFA"/>
    <w:rsid w:val="00CE3079"/>
    <w:rsid w:val="00CE44F6"/>
    <w:rsid w:val="00CE49DA"/>
    <w:rsid w:val="00CE7B61"/>
    <w:rsid w:val="00CF3689"/>
    <w:rsid w:val="00CF7D54"/>
    <w:rsid w:val="00D00095"/>
    <w:rsid w:val="00D01A93"/>
    <w:rsid w:val="00D100C4"/>
    <w:rsid w:val="00D1098F"/>
    <w:rsid w:val="00D114F0"/>
    <w:rsid w:val="00D1404A"/>
    <w:rsid w:val="00D20620"/>
    <w:rsid w:val="00D23AF5"/>
    <w:rsid w:val="00D254F7"/>
    <w:rsid w:val="00D26091"/>
    <w:rsid w:val="00D2685C"/>
    <w:rsid w:val="00D30E1E"/>
    <w:rsid w:val="00D30FCC"/>
    <w:rsid w:val="00D31D45"/>
    <w:rsid w:val="00D34E7C"/>
    <w:rsid w:val="00D35489"/>
    <w:rsid w:val="00D36468"/>
    <w:rsid w:val="00D36AFE"/>
    <w:rsid w:val="00D41CC9"/>
    <w:rsid w:val="00D44D5E"/>
    <w:rsid w:val="00D51276"/>
    <w:rsid w:val="00D538F6"/>
    <w:rsid w:val="00D5467F"/>
    <w:rsid w:val="00D56C4E"/>
    <w:rsid w:val="00D56F43"/>
    <w:rsid w:val="00D5770B"/>
    <w:rsid w:val="00D626DD"/>
    <w:rsid w:val="00D65443"/>
    <w:rsid w:val="00D65DBD"/>
    <w:rsid w:val="00D7035F"/>
    <w:rsid w:val="00D70618"/>
    <w:rsid w:val="00D734CC"/>
    <w:rsid w:val="00D7655C"/>
    <w:rsid w:val="00D76D72"/>
    <w:rsid w:val="00D77060"/>
    <w:rsid w:val="00D82321"/>
    <w:rsid w:val="00D84C8A"/>
    <w:rsid w:val="00D861D2"/>
    <w:rsid w:val="00D864BE"/>
    <w:rsid w:val="00D95CA1"/>
    <w:rsid w:val="00D95ED4"/>
    <w:rsid w:val="00DA03FC"/>
    <w:rsid w:val="00DA31B8"/>
    <w:rsid w:val="00DA4477"/>
    <w:rsid w:val="00DA634F"/>
    <w:rsid w:val="00DA65AC"/>
    <w:rsid w:val="00DB1913"/>
    <w:rsid w:val="00DC410D"/>
    <w:rsid w:val="00DC434E"/>
    <w:rsid w:val="00DC457B"/>
    <w:rsid w:val="00DC4C59"/>
    <w:rsid w:val="00DC5A81"/>
    <w:rsid w:val="00DC66EC"/>
    <w:rsid w:val="00DC68CA"/>
    <w:rsid w:val="00DC7CBA"/>
    <w:rsid w:val="00DD1481"/>
    <w:rsid w:val="00DD5DB4"/>
    <w:rsid w:val="00DD73B7"/>
    <w:rsid w:val="00DE1247"/>
    <w:rsid w:val="00DE2D75"/>
    <w:rsid w:val="00DE345D"/>
    <w:rsid w:val="00DE4D99"/>
    <w:rsid w:val="00DF28BC"/>
    <w:rsid w:val="00DF34B9"/>
    <w:rsid w:val="00DF52F1"/>
    <w:rsid w:val="00DF67B6"/>
    <w:rsid w:val="00E01053"/>
    <w:rsid w:val="00E07ACF"/>
    <w:rsid w:val="00E15557"/>
    <w:rsid w:val="00E169C9"/>
    <w:rsid w:val="00E24EBE"/>
    <w:rsid w:val="00E32CAD"/>
    <w:rsid w:val="00E331A1"/>
    <w:rsid w:val="00E33202"/>
    <w:rsid w:val="00E336A9"/>
    <w:rsid w:val="00E37B1F"/>
    <w:rsid w:val="00E472B1"/>
    <w:rsid w:val="00E50624"/>
    <w:rsid w:val="00E5625B"/>
    <w:rsid w:val="00E568DF"/>
    <w:rsid w:val="00E57251"/>
    <w:rsid w:val="00E64269"/>
    <w:rsid w:val="00E66934"/>
    <w:rsid w:val="00E7445F"/>
    <w:rsid w:val="00E74DB7"/>
    <w:rsid w:val="00E75346"/>
    <w:rsid w:val="00E82267"/>
    <w:rsid w:val="00E853CE"/>
    <w:rsid w:val="00E867B6"/>
    <w:rsid w:val="00E86FD5"/>
    <w:rsid w:val="00E87396"/>
    <w:rsid w:val="00E91BF5"/>
    <w:rsid w:val="00E97607"/>
    <w:rsid w:val="00EA010F"/>
    <w:rsid w:val="00EB0240"/>
    <w:rsid w:val="00EB1E46"/>
    <w:rsid w:val="00ED0869"/>
    <w:rsid w:val="00ED1B63"/>
    <w:rsid w:val="00ED2FB9"/>
    <w:rsid w:val="00ED3C1F"/>
    <w:rsid w:val="00ED4085"/>
    <w:rsid w:val="00ED420E"/>
    <w:rsid w:val="00ED6FBE"/>
    <w:rsid w:val="00EE07D2"/>
    <w:rsid w:val="00EE2F57"/>
    <w:rsid w:val="00EE4B54"/>
    <w:rsid w:val="00EE6AED"/>
    <w:rsid w:val="00EF4C34"/>
    <w:rsid w:val="00EF60EF"/>
    <w:rsid w:val="00EF77C6"/>
    <w:rsid w:val="00EF7AE1"/>
    <w:rsid w:val="00F00C8B"/>
    <w:rsid w:val="00F05438"/>
    <w:rsid w:val="00F05E48"/>
    <w:rsid w:val="00F06826"/>
    <w:rsid w:val="00F1220B"/>
    <w:rsid w:val="00F1361C"/>
    <w:rsid w:val="00F14235"/>
    <w:rsid w:val="00F156F0"/>
    <w:rsid w:val="00F160C7"/>
    <w:rsid w:val="00F23790"/>
    <w:rsid w:val="00F2408F"/>
    <w:rsid w:val="00F240E9"/>
    <w:rsid w:val="00F25F51"/>
    <w:rsid w:val="00F36D8F"/>
    <w:rsid w:val="00F37C66"/>
    <w:rsid w:val="00F417B1"/>
    <w:rsid w:val="00F43D41"/>
    <w:rsid w:val="00F45853"/>
    <w:rsid w:val="00F602DF"/>
    <w:rsid w:val="00F67786"/>
    <w:rsid w:val="00F754A1"/>
    <w:rsid w:val="00F81FD9"/>
    <w:rsid w:val="00F8346D"/>
    <w:rsid w:val="00F841AA"/>
    <w:rsid w:val="00F84A94"/>
    <w:rsid w:val="00F87E96"/>
    <w:rsid w:val="00F938FA"/>
    <w:rsid w:val="00F93E0A"/>
    <w:rsid w:val="00F9760D"/>
    <w:rsid w:val="00FA23E8"/>
    <w:rsid w:val="00FB13E7"/>
    <w:rsid w:val="00FB5235"/>
    <w:rsid w:val="00FC0C78"/>
    <w:rsid w:val="00FC12C3"/>
    <w:rsid w:val="00FC28FE"/>
    <w:rsid w:val="00FC387B"/>
    <w:rsid w:val="00FC4A93"/>
    <w:rsid w:val="00FC780D"/>
    <w:rsid w:val="00FC7945"/>
    <w:rsid w:val="00FD3177"/>
    <w:rsid w:val="00FD3CC1"/>
    <w:rsid w:val="00FE10A5"/>
    <w:rsid w:val="00FE2F6B"/>
    <w:rsid w:val="00FE47CD"/>
    <w:rsid w:val="00FF0020"/>
    <w:rsid w:val="00FF1E02"/>
    <w:rsid w:val="00FF30B4"/>
    <w:rsid w:val="0A2032A3"/>
    <w:rsid w:val="10743B3F"/>
    <w:rsid w:val="10C055FF"/>
    <w:rsid w:val="118107EC"/>
    <w:rsid w:val="16BB723D"/>
    <w:rsid w:val="1D155CEE"/>
    <w:rsid w:val="236D0266"/>
    <w:rsid w:val="240371BF"/>
    <w:rsid w:val="29BF3CFF"/>
    <w:rsid w:val="29FD04D3"/>
    <w:rsid w:val="2BBF7486"/>
    <w:rsid w:val="319F7F4E"/>
    <w:rsid w:val="33A620D0"/>
    <w:rsid w:val="37BE5BC0"/>
    <w:rsid w:val="3BF8E162"/>
    <w:rsid w:val="3FD57FAE"/>
    <w:rsid w:val="4ECE2238"/>
    <w:rsid w:val="5724360F"/>
    <w:rsid w:val="65ED0280"/>
    <w:rsid w:val="6C4A05C8"/>
    <w:rsid w:val="6E56795C"/>
    <w:rsid w:val="6FD78969"/>
    <w:rsid w:val="72734D90"/>
    <w:rsid w:val="77F79499"/>
    <w:rsid w:val="7BDA6740"/>
    <w:rsid w:val="7BF5245D"/>
    <w:rsid w:val="7C5EB83B"/>
    <w:rsid w:val="7DFF5DE9"/>
    <w:rsid w:val="7FEE9216"/>
    <w:rsid w:val="BBFFE17A"/>
    <w:rsid w:val="E7B0F0E7"/>
    <w:rsid w:val="EBEFD42E"/>
    <w:rsid w:val="EDDD7329"/>
    <w:rsid w:val="FD3F37C2"/>
    <w:rsid w:val="FD5EED5D"/>
    <w:rsid w:val="FDBAAA7A"/>
    <w:rsid w:val="FF9FD14B"/>
    <w:rsid w:val="FFBB2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8"/>
    <w:qFormat/>
    <w:uiPriority w:val="99"/>
    <w:pPr>
      <w:spacing w:beforeLines="30"/>
    </w:pPr>
    <w:rPr>
      <w:rFonts w:ascii="仿宋_GB2312" w:eastAsia="仿宋_GB2312"/>
      <w:kern w:val="0"/>
      <w:sz w:val="24"/>
      <w:szCs w:val="20"/>
    </w:rPr>
  </w:style>
  <w:style w:type="paragraph" w:styleId="6">
    <w:name w:val="Body Text Indent"/>
    <w:basedOn w:val="1"/>
    <w:link w:val="33"/>
    <w:unhideWhenUsed/>
    <w:qFormat/>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link w:val="35"/>
    <w:qFormat/>
    <w:uiPriority w:val="0"/>
    <w:rPr>
      <w:rFonts w:ascii="宋体" w:hAnsi="Courier New"/>
    </w:rPr>
  </w:style>
  <w:style w:type="paragraph" w:styleId="9">
    <w:name w:val="Balloon Text"/>
    <w:basedOn w:val="1"/>
    <w:link w:val="23"/>
    <w:semiHidden/>
    <w:unhideWhenUsed/>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jc w:val="left"/>
    </w:pPr>
    <w:rPr>
      <w:rFonts w:ascii="微软雅黑" w:hAnsi="微软雅黑" w:eastAsia="微软雅黑"/>
      <w:kern w:val="0"/>
      <w:sz w:val="24"/>
    </w:rPr>
  </w:style>
  <w:style w:type="character" w:styleId="17">
    <w:name w:val="Strong"/>
    <w:qFormat/>
    <w:uiPriority w:val="99"/>
    <w:rPr>
      <w:rFonts w:cs="Times New Roman"/>
      <w:b/>
    </w:rPr>
  </w:style>
  <w:style w:type="character" w:styleId="18">
    <w:name w:val="Hyperlink"/>
    <w:unhideWhenUsed/>
    <w:qFormat/>
    <w:uiPriority w:val="99"/>
    <w:rPr>
      <w:rFonts w:cs="Times New Roman"/>
      <w:color w:val="0000FF"/>
      <w:u w:val="single"/>
    </w:rPr>
  </w:style>
  <w:style w:type="character" w:customStyle="1" w:styleId="19">
    <w:name w:val="标题 1 Char"/>
    <w:link w:val="2"/>
    <w:qFormat/>
    <w:locked/>
    <w:uiPriority w:val="9"/>
    <w:rPr>
      <w:rFonts w:ascii="Times New Roman" w:hAnsi="Times New Roman" w:cs="Times New Roman"/>
      <w:b/>
      <w:bCs/>
      <w:kern w:val="44"/>
      <w:sz w:val="44"/>
      <w:szCs w:val="44"/>
    </w:rPr>
  </w:style>
  <w:style w:type="character" w:customStyle="1" w:styleId="20">
    <w:name w:val="标题 2 Char"/>
    <w:link w:val="3"/>
    <w:qFormat/>
    <w:locked/>
    <w:uiPriority w:val="9"/>
    <w:rPr>
      <w:rFonts w:ascii="Cambria" w:hAnsi="Cambria" w:eastAsia="宋体" w:cs="Times New Roman"/>
      <w:b/>
      <w:bCs/>
      <w:kern w:val="2"/>
      <w:sz w:val="32"/>
      <w:szCs w:val="32"/>
    </w:rPr>
  </w:style>
  <w:style w:type="character" w:customStyle="1" w:styleId="21">
    <w:name w:val="标题 3 Char"/>
    <w:link w:val="4"/>
    <w:qFormat/>
    <w:locked/>
    <w:uiPriority w:val="9"/>
    <w:rPr>
      <w:rFonts w:ascii="Times New Roman" w:hAnsi="Times New Roman" w:cs="Times New Roman"/>
      <w:b/>
      <w:bCs/>
      <w:kern w:val="2"/>
      <w:sz w:val="32"/>
      <w:szCs w:val="32"/>
    </w:rPr>
  </w:style>
  <w:style w:type="character" w:customStyle="1" w:styleId="22">
    <w:name w:val="Body Text Char"/>
    <w:semiHidden/>
    <w:qFormat/>
    <w:uiPriority w:val="99"/>
    <w:rPr>
      <w:rFonts w:ascii="Times New Roman" w:hAnsi="Times New Roman" w:cs="Times New Roman"/>
      <w:sz w:val="24"/>
      <w:szCs w:val="24"/>
    </w:rPr>
  </w:style>
  <w:style w:type="character" w:customStyle="1" w:styleId="23">
    <w:name w:val="批注框文本 Char"/>
    <w:link w:val="9"/>
    <w:semiHidden/>
    <w:qFormat/>
    <w:locked/>
    <w:uiPriority w:val="99"/>
    <w:rPr>
      <w:rFonts w:ascii="Times New Roman" w:hAnsi="Times New Roman" w:cs="Times New Roman"/>
      <w:kern w:val="2"/>
      <w:sz w:val="18"/>
      <w:szCs w:val="18"/>
    </w:rPr>
  </w:style>
  <w:style w:type="character" w:customStyle="1" w:styleId="24">
    <w:name w:val="Footer Char"/>
    <w:semiHidden/>
    <w:qFormat/>
    <w:uiPriority w:val="99"/>
    <w:rPr>
      <w:rFonts w:ascii="Times New Roman" w:hAnsi="Times New Roman" w:cs="Times New Roman"/>
      <w:sz w:val="18"/>
      <w:szCs w:val="18"/>
    </w:rPr>
  </w:style>
  <w:style w:type="character" w:customStyle="1" w:styleId="25">
    <w:name w:val="Header Char"/>
    <w:semiHidden/>
    <w:qFormat/>
    <w:uiPriority w:val="99"/>
    <w:rPr>
      <w:rFonts w:ascii="Times New Roman" w:hAnsi="Times New Roman" w:cs="Times New Roman"/>
      <w:sz w:val="18"/>
      <w:szCs w:val="18"/>
    </w:rPr>
  </w:style>
  <w:style w:type="character" w:customStyle="1" w:styleId="26">
    <w:name w:val="页眉 Char"/>
    <w:link w:val="11"/>
    <w:semiHidden/>
    <w:qFormat/>
    <w:locked/>
    <w:uiPriority w:val="99"/>
    <w:rPr>
      <w:sz w:val="18"/>
    </w:rPr>
  </w:style>
  <w:style w:type="character" w:customStyle="1" w:styleId="27">
    <w:name w:val="页脚 Char"/>
    <w:link w:val="10"/>
    <w:qFormat/>
    <w:locked/>
    <w:uiPriority w:val="99"/>
    <w:rPr>
      <w:sz w:val="18"/>
    </w:rPr>
  </w:style>
  <w:style w:type="character" w:customStyle="1" w:styleId="28">
    <w:name w:val="正文文本 Char"/>
    <w:link w:val="5"/>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0">
    <w:name w:val="列出段落1"/>
    <w:basedOn w:val="1"/>
    <w:qFormat/>
    <w:uiPriority w:val="34"/>
    <w:pPr>
      <w:ind w:firstLine="420" w:firstLineChars="200"/>
    </w:pPr>
  </w:style>
  <w:style w:type="paragraph" w:customStyle="1" w:styleId="31">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3">
    <w:name w:val="正文文本缩进 Char"/>
    <w:basedOn w:val="16"/>
    <w:link w:val="6"/>
    <w:qFormat/>
    <w:uiPriority w:val="99"/>
    <w:rPr>
      <w:rFonts w:ascii="Times New Roman" w:hAnsi="Times New Roman"/>
      <w:kern w:val="2"/>
      <w:sz w:val="21"/>
      <w:szCs w:val="24"/>
    </w:rPr>
  </w:style>
  <w:style w:type="character" w:customStyle="1" w:styleId="34">
    <w:name w:val="style111"/>
    <w:basedOn w:val="16"/>
    <w:qFormat/>
    <w:uiPriority w:val="0"/>
    <w:rPr>
      <w:sz w:val="21"/>
      <w:szCs w:val="21"/>
    </w:rPr>
  </w:style>
  <w:style w:type="character" w:customStyle="1" w:styleId="35">
    <w:name w:val="纯文本 Char"/>
    <w:basedOn w:val="16"/>
    <w:link w:val="8"/>
    <w:qFormat/>
    <w:uiPriority w:val="0"/>
    <w:rPr>
      <w:rFonts w:ascii="宋体" w:hAnsi="Courier New"/>
      <w:kern w:val="2"/>
      <w:sz w:val="21"/>
      <w:szCs w:val="24"/>
    </w:rPr>
  </w:style>
  <w:style w:type="paragraph" w:styleId="3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37">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145918613051"/>
          <c:y val="0.169750702870327"/>
          <c:w val="0.700895851779667"/>
          <c:h val="0.709490103772616"/>
        </c:manualLayout>
      </c:layout>
      <c:barChart>
        <c:barDir val="col"/>
        <c:grouping val="clustered"/>
        <c:varyColors val="false"/>
        <c:ser>
          <c:idx val="0"/>
          <c:order val="0"/>
          <c:tx>
            <c:strRef>
              <c:f>Sheet1!$B$1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总收入</c:v>
                </c:pt>
                <c:pt idx="1">
                  <c:v>总支出</c:v>
                </c:pt>
              </c:strCache>
            </c:strRef>
          </c:cat>
          <c:val>
            <c:numRef>
              <c:f>Sheet1!$B$2:$B$3</c:f>
              <c:numCache>
                <c:formatCode>General</c:formatCode>
                <c:ptCount val="2"/>
                <c:pt idx="0">
                  <c:v>20927.15</c:v>
                </c:pt>
                <c:pt idx="1">
                  <c:v>20927.15</c:v>
                </c:pt>
              </c:numCache>
            </c:numRef>
          </c:val>
        </c:ser>
        <c:ser>
          <c:idx val="1"/>
          <c:order val="1"/>
          <c:tx>
            <c:strRef>
              <c:f>Sheet1!$C$1</c:f>
              <c:strCache>
                <c:ptCount val="1"/>
                <c:pt idx="0">
                  <c:v>2021年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总收入</c:v>
                </c:pt>
                <c:pt idx="1">
                  <c:v>总支出</c:v>
                </c:pt>
              </c:strCache>
            </c:strRef>
          </c:cat>
          <c:val>
            <c:numRef>
              <c:f>Sheet1!$C$2:$C$3</c:f>
              <c:numCache>
                <c:formatCode>General</c:formatCode>
                <c:ptCount val="2"/>
                <c:pt idx="0">
                  <c:v>10989.83</c:v>
                </c:pt>
                <c:pt idx="1">
                  <c:v>10989.83</c:v>
                </c:pt>
              </c:numCache>
            </c:numRef>
          </c:val>
        </c:ser>
        <c:dLbls>
          <c:showLegendKey val="false"/>
          <c:showVal val="true"/>
          <c:showCatName val="false"/>
          <c:showSerName val="false"/>
          <c:showPercent val="false"/>
          <c:showBubbleSize val="false"/>
        </c:dLbls>
        <c:gapWidth val="150"/>
        <c:axId val="195319296"/>
        <c:axId val="195333504"/>
      </c:barChart>
      <c:catAx>
        <c:axId val="195319296"/>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95333504"/>
        <c:crosses val="autoZero"/>
        <c:auto val="true"/>
        <c:lblAlgn val="ctr"/>
        <c:lblOffset val="100"/>
        <c:noMultiLvlLbl val="false"/>
      </c:catAx>
      <c:valAx>
        <c:axId val="19533350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95319296"/>
        <c:crosses val="autoZero"/>
        <c:crossBetween val="between"/>
      </c:valAx>
    </c:plotArea>
    <c:legend>
      <c:legendPos val="r"/>
      <c:layout>
        <c:manualLayout>
          <c:xMode val="edge"/>
          <c:yMode val="edge"/>
          <c:x val="0.852015524305549"/>
          <c:y val="0.422582266184703"/>
          <c:w val="0.111866007117519"/>
          <c:h val="0.166063593195889"/>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explosion val="0"/>
          <c:dPt>
            <c:idx val="0"/>
            <c:bubble3D val="false"/>
            <c:spPr>
              <a:solidFill>
                <a:schemeClr val="accent3">
                  <a:lumMod val="60000"/>
                  <a:lumOff val="40000"/>
                </a:schemeClr>
              </a:solidFill>
            </c:spPr>
          </c:dPt>
          <c:dPt>
            <c:idx val="1"/>
            <c:bubble3D val="false"/>
          </c:dPt>
          <c:dPt>
            <c:idx val="2"/>
            <c:bubble3D val="false"/>
            <c:spPr>
              <a:solidFill>
                <a:schemeClr val="accent1">
                  <a:lumMod val="75000"/>
                </a:schemeClr>
              </a:solidFill>
            </c:spPr>
          </c:dPt>
          <c:dPt>
            <c:idx val="3"/>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Sheet1!$A$2:$A$5</c:f>
              <c:strCache>
                <c:ptCount val="4"/>
                <c:pt idx="0">
                  <c:v>一般公共预算财政拨款收入</c:v>
                </c:pt>
                <c:pt idx="1">
                  <c:v>政府性基金预算财政拨款收入</c:v>
                </c:pt>
                <c:pt idx="2">
                  <c:v>事业收入</c:v>
                </c:pt>
                <c:pt idx="3">
                  <c:v>其他收入</c:v>
                </c:pt>
              </c:strCache>
            </c:strRef>
          </c:cat>
          <c:val>
            <c:numRef>
              <c:f>Sheet1!$B$2:$B$5</c:f>
              <c:numCache>
                <c:formatCode>General</c:formatCode>
                <c:ptCount val="4"/>
                <c:pt idx="0">
                  <c:v>850.07</c:v>
                </c:pt>
                <c:pt idx="1">
                  <c:v>0</c:v>
                </c:pt>
                <c:pt idx="2">
                  <c:v>8667.04999999999</c:v>
                </c:pt>
                <c:pt idx="3">
                  <c:v>501</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支出决算结构图</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10447.04</c:v>
                </c:pt>
                <c:pt idx="1">
                  <c:v>542.78</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财政拨款收入</c:v>
                </c:pt>
                <c:pt idx="1">
                  <c:v>财政拨款支出</c:v>
                </c:pt>
              </c:strCache>
            </c:strRef>
          </c:cat>
          <c:val>
            <c:numRef>
              <c:f>Sheet1!$B$2:$B$3</c:f>
              <c:numCache>
                <c:formatCode>General</c:formatCode>
                <c:ptCount val="2"/>
                <c:pt idx="0">
                  <c:v>12043.4</c:v>
                </c:pt>
                <c:pt idx="1">
                  <c:v>12043.4</c:v>
                </c:pt>
              </c:numCache>
            </c:numRef>
          </c:val>
        </c:ser>
        <c:ser>
          <c:idx val="1"/>
          <c:order val="1"/>
          <c:tx>
            <c:strRef>
              <c:f>Sheet1!$C$1</c:f>
              <c:strCache>
                <c:ptCount val="1"/>
                <c:pt idx="0">
                  <c:v>2021年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财政拨款收入</c:v>
                </c:pt>
                <c:pt idx="1">
                  <c:v>财政拨款支出</c:v>
                </c:pt>
              </c:strCache>
            </c:strRef>
          </c:cat>
          <c:val>
            <c:numRef>
              <c:f>Sheet1!$C$2:$C$3</c:f>
              <c:numCache>
                <c:formatCode>General</c:formatCode>
                <c:ptCount val="2"/>
                <c:pt idx="0">
                  <c:v>1126.77</c:v>
                </c:pt>
                <c:pt idx="1">
                  <c:v>1126.77</c:v>
                </c:pt>
              </c:numCache>
            </c:numRef>
          </c:val>
        </c:ser>
        <c:dLbls>
          <c:showLegendKey val="false"/>
          <c:showVal val="true"/>
          <c:showCatName val="false"/>
          <c:showSerName val="false"/>
          <c:showPercent val="false"/>
          <c:showBubbleSize val="false"/>
        </c:dLbls>
        <c:gapWidth val="150"/>
        <c:axId val="38461824"/>
        <c:axId val="38463360"/>
      </c:barChart>
      <c:catAx>
        <c:axId val="38461824"/>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8463360"/>
        <c:crosses val="autoZero"/>
        <c:auto val="true"/>
        <c:lblAlgn val="ctr"/>
        <c:lblOffset val="100"/>
        <c:noMultiLvlLbl val="false"/>
      </c:catAx>
      <c:valAx>
        <c:axId val="3846336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846182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Sheet1!$B$2</c:f>
              <c:numCache>
                <c:formatCode>General</c:formatCode>
                <c:ptCount val="1"/>
                <c:pt idx="0">
                  <c:v>334.25</c:v>
                </c:pt>
              </c:numCache>
            </c:numRef>
          </c:val>
        </c:ser>
        <c:ser>
          <c:idx val="1"/>
          <c:order val="1"/>
          <c:tx>
            <c:strRef>
              <c:f>Sheet1!$C$1</c:f>
              <c:strCache>
                <c:ptCount val="1"/>
                <c:pt idx="0">
                  <c:v>2021年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Sheet1!$C$2</c:f>
              <c:numCache>
                <c:formatCode>General</c:formatCode>
                <c:ptCount val="1"/>
                <c:pt idx="0">
                  <c:v>1126.77</c:v>
                </c:pt>
              </c:numCache>
            </c:numRef>
          </c:val>
        </c:ser>
        <c:dLbls>
          <c:showLegendKey val="false"/>
          <c:showVal val="true"/>
          <c:showCatName val="false"/>
          <c:showSerName val="false"/>
          <c:showPercent val="false"/>
          <c:showBubbleSize val="false"/>
        </c:dLbls>
        <c:gapWidth val="150"/>
        <c:axId val="38410880"/>
        <c:axId val="38441344"/>
      </c:barChart>
      <c:catAx>
        <c:axId val="38410880"/>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8441344"/>
        <c:crosses val="autoZero"/>
        <c:auto val="true"/>
        <c:lblAlgn val="ctr"/>
        <c:lblOffset val="100"/>
        <c:noMultiLvlLbl val="false"/>
      </c:catAx>
      <c:valAx>
        <c:axId val="3844134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8410880"/>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2021年一般公共预算财政拨款支出结构</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一般公共服务支出</c:v>
                </c:pt>
                <c:pt idx="1">
                  <c:v>社会保障和就业支出</c:v>
                </c:pt>
                <c:pt idx="2">
                  <c:v>卫生健康支出</c:v>
                </c:pt>
              </c:strCache>
            </c:strRef>
          </c:cat>
          <c:val>
            <c:numRef>
              <c:f>Sheet1!$B$2:$B$4</c:f>
              <c:numCache>
                <c:formatCode>General</c:formatCode>
                <c:ptCount val="3"/>
                <c:pt idx="0">
                  <c:v>7.49</c:v>
                </c:pt>
                <c:pt idx="1">
                  <c:v>519.929999999999</c:v>
                </c:pt>
                <c:pt idx="2">
                  <c:v>599.349999999999</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因公出国</c:v>
                </c:pt>
                <c:pt idx="1">
                  <c:v>公务用车购置及运行维护费</c:v>
                </c:pt>
                <c:pt idx="2">
                  <c:v>公务接待费</c:v>
                </c:pt>
              </c:strCache>
            </c:strRef>
          </c:cat>
          <c:val>
            <c:numRef>
              <c:f>Sheet1!$B$2:$B$4</c:f>
              <c:numCache>
                <c:formatCode>General</c:formatCode>
                <c:ptCount val="3"/>
                <c:pt idx="0">
                  <c:v>0</c:v>
                </c:pt>
                <c:pt idx="1">
                  <c:v>4.15</c:v>
                </c:pt>
                <c:pt idx="2">
                  <c:v>0.1</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5b8b26a-292d-4e72-8019-13377fc52ada}"/>
        <w:style w:val=""/>
        <w:category>
          <w:name w:val="常规"/>
          <w:gallery w:val="placeholder"/>
        </w:category>
        <w:types>
          <w:type w:val="bbPlcHdr"/>
        </w:types>
        <w:behaviors>
          <w:behavior w:val="content"/>
        </w:behaviors>
        <w:description w:val=""/>
        <w:guid w:val="{25b8b26a-292d-4e72-8019-13377fc52ada}"/>
      </w:docPartPr>
      <w:docPartBody>
        <w:p>
          <w:r>
            <w:rPr>
              <w:color w:val="808080"/>
            </w:rPr>
            <w:t>单击此处输入文字。</w:t>
          </w:r>
        </w:p>
      </w:docPartBody>
    </w:docPart>
    <w:docPart>
      <w:docPartPr>
        <w:name w:val="{94f17cc6-128e-414b-a801-fd7630cc1666}"/>
        <w:style w:val=""/>
        <w:category>
          <w:name w:val="常规"/>
          <w:gallery w:val="placeholder"/>
        </w:category>
        <w:types>
          <w:type w:val="bbPlcHdr"/>
        </w:types>
        <w:behaviors>
          <w:behavior w:val="content"/>
        </w:behaviors>
        <w:description w:val=""/>
        <w:guid w:val="{94f17cc6-128e-414b-a801-fd7630cc1666}"/>
      </w:docPartPr>
      <w:docPartBody>
        <w:p>
          <w:r>
            <w:rPr>
              <w:color w:val="808080"/>
            </w:rPr>
            <w:t>单击此处输入文字。</w:t>
          </w:r>
        </w:p>
      </w:docPartBody>
    </w:docPart>
    <w:docPart>
      <w:docPartPr>
        <w:name w:val="{888cf7d7-beb6-4ebe-ac59-f5e13a08f4cc}"/>
        <w:style w:val=""/>
        <w:category>
          <w:name w:val="常规"/>
          <w:gallery w:val="placeholder"/>
        </w:category>
        <w:types>
          <w:type w:val="bbPlcHdr"/>
        </w:types>
        <w:behaviors>
          <w:behavior w:val="content"/>
        </w:behaviors>
        <w:description w:val=""/>
        <w:guid w:val="{888cf7d7-beb6-4ebe-ac59-f5e13a08f4cc}"/>
      </w:docPartPr>
      <w:docPartBody>
        <w:p>
          <w:r>
            <w:rPr>
              <w:color w:val="808080"/>
            </w:rPr>
            <w:t>单击此处输入文字。</w:t>
          </w:r>
        </w:p>
      </w:docPartBody>
    </w:docPart>
    <w:docPart>
      <w:docPartPr>
        <w:name w:val="{c3543520-5ac0-4f24-83a7-370340cb84fd}"/>
        <w:style w:val=""/>
        <w:category>
          <w:name w:val="常规"/>
          <w:gallery w:val="placeholder"/>
        </w:category>
        <w:types>
          <w:type w:val="bbPlcHdr"/>
        </w:types>
        <w:behaviors>
          <w:behavior w:val="content"/>
        </w:behaviors>
        <w:description w:val=""/>
        <w:guid w:val="{c3543520-5ac0-4f24-83a7-370340cb84fd}"/>
      </w:docPartPr>
      <w:docPartBody>
        <w:p>
          <w:r>
            <w:rPr>
              <w:color w:val="808080"/>
            </w:rPr>
            <w:t>单击此处输入文字。</w:t>
          </w:r>
        </w:p>
      </w:docPartBody>
    </w:docPart>
    <w:docPart>
      <w:docPartPr>
        <w:name w:val="{936f28bc-cf2b-4026-8d86-d5e3c8e93fe0}"/>
        <w:style w:val=""/>
        <w:category>
          <w:name w:val="常规"/>
          <w:gallery w:val="placeholder"/>
        </w:category>
        <w:types>
          <w:type w:val="bbPlcHdr"/>
        </w:types>
        <w:behaviors>
          <w:behavior w:val="content"/>
        </w:behaviors>
        <w:description w:val=""/>
        <w:guid w:val="{936f28bc-cf2b-4026-8d86-d5e3c8e93fe0}"/>
      </w:docPartPr>
      <w:docPartBody>
        <w:p>
          <w:r>
            <w:rPr>
              <w:color w:val="808080"/>
            </w:rPr>
            <w:t>单击此处输入文字。</w:t>
          </w:r>
        </w:p>
      </w:docPartBody>
    </w:docPart>
    <w:docPart>
      <w:docPartPr>
        <w:name w:val="{84e31837-8a07-470c-b42e-9bac38efe5a5}"/>
        <w:style w:val=""/>
        <w:category>
          <w:name w:val="常规"/>
          <w:gallery w:val="placeholder"/>
        </w:category>
        <w:types>
          <w:type w:val="bbPlcHdr"/>
        </w:types>
        <w:behaviors>
          <w:behavior w:val="content"/>
        </w:behaviors>
        <w:description w:val=""/>
        <w:guid w:val="{84e31837-8a07-470c-b42e-9bac38efe5a5}"/>
      </w:docPartPr>
      <w:docPartBody>
        <w:p>
          <w:r>
            <w:rPr>
              <w:color w:val="808080"/>
            </w:rPr>
            <w:t>单击此处输入文字。</w:t>
          </w:r>
        </w:p>
      </w:docPartBody>
    </w:docPart>
    <w:docPart>
      <w:docPartPr>
        <w:name w:val="{15c069c7-0eee-4c6e-9f22-a7beb8389d89}"/>
        <w:style w:val=""/>
        <w:category>
          <w:name w:val="常规"/>
          <w:gallery w:val="placeholder"/>
        </w:category>
        <w:types>
          <w:type w:val="bbPlcHdr"/>
        </w:types>
        <w:behaviors>
          <w:behavior w:val="content"/>
        </w:behaviors>
        <w:description w:val=""/>
        <w:guid w:val="{15c069c7-0eee-4c6e-9f22-a7beb8389d89}"/>
      </w:docPartPr>
      <w:docPartBody>
        <w:p>
          <w:r>
            <w:rPr>
              <w:color w:val="808080"/>
            </w:rPr>
            <w:t>单击此处输入文字。</w:t>
          </w:r>
        </w:p>
      </w:docPartBody>
    </w:docPart>
    <w:docPart>
      <w:docPartPr>
        <w:name w:val="{d9eedc88-1ca5-45b3-9645-502d0cf57dcc}"/>
        <w:style w:val=""/>
        <w:category>
          <w:name w:val="常规"/>
          <w:gallery w:val="placeholder"/>
        </w:category>
        <w:types>
          <w:type w:val="bbPlcHdr"/>
        </w:types>
        <w:behaviors>
          <w:behavior w:val="content"/>
        </w:behaviors>
        <w:description w:val=""/>
        <w:guid w:val="{d9eedc88-1ca5-45b3-9645-502d0cf57dcc}"/>
      </w:docPartPr>
      <w:docPartBody>
        <w:p>
          <w:r>
            <w:rPr>
              <w:color w:val="808080"/>
            </w:rPr>
            <w:t>单击此处输入文字。</w:t>
          </w:r>
        </w:p>
      </w:docPartBody>
    </w:docPart>
    <w:docPart>
      <w:docPartPr>
        <w:name w:val="{dda3c708-7aba-4553-bb9e-b1cf1c5efdf8}"/>
        <w:style w:val=""/>
        <w:category>
          <w:name w:val="常规"/>
          <w:gallery w:val="placeholder"/>
        </w:category>
        <w:types>
          <w:type w:val="bbPlcHdr"/>
        </w:types>
        <w:behaviors>
          <w:behavior w:val="content"/>
        </w:behaviors>
        <w:description w:val=""/>
        <w:guid w:val="{dda3c708-7aba-4553-bb9e-b1cf1c5efdf8}"/>
      </w:docPartPr>
      <w:docPartBody>
        <w:p>
          <w:r>
            <w:rPr>
              <w:color w:val="808080"/>
            </w:rPr>
            <w:t>单击此处输入文字。</w:t>
          </w:r>
        </w:p>
      </w:docPartBody>
    </w:docPart>
    <w:docPart>
      <w:docPartPr>
        <w:name w:val="{8f563f7c-79f2-467d-bc07-aaf695cb62c4}"/>
        <w:style w:val=""/>
        <w:category>
          <w:name w:val="常规"/>
          <w:gallery w:val="placeholder"/>
        </w:category>
        <w:types>
          <w:type w:val="bbPlcHdr"/>
        </w:types>
        <w:behaviors>
          <w:behavior w:val="content"/>
        </w:behaviors>
        <w:description w:val=""/>
        <w:guid w:val="{8f563f7c-79f2-467d-bc07-aaf695cb62c4}"/>
      </w:docPartPr>
      <w:docPartBody>
        <w:p>
          <w:r>
            <w:rPr>
              <w:color w:val="808080"/>
            </w:rPr>
            <w:t>单击此处输入文字。</w:t>
          </w:r>
        </w:p>
      </w:docPartBody>
    </w:docPart>
    <w:docPart>
      <w:docPartPr>
        <w:name w:val="{f945ea94-cf60-4684-a23a-78985b27af27}"/>
        <w:style w:val=""/>
        <w:category>
          <w:name w:val="常规"/>
          <w:gallery w:val="placeholder"/>
        </w:category>
        <w:types>
          <w:type w:val="bbPlcHdr"/>
        </w:types>
        <w:behaviors>
          <w:behavior w:val="content"/>
        </w:behaviors>
        <w:description w:val=""/>
        <w:guid w:val="{f945ea94-cf60-4684-a23a-78985b27af27}"/>
      </w:docPartPr>
      <w:docPartBody>
        <w:p>
          <w:r>
            <w:rPr>
              <w:color w:val="808080"/>
            </w:rPr>
            <w:t>单击此处输入文字。</w:t>
          </w:r>
        </w:p>
      </w:docPartBody>
    </w:docPart>
    <w:docPart>
      <w:docPartPr>
        <w:name w:val="{a1d3a3c3-da3b-451e-82ba-6d93c89ddfda}"/>
        <w:style w:val=""/>
        <w:category>
          <w:name w:val="常规"/>
          <w:gallery w:val="placeholder"/>
        </w:category>
        <w:types>
          <w:type w:val="bbPlcHdr"/>
        </w:types>
        <w:behaviors>
          <w:behavior w:val="content"/>
        </w:behaviors>
        <w:description w:val=""/>
        <w:guid w:val="{a1d3a3c3-da3b-451e-82ba-6d93c89ddfda}"/>
      </w:docPartPr>
      <w:docPartBody>
        <w:p>
          <w:r>
            <w:rPr>
              <w:color w:val="808080"/>
            </w:rPr>
            <w:t>单击此处输入文字。</w:t>
          </w:r>
        </w:p>
      </w:docPartBody>
    </w:docPart>
    <w:docPart>
      <w:docPartPr>
        <w:name w:val="{d6b571f7-76cc-4784-a1cd-131bea95092e}"/>
        <w:style w:val=""/>
        <w:category>
          <w:name w:val="常规"/>
          <w:gallery w:val="placeholder"/>
        </w:category>
        <w:types>
          <w:type w:val="bbPlcHdr"/>
        </w:types>
        <w:behaviors>
          <w:behavior w:val="content"/>
        </w:behaviors>
        <w:description w:val=""/>
        <w:guid w:val="{d6b571f7-76cc-4784-a1cd-131bea95092e}"/>
      </w:docPartPr>
      <w:docPartBody>
        <w:p>
          <w:r>
            <w:rPr>
              <w:color w:val="808080"/>
            </w:rPr>
            <w:t>单击此处输入文字。</w:t>
          </w:r>
        </w:p>
      </w:docPartBody>
    </w:docPart>
    <w:docPart>
      <w:docPartPr>
        <w:name w:val="{4d926b4c-3da0-4432-8e53-926a2958a0d2}"/>
        <w:style w:val=""/>
        <w:category>
          <w:name w:val="常规"/>
          <w:gallery w:val="placeholder"/>
        </w:category>
        <w:types>
          <w:type w:val="bbPlcHdr"/>
        </w:types>
        <w:behaviors>
          <w:behavior w:val="content"/>
        </w:behaviors>
        <w:description w:val=""/>
        <w:guid w:val="{4d926b4c-3da0-4432-8e53-926a2958a0d2}"/>
      </w:docPartPr>
      <w:docPartBody>
        <w:p>
          <w:r>
            <w:rPr>
              <w:color w:val="808080"/>
            </w:rPr>
            <w:t>单击此处输入文字。</w:t>
          </w:r>
        </w:p>
      </w:docPartBody>
    </w:docPart>
    <w:docPart>
      <w:docPartPr>
        <w:name w:val="{d6b39090-400b-4891-894e-69e580c55029}"/>
        <w:style w:val=""/>
        <w:category>
          <w:name w:val="常规"/>
          <w:gallery w:val="placeholder"/>
        </w:category>
        <w:types>
          <w:type w:val="bbPlcHdr"/>
        </w:types>
        <w:behaviors>
          <w:behavior w:val="content"/>
        </w:behaviors>
        <w:description w:val=""/>
        <w:guid w:val="{d6b39090-400b-4891-894e-69e580c55029}"/>
      </w:docPartPr>
      <w:docPartBody>
        <w:p>
          <w:r>
            <w:rPr>
              <w:color w:val="808080"/>
            </w:rPr>
            <w:t>单击此处输入文字。</w:t>
          </w:r>
        </w:p>
      </w:docPartBody>
    </w:docPart>
    <w:docPart>
      <w:docPartPr>
        <w:name w:val="{dd53454f-3b2d-41be-9720-2dfb3bf1442e}"/>
        <w:style w:val=""/>
        <w:category>
          <w:name w:val="常规"/>
          <w:gallery w:val="placeholder"/>
        </w:category>
        <w:types>
          <w:type w:val="bbPlcHdr"/>
        </w:types>
        <w:behaviors>
          <w:behavior w:val="content"/>
        </w:behaviors>
        <w:description w:val=""/>
        <w:guid w:val="{dd53454f-3b2d-41be-9720-2dfb3bf1442e}"/>
      </w:docPartPr>
      <w:docPartBody>
        <w:p>
          <w:r>
            <w:rPr>
              <w:color w:val="808080"/>
            </w:rPr>
            <w:t>单击此处输入文字。</w:t>
          </w:r>
        </w:p>
      </w:docPartBody>
    </w:docPart>
    <w:docPart>
      <w:docPartPr>
        <w:name w:val="{f1af8daa-eb78-4f0a-baac-ebdfd20f9fff}"/>
        <w:style w:val=""/>
        <w:category>
          <w:name w:val="常规"/>
          <w:gallery w:val="placeholder"/>
        </w:category>
        <w:types>
          <w:type w:val="bbPlcHdr"/>
        </w:types>
        <w:behaviors>
          <w:behavior w:val="content"/>
        </w:behaviors>
        <w:description w:val=""/>
        <w:guid w:val="{f1af8daa-eb78-4f0a-baac-ebdfd20f9fff}"/>
      </w:docPartPr>
      <w:docPartBody>
        <w:p>
          <w:r>
            <w:rPr>
              <w:color w:val="808080"/>
            </w:rPr>
            <w:t>单击此处输入文字。</w:t>
          </w:r>
        </w:p>
      </w:docPartBody>
    </w:docPart>
    <w:docPart>
      <w:docPartPr>
        <w:name w:val="{3328ac09-dc81-4a09-b899-8b172862e707}"/>
        <w:style w:val=""/>
        <w:category>
          <w:name w:val="常规"/>
          <w:gallery w:val="placeholder"/>
        </w:category>
        <w:types>
          <w:type w:val="bbPlcHdr"/>
        </w:types>
        <w:behaviors>
          <w:behavior w:val="content"/>
        </w:behaviors>
        <w:description w:val=""/>
        <w:guid w:val="{3328ac09-dc81-4a09-b899-8b172862e707}"/>
      </w:docPartPr>
      <w:docPartBody>
        <w:p>
          <w:r>
            <w:rPr>
              <w:color w:val="808080"/>
            </w:rPr>
            <w:t>单击此处输入文字。</w:t>
          </w:r>
        </w:p>
      </w:docPartBody>
    </w:docPart>
    <w:docPart>
      <w:docPartPr>
        <w:name w:val="{7ae89546-47a4-4e82-90d3-c4242b8f8fde}"/>
        <w:style w:val=""/>
        <w:category>
          <w:name w:val="常规"/>
          <w:gallery w:val="placeholder"/>
        </w:category>
        <w:types>
          <w:type w:val="bbPlcHdr"/>
        </w:types>
        <w:behaviors>
          <w:behavior w:val="content"/>
        </w:behaviors>
        <w:description w:val=""/>
        <w:guid w:val="{7ae89546-47a4-4e82-90d3-c4242b8f8fde}"/>
      </w:docPartPr>
      <w:docPartBody>
        <w:p>
          <w:r>
            <w:rPr>
              <w:color w:val="808080"/>
            </w:rPr>
            <w:t>单击此处输入文字。</w:t>
          </w:r>
        </w:p>
      </w:docPartBody>
    </w:docPart>
    <w:docPart>
      <w:docPartPr>
        <w:name w:val="{b2855f82-3bb6-46c3-b997-5754ad95177a}"/>
        <w:style w:val=""/>
        <w:category>
          <w:name w:val="常规"/>
          <w:gallery w:val="placeholder"/>
        </w:category>
        <w:types>
          <w:type w:val="bbPlcHdr"/>
        </w:types>
        <w:behaviors>
          <w:behavior w:val="content"/>
        </w:behaviors>
        <w:description w:val=""/>
        <w:guid w:val="{b2855f82-3bb6-46c3-b997-5754ad95177a}"/>
      </w:docPartPr>
      <w:docPartBody>
        <w:p>
          <w:r>
            <w:rPr>
              <w:color w:val="808080"/>
            </w:rPr>
            <w:t>单击此处输入文字。</w:t>
          </w:r>
        </w:p>
      </w:docPartBody>
    </w:docPart>
    <w:docPart>
      <w:docPartPr>
        <w:name w:val="{1249e92c-8c76-433e-91f4-26bdc24e524e}"/>
        <w:style w:val=""/>
        <w:category>
          <w:name w:val="常规"/>
          <w:gallery w:val="placeholder"/>
        </w:category>
        <w:types>
          <w:type w:val="bbPlcHdr"/>
        </w:types>
        <w:behaviors>
          <w:behavior w:val="content"/>
        </w:behaviors>
        <w:description w:val=""/>
        <w:guid w:val="{1249e92c-8c76-433e-91f4-26bdc24e524e}"/>
      </w:docPartPr>
      <w:docPartBody>
        <w:p>
          <w:r>
            <w:rPr>
              <w:color w:val="808080"/>
            </w:rPr>
            <w:t>单击此处输入文字。</w:t>
          </w:r>
        </w:p>
      </w:docPartBody>
    </w:docPart>
    <w:docPart>
      <w:docPartPr>
        <w:name w:val="{db040e96-0cae-4e32-afa9-d49bca210d72}"/>
        <w:style w:val=""/>
        <w:category>
          <w:name w:val="常规"/>
          <w:gallery w:val="placeholder"/>
        </w:category>
        <w:types>
          <w:type w:val="bbPlcHdr"/>
        </w:types>
        <w:behaviors>
          <w:behavior w:val="content"/>
        </w:behaviors>
        <w:description w:val=""/>
        <w:guid w:val="{db040e96-0cae-4e32-afa9-d49bca210d72}"/>
      </w:docPartPr>
      <w:docPartBody>
        <w:p>
          <w:r>
            <w:rPr>
              <w:color w:val="808080"/>
            </w:rPr>
            <w:t>单击此处输入文字。</w:t>
          </w:r>
        </w:p>
      </w:docPartBody>
    </w:docPart>
    <w:docPart>
      <w:docPartPr>
        <w:name w:val="{0d7190c0-dab5-4e63-ad53-c35dd8b2556a}"/>
        <w:style w:val=""/>
        <w:category>
          <w:name w:val="常规"/>
          <w:gallery w:val="placeholder"/>
        </w:category>
        <w:types>
          <w:type w:val="bbPlcHdr"/>
        </w:types>
        <w:behaviors>
          <w:behavior w:val="content"/>
        </w:behaviors>
        <w:description w:val=""/>
        <w:guid w:val="{0d7190c0-dab5-4e63-ad53-c35dd8b2556a}"/>
      </w:docPartPr>
      <w:docPartBody>
        <w:p>
          <w:r>
            <w:rPr>
              <w:color w:val="808080"/>
            </w:rPr>
            <w:t>单击此处输入文字。</w:t>
          </w:r>
        </w:p>
      </w:docPartBody>
    </w:docPart>
    <w:docPart>
      <w:docPartPr>
        <w:name w:val="{67b24dd1-66a0-4ab2-aeb1-5d57f29d97a3}"/>
        <w:style w:val=""/>
        <w:category>
          <w:name w:val="常规"/>
          <w:gallery w:val="placeholder"/>
        </w:category>
        <w:types>
          <w:type w:val="bbPlcHdr"/>
        </w:types>
        <w:behaviors>
          <w:behavior w:val="content"/>
        </w:behaviors>
        <w:description w:val=""/>
        <w:guid w:val="{67b24dd1-66a0-4ab2-aeb1-5d57f29d97a3}"/>
      </w:docPartPr>
      <w:docPartBody>
        <w:p>
          <w:r>
            <w:rPr>
              <w:color w:val="808080"/>
            </w:rPr>
            <w:t>单击此处输入文字。</w:t>
          </w:r>
        </w:p>
      </w:docPartBody>
    </w:docPart>
    <w:docPart>
      <w:docPartPr>
        <w:name w:val="{de2afa9e-69ec-4310-bcaa-b6174569c30b}"/>
        <w:style w:val=""/>
        <w:category>
          <w:name w:val="常规"/>
          <w:gallery w:val="placeholder"/>
        </w:category>
        <w:types>
          <w:type w:val="bbPlcHdr"/>
        </w:types>
        <w:behaviors>
          <w:behavior w:val="content"/>
        </w:behaviors>
        <w:description w:val=""/>
        <w:guid w:val="{de2afa9e-69ec-4310-bcaa-b6174569c30b}"/>
      </w:docPartPr>
      <w:docPartBody>
        <w:p>
          <w:r>
            <w:rPr>
              <w:color w:val="808080"/>
            </w:rPr>
            <w:t>单击此处输入文字。</w:t>
          </w:r>
        </w:p>
      </w:docPartBody>
    </w:docPart>
    <w:docPart>
      <w:docPartPr>
        <w:name w:val="{dbf155a3-e34d-446b-82eb-78cdbe0209df}"/>
        <w:style w:val=""/>
        <w:category>
          <w:name w:val="常规"/>
          <w:gallery w:val="placeholder"/>
        </w:category>
        <w:types>
          <w:type w:val="bbPlcHdr"/>
        </w:types>
        <w:behaviors>
          <w:behavior w:val="content"/>
        </w:behaviors>
        <w:description w:val=""/>
        <w:guid w:val="{dbf155a3-e34d-446b-82eb-78cdbe0209df}"/>
      </w:docPartPr>
      <w:docPartBody>
        <w:p>
          <w:r>
            <w:rPr>
              <w:color w:val="808080"/>
            </w:rPr>
            <w:t>单击此处输入文字。</w:t>
          </w:r>
        </w:p>
      </w:docPartBody>
    </w:docPart>
    <w:docPart>
      <w:docPartPr>
        <w:name w:val="{ffc28834-75f6-4454-9f5c-ff65dabad483}"/>
        <w:style w:val=""/>
        <w:category>
          <w:name w:val="常规"/>
          <w:gallery w:val="placeholder"/>
        </w:category>
        <w:types>
          <w:type w:val="bbPlcHdr"/>
        </w:types>
        <w:behaviors>
          <w:behavior w:val="content"/>
        </w:behaviors>
        <w:description w:val=""/>
        <w:guid w:val="{ffc28834-75f6-4454-9f5c-ff65dabad483}"/>
      </w:docPartPr>
      <w:docPartBody>
        <w:p>
          <w:r>
            <w:rPr>
              <w:color w:val="808080"/>
            </w:rPr>
            <w:t>单击此处输入文字。</w:t>
          </w:r>
        </w:p>
      </w:docPartBody>
    </w:docPart>
    <w:docPart>
      <w:docPartPr>
        <w:name w:val="{2b3a9f88-2be5-4caa-85f2-96f59a6845ea}"/>
        <w:style w:val=""/>
        <w:category>
          <w:name w:val="常规"/>
          <w:gallery w:val="placeholder"/>
        </w:category>
        <w:types>
          <w:type w:val="bbPlcHdr"/>
        </w:types>
        <w:behaviors>
          <w:behavior w:val="content"/>
        </w:behaviors>
        <w:description w:val=""/>
        <w:guid w:val="{2b3a9f88-2be5-4caa-85f2-96f59a6845ea}"/>
      </w:docPartPr>
      <w:docPartBody>
        <w:p>
          <w:r>
            <w:rPr>
              <w:color w:val="808080"/>
            </w:rPr>
            <w:t>单击此处输入文字。</w:t>
          </w:r>
        </w:p>
      </w:docPartBody>
    </w:docPart>
    <w:docPart>
      <w:docPartPr>
        <w:name w:val="{69baec6a-3316-4692-ae0c-0049d6e850d7}"/>
        <w:style w:val=""/>
        <w:category>
          <w:name w:val="常规"/>
          <w:gallery w:val="placeholder"/>
        </w:category>
        <w:types>
          <w:type w:val="bbPlcHdr"/>
        </w:types>
        <w:behaviors>
          <w:behavior w:val="content"/>
        </w:behaviors>
        <w:description w:val=""/>
        <w:guid w:val="{69baec6a-3316-4692-ae0c-0049d6e850d7}"/>
      </w:docPartPr>
      <w:docPartBody>
        <w:p>
          <w:r>
            <w:rPr>
              <w:color w:val="808080"/>
            </w:rPr>
            <w:t>单击此处输入文字。</w:t>
          </w:r>
        </w:p>
      </w:docPartBody>
    </w:docPart>
    <w:docPart>
      <w:docPartPr>
        <w:name w:val="{842812cd-dae5-47f8-86d3-d8eb84020d59}"/>
        <w:style w:val=""/>
        <w:category>
          <w:name w:val="常规"/>
          <w:gallery w:val="placeholder"/>
        </w:category>
        <w:types>
          <w:type w:val="bbPlcHdr"/>
        </w:types>
        <w:behaviors>
          <w:behavior w:val="content"/>
        </w:behaviors>
        <w:description w:val=""/>
        <w:guid w:val="{842812cd-dae5-47f8-86d3-d8eb84020d59}"/>
      </w:docPartPr>
      <w:docPartBody>
        <w:p>
          <w:r>
            <w:rPr>
              <w:color w:val="808080"/>
            </w:rPr>
            <w:t>单击此处输入文字。</w:t>
          </w:r>
        </w:p>
      </w:docPartBody>
    </w:docPart>
    <w:docPart>
      <w:docPartPr>
        <w:name w:val="{910be5a5-5b07-43a4-b08e-8e7febb663e0}"/>
        <w:style w:val=""/>
        <w:category>
          <w:name w:val="常规"/>
          <w:gallery w:val="placeholder"/>
        </w:category>
        <w:types>
          <w:type w:val="bbPlcHdr"/>
        </w:types>
        <w:behaviors>
          <w:behavior w:val="content"/>
        </w:behaviors>
        <w:description w:val=""/>
        <w:guid w:val="{910be5a5-5b07-43a4-b08e-8e7febb663e0}"/>
      </w:docPartPr>
      <w:docPartBody>
        <w:p>
          <w:r>
            <w:rPr>
              <w:color w:val="808080"/>
            </w:rPr>
            <w:t>单击此处输入文字。</w:t>
          </w:r>
        </w:p>
      </w:docPartBody>
    </w:docPart>
    <w:docPart>
      <w:docPartPr>
        <w:name w:val="{76d659b5-0928-41db-bbc7-b57a7b9d67fa}"/>
        <w:style w:val=""/>
        <w:category>
          <w:name w:val="常规"/>
          <w:gallery w:val="placeholder"/>
        </w:category>
        <w:types>
          <w:type w:val="bbPlcHdr"/>
        </w:types>
        <w:behaviors>
          <w:behavior w:val="content"/>
        </w:behaviors>
        <w:description w:val=""/>
        <w:guid w:val="{76d659b5-0928-41db-bbc7-b57a7b9d67fa}"/>
      </w:docPartPr>
      <w:docPartBody>
        <w:p>
          <w:r>
            <w:rPr>
              <w:color w:val="808080"/>
            </w:rPr>
            <w:t>单击此处输入文字。</w:t>
          </w:r>
        </w:p>
      </w:docPartBody>
    </w:docPart>
    <w:docPart>
      <w:docPartPr>
        <w:name w:val="{00821191-0197-4f6c-9f03-c9abb058e262}"/>
        <w:style w:val=""/>
        <w:category>
          <w:name w:val="常规"/>
          <w:gallery w:val="placeholder"/>
        </w:category>
        <w:types>
          <w:type w:val="bbPlcHdr"/>
        </w:types>
        <w:behaviors>
          <w:behavior w:val="content"/>
        </w:behaviors>
        <w:description w:val=""/>
        <w:guid w:val="{00821191-0197-4f6c-9f03-c9abb058e26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34</Pages>
  <Words>2504</Words>
  <Characters>14279</Characters>
  <Lines>118</Lines>
  <Paragraphs>33</Paragraphs>
  <TotalTime>1</TotalTime>
  <ScaleCrop>false</ScaleCrop>
  <LinksUpToDate>false</LinksUpToDate>
  <CharactersWithSpaces>16750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2021-10-16T23:14:00Z</dcterms:created>
  <dc:creator>曹颖</dc:creator>
  <cp:lastModifiedBy>user</cp:lastModifiedBy>
  <cp:lastPrinted>2021-10-19T18:47:00Z</cp:lastPrinted>
  <dcterms:modified xsi:type="dcterms:W3CDTF">2023-11-27T09:21:58Z</dcterms:modified>
  <dc:title>四川省***</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7B041074708745D889F81357DC0647E0</vt:lpwstr>
  </property>
</Properties>
</file>