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hint="default" w:ascii="Times New Roman" w:hAnsi="Times New Roman" w:eastAsia="方正小标宋简体" w:cs="Times New Roman"/>
          <w:sz w:val="72"/>
          <w:szCs w:val="72"/>
        </w:rPr>
      </w:pPr>
      <w:bookmarkStart w:id="0" w:name="_Toc15306267"/>
    </w:p>
    <w:p>
      <w:pPr>
        <w:adjustRightInd w:val="0"/>
        <w:snapToGrid w:val="0"/>
        <w:spacing w:line="360" w:lineRule="auto"/>
        <w:jc w:val="center"/>
        <w:outlineLvl w:val="0"/>
        <w:rPr>
          <w:rFonts w:hint="default" w:ascii="Times New Roman" w:hAnsi="Times New Roman" w:eastAsia="方正小标宋简体" w:cs="Times New Roman"/>
          <w:sz w:val="84"/>
          <w:szCs w:val="84"/>
        </w:rPr>
      </w:pPr>
      <w:bookmarkStart w:id="1" w:name="_Toc15396597"/>
      <w:bookmarkStart w:id="2" w:name="_Toc15378441"/>
      <w:bookmarkStart w:id="3" w:name="_Toc15396475"/>
      <w:bookmarkStart w:id="4" w:name="_Toc15377193"/>
      <w:bookmarkStart w:id="5" w:name="_Toc15377425"/>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25695"/>
    </w:p>
    <w:p>
      <w:pPr>
        <w:adjustRightInd w:val="0"/>
        <w:snapToGrid w:val="0"/>
        <w:spacing w:line="360" w:lineRule="auto"/>
        <w:jc w:val="both"/>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2022年度</w:t>
      </w:r>
      <w:bookmarkEnd w:id="1"/>
      <w:bookmarkEnd w:id="2"/>
      <w:bookmarkEnd w:id="3"/>
      <w:bookmarkEnd w:id="4"/>
      <w:bookmarkEnd w:id="5"/>
      <w:bookmarkEnd w:id="6"/>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7" w:name="_Toc21232"/>
      <w:bookmarkStart w:id="8" w:name="_Toc15377194"/>
      <w:bookmarkStart w:id="9" w:name="_Toc15377426"/>
      <w:bookmarkStart w:id="10" w:name="_Toc15396476"/>
      <w:bookmarkStart w:id="11" w:name="_Toc15378442"/>
      <w:bookmarkStart w:id="12" w:name="_Toc15396598"/>
      <w:r>
        <w:rPr>
          <w:rFonts w:hint="default" w:ascii="Times New Roman" w:hAnsi="Times New Roman" w:eastAsia="方正小标宋简体" w:cs="Times New Roman"/>
          <w:sz w:val="72"/>
          <w:szCs w:val="72"/>
        </w:rPr>
        <w:t>攀枝花市</w:t>
      </w:r>
      <w:bookmarkEnd w:id="0"/>
      <w:bookmarkStart w:id="13" w:name="_Toc15306268"/>
      <w:r>
        <w:rPr>
          <w:rFonts w:hint="default" w:ascii="Times New Roman" w:hAnsi="Times New Roman" w:eastAsia="方正小标宋简体" w:cs="Times New Roman"/>
          <w:sz w:val="72"/>
          <w:szCs w:val="72"/>
        </w:rPr>
        <w:t>第二人民</w:t>
      </w:r>
      <w:bookmarkEnd w:id="7"/>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14" w:name="_Toc22651"/>
      <w:r>
        <w:rPr>
          <w:rFonts w:hint="default" w:ascii="Times New Roman" w:hAnsi="Times New Roman" w:eastAsia="方正小标宋简体" w:cs="Times New Roman"/>
          <w:sz w:val="72"/>
          <w:szCs w:val="72"/>
        </w:rPr>
        <w:t>医院单位决算</w:t>
      </w:r>
      <w:bookmarkEnd w:id="8"/>
      <w:bookmarkEnd w:id="9"/>
      <w:bookmarkEnd w:id="10"/>
      <w:bookmarkEnd w:id="11"/>
      <w:bookmarkEnd w:id="12"/>
      <w:bookmarkEnd w:id="13"/>
      <w:bookmarkEnd w:id="14"/>
    </w:p>
    <w:p>
      <w:pPr>
        <w:widowControl/>
        <w:jc w:val="center"/>
        <w:rPr>
          <w:rFonts w:hint="default" w:ascii="Times New Roman" w:hAnsi="Times New Roman" w:eastAsia="黑体" w:cs="Times New Roman"/>
          <w:sz w:val="28"/>
          <w:szCs w:val="2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pStyle w:val="8"/>
        <w:rPr>
          <w:rFonts w:hint="default" w:ascii="Times New Roman" w:hAnsi="Times New Roman" w:cs="Times New Roman"/>
        </w:rPr>
      </w:pPr>
      <w:r>
        <w:rPr>
          <w:rFonts w:hint="default" w:ascii="Times New Roman" w:hAnsi="Times New Roman" w:cs="Times New Roman"/>
        </w:rPr>
        <w:t>公开时间：</w:t>
      </w:r>
      <w:r>
        <w:rPr>
          <w:rFonts w:hint="eastAsia" w:ascii="Times New Roman" w:hAnsi="Times New Roman" w:cs="Times New Roman"/>
          <w:lang w:val="en-US" w:eastAsia="zh-CN"/>
        </w:rPr>
        <w:t>2023</w:t>
      </w:r>
      <w:r>
        <w:rPr>
          <w:rFonts w:hint="default" w:ascii="Times New Roman" w:hAnsi="Times New Roman" w:cs="Times New Roman"/>
        </w:rPr>
        <w:t>年</w:t>
      </w:r>
      <w:r>
        <w:rPr>
          <w:rFonts w:hint="eastAsia"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14</w:t>
      </w:r>
      <w:bookmarkStart w:id="100" w:name="_GoBack"/>
      <w:bookmarkEnd w:id="100"/>
      <w:r>
        <w:rPr>
          <w:rFonts w:hint="default" w:ascii="Times New Roman" w:hAnsi="Times New Roman" w:cs="Times New Roman"/>
        </w:rPr>
        <w:t>日</w:t>
      </w:r>
    </w:p>
    <w:p>
      <w:pPr>
        <w:rPr>
          <w:rFonts w:hint="default" w:ascii="Times New Roman" w:hAnsi="Times New Roman" w:cs="Times New Roman"/>
        </w:rPr>
      </w:pP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outlineLvl w:val="1"/>
        <w:rPr>
          <w:rFonts w:hint="eastAsia" w:asciiTheme="minorEastAsia" w:hAnsiTheme="minorEastAsia" w:eastAsiaTheme="minorEastAsia" w:cstheme="minorEastAsia"/>
          <w:b w:val="0"/>
          <w:bCs w:val="0"/>
          <w:sz w:val="24"/>
          <w:szCs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TOC \o "1-2" \h \u </w:instrText>
      </w:r>
      <w:r>
        <w:rPr>
          <w:rFonts w:hint="default" w:ascii="Times New Roman" w:hAnsi="Times New Roman" w:cs="Times New Roman"/>
          <w:sz w:val="24"/>
        </w:rPr>
        <w:fldChar w:fldCharType="separate"/>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_Toc13460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第一部分 单位概况</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_Toc13460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_Toc16885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第二部分 2022年度单位决算情况说明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_Toc16885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_Toc26538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eastAsia="zh-CN"/>
        </w:rPr>
        <w:t>第三部分</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名词解释</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_Toc26538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_Toc24673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第四部分 附件</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_Toc24673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_Toc29457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第五部分 附表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_Toc29457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_Toc25200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一、收入支出决算总表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_Toc25200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_Toc16267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二、收入决算表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_Toc16267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_Toc9672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三、支出决算表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_Toc9672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_Toc15575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四、财政拨款收入支出决算总表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_Toc15575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_Toc4870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五、财政拨款支出决算明细表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_Toc4870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_Toc5204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六、一般公共预算财政拨款支出决算表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_Toc5204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_Toc17165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七、一般公共预算财政拨款支出决算明细表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_Toc17165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_Toc9321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八、一般公共预算财政拨款基本支出决算表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_Toc9321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_Toc26478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九、一般公共预算财政拨款项目支出决算表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_Toc26478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_Toc6664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十、政府性基金预算财政拨款收入支出决算表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_Toc6664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_Toc15467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十一、国有资本经营预算财政拨款收入支出决算表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_Toc15467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default" w:asciiTheme="minorEastAsia" w:hAnsiTheme="minorEastAsia" w:eastAsiaTheme="minorEastAsia" w:cstheme="minorEastAsia"/>
          <w:b w:val="0"/>
          <w:bCs w:val="0"/>
          <w:sz w:val="24"/>
          <w:szCs w:val="24"/>
        </w:rPr>
        <w:fldChar w:fldCharType="begin"/>
      </w:r>
      <w:r>
        <w:rPr>
          <w:rFonts w:hint="default" w:asciiTheme="minorEastAsia" w:hAnsiTheme="minorEastAsia" w:eastAsiaTheme="minorEastAsia" w:cstheme="minorEastAsia"/>
          <w:b w:val="0"/>
          <w:bCs w:val="0"/>
          <w:sz w:val="24"/>
          <w:szCs w:val="24"/>
        </w:rPr>
        <w:instrText xml:space="preserve"> HYPERLINK \l _Toc24345 </w:instrText>
      </w:r>
      <w:r>
        <w:rPr>
          <w:rFonts w:hint="default" w:asciiTheme="minorEastAsia" w:hAnsiTheme="minorEastAsia" w:eastAsiaTheme="minorEastAsia" w:cstheme="minorEastAsia"/>
          <w:b w:val="0"/>
          <w:bCs w:val="0"/>
          <w:sz w:val="24"/>
          <w:szCs w:val="24"/>
        </w:rPr>
        <w:fldChar w:fldCharType="separate"/>
      </w:r>
      <w:r>
        <w:rPr>
          <w:rFonts w:hint="default" w:asciiTheme="minorEastAsia" w:hAnsiTheme="minorEastAsia" w:eastAsiaTheme="minorEastAsia" w:cstheme="minorEastAsia"/>
          <w:b w:val="0"/>
          <w:bCs w:val="0"/>
          <w:sz w:val="24"/>
          <w:szCs w:val="24"/>
        </w:rPr>
        <w:t>十二、国有资本经营预算财政拨款支出决算表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_Toc24345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default" w:asciiTheme="minorEastAsia" w:hAnsiTheme="minorEastAsia" w:eastAsiaTheme="minorEastAsia" w:cstheme="minorEastAsia"/>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default" w:asciiTheme="minorEastAsia" w:hAnsiTheme="minorEastAsia" w:eastAsiaTheme="minorEastAsia" w:cstheme="minorEastAsia"/>
          <w:b w:val="0"/>
          <w:bCs w:val="0"/>
          <w:sz w:val="24"/>
          <w:szCs w:val="24"/>
        </w:rPr>
        <w:fldChar w:fldCharType="begin"/>
      </w:r>
      <w:r>
        <w:rPr>
          <w:rFonts w:hint="default" w:asciiTheme="minorEastAsia" w:hAnsiTheme="minorEastAsia" w:eastAsiaTheme="minorEastAsia" w:cstheme="minorEastAsia"/>
          <w:b w:val="0"/>
          <w:bCs w:val="0"/>
          <w:sz w:val="24"/>
          <w:szCs w:val="24"/>
        </w:rPr>
        <w:instrText xml:space="preserve"> HYPERLINK \l _Toc28734 </w:instrText>
      </w:r>
      <w:r>
        <w:rPr>
          <w:rFonts w:hint="default" w:asciiTheme="minorEastAsia" w:hAnsiTheme="minorEastAsia" w:eastAsiaTheme="minorEastAsia" w:cstheme="minorEastAsia"/>
          <w:b w:val="0"/>
          <w:bCs w:val="0"/>
          <w:sz w:val="24"/>
          <w:szCs w:val="24"/>
        </w:rPr>
        <w:fldChar w:fldCharType="separate"/>
      </w:r>
      <w:r>
        <w:rPr>
          <w:rFonts w:hint="default" w:asciiTheme="minorEastAsia" w:hAnsiTheme="minorEastAsia" w:eastAsiaTheme="minorEastAsia" w:cstheme="minorEastAsia"/>
          <w:b w:val="0"/>
          <w:bCs w:val="0"/>
          <w:sz w:val="24"/>
          <w:szCs w:val="24"/>
        </w:rPr>
        <w:t>十三、财政拨款“三公”经费支出决算表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_Toc28734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default" w:asciiTheme="minorEastAsia" w:hAnsiTheme="minorEastAsia" w:eastAsiaTheme="minorEastAsia" w:cstheme="minorEastAsia"/>
          <w:b w:val="0"/>
          <w:bCs w:val="0"/>
          <w:sz w:val="24"/>
          <w:szCs w:val="24"/>
        </w:rPr>
        <w:fldChar w:fldCharType="end"/>
      </w:r>
    </w:p>
    <w:p>
      <w:pPr>
        <w:pStyle w:val="9"/>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default" w:ascii="Times New Roman" w:hAnsi="Times New Roman" w:eastAsia="仿宋" w:cs="Times New Roman"/>
          <w:bCs/>
          <w:kern w:val="44"/>
          <w:sz w:val="24"/>
        </w:rPr>
      </w:pPr>
      <w:r>
        <w:rPr>
          <w:rFonts w:hint="default" w:ascii="Times New Roman" w:hAnsi="Times New Roman" w:cs="Times New Roman"/>
        </w:rPr>
        <w:fldChar w:fldCharType="end"/>
      </w:r>
      <w:bookmarkStart w:id="15" w:name="_Toc15396599"/>
      <w:bookmarkStart w:id="16" w:name="_Toc15377196"/>
    </w:p>
    <w:p>
      <w:pPr>
        <w:pStyle w:val="3"/>
        <w:jc w:val="center"/>
        <w:rPr>
          <w:rFonts w:hint="default" w:ascii="Times New Roman" w:hAnsi="Times New Roman" w:eastAsia="黑体" w:cs="Times New Roman"/>
          <w:b w:val="0"/>
        </w:rPr>
        <w:sectPr>
          <w:pgSz w:w="11906" w:h="16838"/>
          <w:pgMar w:top="1440" w:right="1800" w:bottom="1440" w:left="1800" w:header="851" w:footer="992" w:gutter="0"/>
          <w:pgNumType w:fmt="numberInDash"/>
          <w:cols w:space="425" w:num="1"/>
          <w:docGrid w:type="lines" w:linePitch="312" w:charSpace="0"/>
        </w:sectPr>
      </w:pPr>
      <w:bookmarkStart w:id="17" w:name="_Toc13460"/>
    </w:p>
    <w:p>
      <w:pPr>
        <w:pStyle w:val="3"/>
        <w:jc w:val="center"/>
        <w:rPr>
          <w:rFonts w:hint="default" w:ascii="Times New Roman" w:hAnsi="Times New Roman" w:eastAsia="黑体" w:cs="Times New Roman"/>
          <w:sz w:val="32"/>
          <w:szCs w:val="32"/>
        </w:rPr>
      </w:pPr>
      <w:r>
        <w:rPr>
          <w:rFonts w:hint="default" w:ascii="Times New Roman" w:hAnsi="Times New Roman" w:eastAsia="黑体" w:cs="Times New Roman"/>
          <w:b w:val="0"/>
        </w:rPr>
        <w:t>第一部分 单位</w:t>
      </w:r>
      <w:r>
        <w:rPr>
          <w:rStyle w:val="14"/>
          <w:rFonts w:hint="default" w:ascii="Times New Roman" w:hAnsi="Times New Roman" w:eastAsia="黑体" w:cs="Times New Roman"/>
          <w:b w:val="0"/>
          <w:bCs w:val="0"/>
        </w:rPr>
        <w:t>概况</w:t>
      </w:r>
      <w:bookmarkEnd w:id="15"/>
      <w:bookmarkEnd w:id="16"/>
      <w:bookmarkEnd w:id="17"/>
    </w:p>
    <w:p>
      <w:pPr>
        <w:pStyle w:val="4"/>
        <w:numPr>
          <w:ilvl w:val="0"/>
          <w:numId w:val="1"/>
        </w:numPr>
        <w:rPr>
          <w:rFonts w:hint="default" w:ascii="Times New Roman" w:hAnsi="Times New Roman" w:eastAsia="仿宋_GB2312" w:cs="Times New Roman"/>
          <w:b w:val="0"/>
          <w:sz w:val="28"/>
          <w:szCs w:val="28"/>
        </w:rPr>
      </w:pPr>
      <w:bookmarkStart w:id="18" w:name="_Toc30927"/>
      <w:bookmarkStart w:id="19" w:name="_Toc15396600"/>
      <w:bookmarkStart w:id="20" w:name="_Toc15377197"/>
      <w:r>
        <w:rPr>
          <w:rStyle w:val="15"/>
          <w:rFonts w:hint="default" w:ascii="Times New Roman" w:hAnsi="Times New Roman" w:eastAsia="黑体" w:cs="Times New Roman"/>
          <w:b w:val="0"/>
          <w:bCs w:val="0"/>
        </w:rPr>
        <w:t>主要职责</w:t>
      </w:r>
      <w:bookmarkEnd w:id="18"/>
    </w:p>
    <w:p>
      <w:pPr>
        <w:pStyle w:val="4"/>
        <w:ind w:firstLine="600" w:firstLineChars="200"/>
        <w:rPr>
          <w:rFonts w:hint="default" w:ascii="Times New Roman" w:hAnsi="Times New Roman" w:eastAsia="仿宋_GB2312" w:cs="Times New Roman"/>
          <w:b w:val="0"/>
          <w:sz w:val="30"/>
          <w:szCs w:val="30"/>
        </w:rPr>
      </w:pPr>
      <w:bookmarkStart w:id="21" w:name="_Toc1653"/>
      <w:r>
        <w:rPr>
          <w:rFonts w:hint="default" w:ascii="Times New Roman" w:hAnsi="Times New Roman" w:eastAsia="宋体" w:cs="Times New Roman"/>
          <w:b w:val="0"/>
          <w:sz w:val="30"/>
          <w:szCs w:val="30"/>
        </w:rPr>
        <w:t>攀枝花市第二人民医院是集医疗、教学、预防、保健、康复、社区为一体的国家三级乙等综合医院，省政府确立的攀西职业病防中心和市委、市政府确立的攀西医养康复示范中心。是市内及周边县市的工伤医保、居民医保、职工医保定点医疗机构。编制床位1006张（其中医养206张）。</w:t>
      </w:r>
      <w:r>
        <w:rPr>
          <w:rFonts w:hint="default" w:ascii="Times New Roman" w:hAnsi="Times New Roman" w:eastAsia="宋体" w:cs="Times New Roman"/>
          <w:b w:val="0"/>
          <w:bCs w:val="0"/>
          <w:color w:val="000000"/>
          <w:kern w:val="0"/>
          <w:sz w:val="30"/>
          <w:szCs w:val="30"/>
          <w:shd w:val="clear" w:color="auto" w:fill="FFFFFF"/>
          <w:lang w:val="zh-CN"/>
        </w:rPr>
        <w:t>在职职工</w:t>
      </w:r>
      <w:r>
        <w:rPr>
          <w:rFonts w:hint="default" w:ascii="Times New Roman" w:hAnsi="Times New Roman" w:eastAsia="宋体" w:cs="Times New Roman"/>
          <w:b w:val="0"/>
          <w:bCs w:val="0"/>
          <w:color w:val="000000"/>
          <w:kern w:val="0"/>
          <w:sz w:val="30"/>
          <w:szCs w:val="30"/>
          <w:shd w:val="clear" w:color="auto" w:fill="FFFFFF"/>
        </w:rPr>
        <w:t>646人（</w:t>
      </w:r>
      <w:r>
        <w:rPr>
          <w:rFonts w:hint="default" w:ascii="Times New Roman" w:hAnsi="Times New Roman" w:eastAsia="宋体" w:cs="Times New Roman"/>
          <w:b w:val="0"/>
          <w:bCs w:val="0"/>
          <w:color w:val="000000"/>
          <w:kern w:val="0"/>
          <w:sz w:val="30"/>
          <w:szCs w:val="30"/>
          <w:shd w:val="clear" w:color="auto" w:fill="FFFFFF"/>
          <w:lang w:val="zh-CN"/>
        </w:rPr>
        <w:t>在编31</w:t>
      </w:r>
      <w:r>
        <w:rPr>
          <w:rFonts w:hint="default" w:ascii="Times New Roman" w:hAnsi="Times New Roman" w:eastAsia="宋体" w:cs="Times New Roman"/>
          <w:b w:val="0"/>
          <w:bCs w:val="0"/>
          <w:color w:val="000000"/>
          <w:kern w:val="0"/>
          <w:sz w:val="30"/>
          <w:szCs w:val="30"/>
          <w:shd w:val="clear" w:color="auto" w:fill="FFFFFF"/>
        </w:rPr>
        <w:t>3</w:t>
      </w:r>
      <w:r>
        <w:rPr>
          <w:rFonts w:hint="default" w:ascii="Times New Roman" w:hAnsi="Times New Roman" w:eastAsia="宋体" w:cs="Times New Roman"/>
          <w:b w:val="0"/>
          <w:bCs w:val="0"/>
          <w:color w:val="000000"/>
          <w:kern w:val="0"/>
          <w:sz w:val="30"/>
          <w:szCs w:val="30"/>
          <w:shd w:val="clear" w:color="auto" w:fill="FFFFFF"/>
          <w:lang w:val="zh-CN"/>
        </w:rPr>
        <w:t>人，聘用</w:t>
      </w:r>
      <w:r>
        <w:rPr>
          <w:rFonts w:hint="default" w:ascii="Times New Roman" w:hAnsi="Times New Roman" w:eastAsia="宋体" w:cs="Times New Roman"/>
          <w:b w:val="0"/>
          <w:bCs w:val="0"/>
          <w:color w:val="000000"/>
          <w:kern w:val="0"/>
          <w:sz w:val="30"/>
          <w:szCs w:val="30"/>
          <w:shd w:val="clear" w:color="auto" w:fill="FFFFFF"/>
        </w:rPr>
        <w:t xml:space="preserve"> 333人）。其中高级专业技术人员163人（正高52人），中级128人，硕士研究生13人。医院内设机构64个（临床业务部门49个，管理科室15个）。</w:t>
      </w:r>
      <w:r>
        <w:rPr>
          <w:rFonts w:hint="default" w:ascii="Times New Roman" w:hAnsi="Times New Roman" w:eastAsia="宋体" w:cs="Times New Roman"/>
          <w:b w:val="0"/>
          <w:bCs w:val="0"/>
          <w:sz w:val="30"/>
          <w:szCs w:val="30"/>
        </w:rPr>
        <w:t>医院拥有1.5T核磁共振、多排螺旋CT、DSA数字血管造影机、</w:t>
      </w:r>
      <w:r>
        <w:rPr>
          <w:rFonts w:hint="default" w:ascii="Times New Roman" w:hAnsi="Times New Roman" w:eastAsia="宋体" w:cs="Times New Roman"/>
          <w:b w:val="0"/>
          <w:sz w:val="30"/>
          <w:szCs w:val="30"/>
        </w:rPr>
        <w:t>乳腺X光机、脊柱内镜系统、DR、高压氧舱等先进医疗设备。年门诊25.5万人次（不含单纯核酸检测人次），其中专家门诊16.4万人次，年急诊3.76万人次，院前急救2701人次，年入院病人数19521人次，出院病人数19057人次，年手术4606台次，传染病直报率100%。</w:t>
      </w:r>
      <w:bookmarkEnd w:id="21"/>
    </w:p>
    <w:p>
      <w:pPr>
        <w:pStyle w:val="4"/>
        <w:rPr>
          <w:rFonts w:hint="default" w:ascii="Times New Roman" w:hAnsi="Times New Roman" w:eastAsia="黑体" w:cs="Times New Roman"/>
          <w:b w:val="0"/>
        </w:rPr>
      </w:pPr>
      <w:bookmarkStart w:id="22" w:name="_Toc25262"/>
      <w:r>
        <w:rPr>
          <w:rFonts w:hint="default" w:ascii="Times New Roman" w:hAnsi="Times New Roman" w:eastAsia="黑体" w:cs="Times New Roman"/>
          <w:b w:val="0"/>
        </w:rPr>
        <w:t>二、机构设置</w:t>
      </w:r>
      <w:bookmarkEnd w:id="22"/>
    </w:p>
    <w:p>
      <w:pPr>
        <w:pBdr>
          <w:bottom w:val="single" w:color="FFFFFF" w:sz="4" w:space="31"/>
        </w:pBdr>
        <w:shd w:val="clear" w:color="auto" w:fill="FFFFFF"/>
        <w:tabs>
          <w:tab w:val="left" w:pos="1440"/>
        </w:tabs>
        <w:spacing w:line="600" w:lineRule="exact"/>
        <w:ind w:firstLine="600" w:firstLineChars="200"/>
        <w:rPr>
          <w:rFonts w:hint="default" w:ascii="Times New Roman" w:hAnsi="Times New Roman" w:cs="Times New Roman"/>
          <w:b/>
          <w:snapToGrid w:val="0"/>
          <w:color w:val="000000"/>
          <w:kern w:val="0"/>
          <w:sz w:val="30"/>
          <w:szCs w:val="30"/>
        </w:rPr>
      </w:pPr>
      <w:r>
        <w:rPr>
          <w:rFonts w:hint="default" w:ascii="Times New Roman" w:hAnsi="Times New Roman" w:cs="Times New Roman"/>
          <w:sz w:val="30"/>
          <w:szCs w:val="30"/>
        </w:rPr>
        <w:t>攀枝花市第二人民医院属独立核算的事业单位，无下属单位。</w:t>
      </w:r>
    </w:p>
    <w:p>
      <w:pPr>
        <w:rPr>
          <w:rFonts w:hint="default" w:ascii="Times New Roman" w:hAnsi="Times New Roman" w:cs="Times New Roman"/>
        </w:rPr>
      </w:pPr>
    </w:p>
    <w:bookmarkEnd w:id="19"/>
    <w:bookmarkEnd w:id="20"/>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ind w:right="440"/>
        <w:jc w:val="center"/>
        <w:rPr>
          <w:rFonts w:hint="default" w:ascii="Times New Roman" w:hAnsi="Times New Roman" w:eastAsia="黑体" w:cs="Times New Roman"/>
          <w:b w:val="0"/>
        </w:rPr>
      </w:pPr>
      <w:bookmarkStart w:id="23" w:name="_Toc15377204"/>
      <w:bookmarkStart w:id="24" w:name="_Toc15396602"/>
      <w:bookmarkStart w:id="25" w:name="_Toc16885"/>
      <w:r>
        <w:rPr>
          <w:rFonts w:hint="default" w:ascii="Times New Roman" w:hAnsi="Times New Roman" w:eastAsia="黑体" w:cs="Times New Roman"/>
          <w:b w:val="0"/>
        </w:rPr>
        <w:t>第二部分 2022年度</w:t>
      </w:r>
      <w:r>
        <w:rPr>
          <w:rStyle w:val="14"/>
          <w:rFonts w:hint="default" w:ascii="Times New Roman" w:hAnsi="Times New Roman" w:eastAsia="黑体" w:cs="Times New Roman"/>
          <w:b w:val="0"/>
          <w:bCs/>
        </w:rPr>
        <w:t>单位决算情况说明</w:t>
      </w:r>
      <w:bookmarkEnd w:id="23"/>
      <w:bookmarkEnd w:id="24"/>
      <w:bookmarkEnd w:id="25"/>
    </w:p>
    <w:p>
      <w:pPr>
        <w:pStyle w:val="16"/>
        <w:numPr>
          <w:ilvl w:val="0"/>
          <w:numId w:val="2"/>
        </w:numPr>
        <w:spacing w:line="600" w:lineRule="exact"/>
        <w:ind w:firstLineChars="0"/>
        <w:outlineLvl w:val="1"/>
        <w:rPr>
          <w:rStyle w:val="15"/>
          <w:rFonts w:hint="default" w:ascii="Times New Roman" w:hAnsi="Times New Roman" w:eastAsia="黑体" w:cs="Times New Roman"/>
          <w:b w:val="0"/>
        </w:rPr>
      </w:pPr>
      <w:bookmarkStart w:id="26" w:name="_Toc15396603"/>
      <w:bookmarkStart w:id="27" w:name="_Toc32252"/>
      <w:bookmarkStart w:id="28" w:name="_Toc15377205"/>
      <w:r>
        <w:rPr>
          <w:rFonts w:hint="default" w:ascii="Times New Roman" w:hAnsi="Times New Roman" w:eastAsia="黑体" w:cs="Times New Roman"/>
          <w:sz w:val="32"/>
          <w:szCs w:val="32"/>
        </w:rPr>
        <w:t>收</w:t>
      </w:r>
      <w:r>
        <w:rPr>
          <w:rStyle w:val="15"/>
          <w:rFonts w:hint="default" w:ascii="Times New Roman" w:hAnsi="Times New Roman" w:eastAsia="黑体" w:cs="Times New Roman"/>
          <w:b w:val="0"/>
        </w:rPr>
        <w:t>入支出决算总体情况说明</w:t>
      </w:r>
      <w:bookmarkEnd w:id="26"/>
      <w:bookmarkEnd w:id="27"/>
      <w:bookmarkEnd w:id="28"/>
    </w:p>
    <w:p>
      <w:pPr>
        <w:spacing w:line="600"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2022年度收、支总计23823.64万元。与2021年相比，收、支总计各增加1104.52万元，增长4.8%。主要变动原因是受新冠感染影响，疫情防控物资、人力支出增加，医院业务收入下降，支出增长速度较大。</w:t>
      </w:r>
    </w:p>
    <w:p>
      <w:pPr>
        <w:pStyle w:val="2"/>
        <w:spacing w:before="93"/>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6"/>
        <w:numPr>
          <w:ilvl w:val="0"/>
          <w:numId w:val="2"/>
        </w:numPr>
        <w:spacing w:line="600" w:lineRule="exact"/>
        <w:ind w:firstLineChars="0"/>
        <w:outlineLvl w:val="1"/>
        <w:rPr>
          <w:rStyle w:val="15"/>
          <w:rFonts w:hint="default" w:ascii="Times New Roman" w:hAnsi="Times New Roman" w:eastAsia="黑体" w:cs="Times New Roman"/>
          <w:b w:val="0"/>
        </w:rPr>
      </w:pPr>
      <w:bookmarkStart w:id="29" w:name="_Toc15377206"/>
      <w:bookmarkStart w:id="30" w:name="_Toc23364"/>
      <w:bookmarkStart w:id="31" w:name="_Toc15396604"/>
      <w:r>
        <w:rPr>
          <w:rFonts w:hint="default" w:ascii="Times New Roman" w:hAnsi="Times New Roman" w:eastAsia="黑体" w:cs="Times New Roman"/>
          <w:sz w:val="32"/>
          <w:szCs w:val="32"/>
        </w:rPr>
        <w:t>收</w:t>
      </w:r>
      <w:r>
        <w:rPr>
          <w:rStyle w:val="15"/>
          <w:rFonts w:hint="default" w:ascii="Times New Roman" w:hAnsi="Times New Roman" w:eastAsia="黑体" w:cs="Times New Roman"/>
          <w:b w:val="0"/>
        </w:rPr>
        <w:t>入决算情况说明</w:t>
      </w:r>
      <w:bookmarkEnd w:id="29"/>
      <w:bookmarkEnd w:id="30"/>
      <w:bookmarkEnd w:id="31"/>
    </w:p>
    <w:p>
      <w:pPr>
        <w:spacing w:line="600" w:lineRule="exact"/>
        <w:ind w:firstLine="600" w:firstLineChars="200"/>
        <w:outlineLvl w:val="1"/>
        <w:rPr>
          <w:rFonts w:hint="default" w:ascii="Times New Roman" w:hAnsi="Times New Roman" w:cs="Times New Roman"/>
          <w:sz w:val="30"/>
          <w:szCs w:val="30"/>
        </w:rPr>
      </w:pPr>
      <w:bookmarkStart w:id="32" w:name="_Toc29312"/>
      <w:r>
        <w:rPr>
          <w:rFonts w:hint="default" w:ascii="Times New Roman" w:hAnsi="Times New Roman" w:cs="Times New Roman"/>
          <w:sz w:val="30"/>
          <w:szCs w:val="30"/>
        </w:rPr>
        <w:t>2022年本年收入合计21695.08万元，其中：一般公共预算财政拨款收入2217.70万元，占10.22%；政府性基金预算财政拨款收入0万元；国有资本经营预算财政拨款收入0万元；上级补助收入0万元；事业收入19091.96万元，占88.00%；经营收入0万元；附属单位上缴收入0万元；其他收入385.43万元，占1.77%。</w:t>
      </w:r>
      <w:bookmarkEnd w:id="32"/>
    </w:p>
    <w:p>
      <w:pPr>
        <w:pStyle w:val="2"/>
        <w:spacing w:before="93"/>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114300" distR="114300">
            <wp:extent cx="4365625" cy="1743710"/>
            <wp:effectExtent l="4445" t="4445" r="11430" b="234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6"/>
        <w:numPr>
          <w:ilvl w:val="0"/>
          <w:numId w:val="2"/>
        </w:numPr>
        <w:spacing w:line="600" w:lineRule="exact"/>
        <w:ind w:firstLineChars="0"/>
        <w:outlineLvl w:val="1"/>
        <w:rPr>
          <w:rStyle w:val="15"/>
          <w:rFonts w:hint="default" w:ascii="Times New Roman" w:hAnsi="Times New Roman" w:eastAsia="黑体" w:cs="Times New Roman"/>
          <w:b w:val="0"/>
        </w:rPr>
      </w:pPr>
      <w:bookmarkStart w:id="33" w:name="_Toc13827"/>
      <w:bookmarkStart w:id="34" w:name="_Toc15396605"/>
      <w:bookmarkStart w:id="35" w:name="_Toc15377207"/>
      <w:r>
        <w:rPr>
          <w:rFonts w:hint="default" w:ascii="Times New Roman" w:hAnsi="Times New Roman" w:eastAsia="黑体" w:cs="Times New Roman"/>
          <w:sz w:val="32"/>
          <w:szCs w:val="32"/>
        </w:rPr>
        <w:t>支</w:t>
      </w:r>
      <w:r>
        <w:rPr>
          <w:rStyle w:val="15"/>
          <w:rFonts w:hint="default" w:ascii="Times New Roman" w:hAnsi="Times New Roman" w:eastAsia="黑体" w:cs="Times New Roman"/>
          <w:b w:val="0"/>
        </w:rPr>
        <w:t>出决算情况说明</w:t>
      </w:r>
      <w:bookmarkEnd w:id="33"/>
      <w:bookmarkEnd w:id="34"/>
      <w:bookmarkEnd w:id="35"/>
    </w:p>
    <w:p>
      <w:pPr>
        <w:spacing w:line="600" w:lineRule="exact"/>
        <w:ind w:firstLine="600" w:firstLineChars="200"/>
        <w:outlineLvl w:val="1"/>
        <w:rPr>
          <w:rFonts w:hint="default" w:ascii="Times New Roman" w:hAnsi="Times New Roman" w:eastAsia="黑体" w:cs="Times New Roman"/>
          <w:sz w:val="32"/>
          <w:szCs w:val="32"/>
        </w:rPr>
      </w:pPr>
      <w:bookmarkStart w:id="36" w:name="_Toc19588"/>
      <w:r>
        <w:rPr>
          <w:rFonts w:hint="default" w:ascii="Times New Roman" w:hAnsi="Times New Roman" w:cs="Times New Roman"/>
          <w:sz w:val="30"/>
          <w:szCs w:val="30"/>
        </w:rPr>
        <w:t>2022年本年支出合计23823.64万元，其中：基本支出23219.68万元，占97.46%；项目支出603.96万元，占2.53%;上缴上级支出0万元；经营支出0万元；对附属单位补助支出0万元。</w:t>
      </w:r>
      <w:bookmarkEnd w:id="36"/>
    </w:p>
    <w:p>
      <w:pPr>
        <w:rPr>
          <w:rFonts w:hint="default" w:ascii="Times New Roman" w:hAnsi="Times New Roman" w:cs="Times New Roman"/>
        </w:rPr>
      </w:pPr>
      <w:r>
        <w:rPr>
          <w:rFonts w:hint="default" w:ascii="Times New Roman" w:hAnsi="Times New Roman" w:cs="Times New Roman"/>
        </w:rPr>
        <w:drawing>
          <wp:inline distT="0" distB="0" distL="114300" distR="114300">
            <wp:extent cx="3890645" cy="2524760"/>
            <wp:effectExtent l="4445" t="4445" r="10160"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15"/>
          <w:rFonts w:hint="default" w:ascii="Times New Roman" w:hAnsi="Times New Roman" w:eastAsia="黑体" w:cs="Times New Roman"/>
          <w:b w:val="0"/>
        </w:rPr>
      </w:pPr>
      <w:bookmarkStart w:id="37" w:name="_Toc12244"/>
      <w:r>
        <w:rPr>
          <w:rFonts w:hint="default" w:ascii="Times New Roman" w:hAnsi="Times New Roman" w:eastAsia="黑体" w:cs="Times New Roman"/>
          <w:sz w:val="32"/>
          <w:szCs w:val="32"/>
        </w:rPr>
        <w:t>四、财</w:t>
      </w:r>
      <w:r>
        <w:rPr>
          <w:rStyle w:val="15"/>
          <w:rFonts w:hint="default" w:ascii="Times New Roman" w:hAnsi="Times New Roman" w:eastAsia="黑体" w:cs="Times New Roman"/>
          <w:b w:val="0"/>
        </w:rPr>
        <w:t>政拨款收入支出决算总体情况说明</w:t>
      </w:r>
      <w:bookmarkEnd w:id="37"/>
    </w:p>
    <w:p>
      <w:pPr>
        <w:spacing w:line="600" w:lineRule="exact"/>
        <w:ind w:firstLine="640"/>
        <w:rPr>
          <w:rFonts w:hint="default" w:ascii="Times New Roman" w:hAnsi="Times New Roman" w:cs="Times New Roman"/>
          <w:sz w:val="30"/>
          <w:szCs w:val="30"/>
        </w:rPr>
      </w:pPr>
      <w:r>
        <w:rPr>
          <w:rFonts w:hint="default" w:ascii="Times New Roman" w:hAnsi="Times New Roman" w:cs="Times New Roman"/>
          <w:sz w:val="30"/>
          <w:szCs w:val="30"/>
        </w:rPr>
        <w:t>2022年财政拨款收、支总计2559.73万元。与2021年相比，财政拨款收、支总计各增加574.25万元，增长28.92%。主要变动原因是财政增加了预算指标。</w:t>
      </w:r>
    </w:p>
    <w:p>
      <w:pPr>
        <w:pStyle w:val="2"/>
        <w:spacing w:before="93"/>
        <w:rPr>
          <w:rFonts w:hint="default" w:ascii="Times New Roman" w:hAnsi="Times New Roman" w:eastAsia="仿宋" w:cs="Times New Roman"/>
        </w:rPr>
      </w:pPr>
      <w:r>
        <w:rPr>
          <w:rFonts w:hint="default" w:ascii="Times New Roman" w:hAnsi="Times New Roman" w:eastAsia="仿宋" w:cs="Times New Roman"/>
        </w:rPr>
        <w:drawing>
          <wp:inline distT="0" distB="0" distL="114300" distR="114300">
            <wp:extent cx="4327525" cy="3048635"/>
            <wp:effectExtent l="4445" t="4445" r="11430"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15"/>
          <w:rFonts w:hint="default" w:ascii="Times New Roman" w:hAnsi="Times New Roman" w:eastAsia="黑体" w:cs="Times New Roman"/>
          <w:b w:val="0"/>
        </w:rPr>
      </w:pPr>
      <w:bookmarkStart w:id="38" w:name="_Toc15396607"/>
      <w:bookmarkStart w:id="39" w:name="_Toc15377209"/>
      <w:bookmarkStart w:id="40" w:name="_Toc2959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15"/>
          <w:rFonts w:hint="default" w:ascii="Times New Roman" w:hAnsi="Times New Roman" w:eastAsia="黑体" w:cs="Times New Roman"/>
          <w:b w:val="0"/>
        </w:rPr>
        <w:t>般公共预算财政拨款支出决算情况说明</w:t>
      </w:r>
      <w:bookmarkEnd w:id="38"/>
      <w:bookmarkEnd w:id="39"/>
      <w:bookmarkEnd w:id="40"/>
    </w:p>
    <w:p>
      <w:pPr>
        <w:spacing w:line="600" w:lineRule="exact"/>
        <w:ind w:firstLine="642" w:firstLineChars="200"/>
        <w:outlineLvl w:val="2"/>
        <w:rPr>
          <w:rFonts w:hint="default" w:ascii="Times New Roman" w:hAnsi="Times New Roman" w:eastAsia="仿宋" w:cs="Times New Roman"/>
          <w:b/>
          <w:sz w:val="32"/>
          <w:szCs w:val="32"/>
        </w:rPr>
      </w:pPr>
      <w:bookmarkStart w:id="41" w:name="_Toc15377210"/>
      <w:r>
        <w:rPr>
          <w:rFonts w:hint="default" w:ascii="Times New Roman" w:hAnsi="Times New Roman" w:eastAsia="仿宋" w:cs="Times New Roman"/>
          <w:b/>
          <w:sz w:val="32"/>
          <w:szCs w:val="32"/>
        </w:rPr>
        <w:t>（一）一般公共预算财政拨款支出决算总体情况</w:t>
      </w:r>
      <w:bookmarkEnd w:id="41"/>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cs="Times New Roman"/>
          <w:sz w:val="30"/>
          <w:szCs w:val="30"/>
        </w:rPr>
        <w:t>2022年一般公共预算财政拨款支出2559.73万元，占本年支出合计的10.74%。与2021年相比，一般公共预算财政拨款支出增加574.25万元，增长28.92%；主要变动原因是部分项目拨款的增加。</w:t>
      </w:r>
    </w:p>
    <w:p>
      <w:pPr>
        <w:pStyle w:val="2"/>
        <w:spacing w:before="93"/>
        <w:jc w:val="center"/>
        <w:rPr>
          <w:rFonts w:hint="default" w:ascii="Times New Roman" w:hAnsi="Times New Roman" w:eastAsia="仿宋" w:cs="Times New Roman"/>
        </w:rPr>
      </w:pPr>
      <w:r>
        <w:rPr>
          <w:rFonts w:hint="default" w:ascii="Times New Roman" w:hAnsi="Times New Roman" w:eastAsia="仿宋" w:cs="Times New Roman"/>
        </w:rPr>
        <w:drawing>
          <wp:inline distT="0" distB="0" distL="114300" distR="114300">
            <wp:extent cx="4047490" cy="2750820"/>
            <wp:effectExtent l="4445" t="4445" r="5715"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2" w:firstLineChars="200"/>
        <w:outlineLvl w:val="2"/>
        <w:rPr>
          <w:rFonts w:hint="default" w:ascii="Times New Roman" w:hAnsi="Times New Roman" w:eastAsia="仿宋" w:cs="Times New Roman"/>
          <w:b/>
          <w:sz w:val="32"/>
          <w:szCs w:val="32"/>
        </w:rPr>
      </w:pPr>
      <w:bookmarkStart w:id="42" w:name="_Toc15377211"/>
      <w:r>
        <w:rPr>
          <w:rFonts w:hint="default" w:ascii="Times New Roman" w:hAnsi="Times New Roman" w:eastAsia="仿宋" w:cs="Times New Roman"/>
          <w:b/>
          <w:sz w:val="32"/>
          <w:szCs w:val="32"/>
        </w:rPr>
        <w:t>（二）一般公共预算财政拨款支出决算结构情况</w:t>
      </w:r>
      <w:bookmarkEnd w:id="42"/>
    </w:p>
    <w:p>
      <w:pPr>
        <w:spacing w:line="600" w:lineRule="exact"/>
        <w:ind w:firstLine="640"/>
        <w:rPr>
          <w:rFonts w:hint="default" w:ascii="Times New Roman" w:hAnsi="Times New Roman" w:cs="Times New Roman"/>
          <w:sz w:val="30"/>
          <w:szCs w:val="30"/>
        </w:rPr>
      </w:pPr>
      <w:r>
        <w:rPr>
          <w:rFonts w:hint="default" w:ascii="Times New Roman" w:hAnsi="Times New Roman" w:cs="Times New Roman"/>
          <w:sz w:val="30"/>
          <w:szCs w:val="30"/>
        </w:rPr>
        <w:t>2022年一般公共预算财政拨款支出2559.73万元，主要用于以下方面:一般公共服务支出5万元，占0.19%；教育支出0万元；科学技术支出0万元；文化旅游体育与传媒支出0万元；社会保障和就业支出1679.35万元，占65.61%；卫生健康支出875.38万元，占34.20%；住房保障支出0万元。</w:t>
      </w:r>
    </w:p>
    <w:p>
      <w:pPr>
        <w:pStyle w:val="2"/>
        <w:spacing w:before="93"/>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drawing>
          <wp:inline distT="0" distB="0" distL="114300" distR="114300">
            <wp:extent cx="4367530" cy="1327785"/>
            <wp:effectExtent l="4445" t="4445" r="9525" b="2032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hint="default" w:ascii="Times New Roman" w:hAnsi="Times New Roman" w:eastAsia="仿宋" w:cs="Times New Roman"/>
          <w:b/>
          <w:sz w:val="32"/>
          <w:szCs w:val="32"/>
        </w:rPr>
      </w:pPr>
      <w:bookmarkStart w:id="43" w:name="_Toc15377212"/>
      <w:r>
        <w:rPr>
          <w:rFonts w:hint="default" w:ascii="Times New Roman" w:hAnsi="Times New Roman" w:eastAsia="仿宋" w:cs="Times New Roman"/>
          <w:b/>
          <w:sz w:val="32"/>
          <w:szCs w:val="32"/>
        </w:rPr>
        <w:t>（三）一般公共预算财政拨款支出决算具体情况</w:t>
      </w:r>
      <w:bookmarkEnd w:id="43"/>
    </w:p>
    <w:p>
      <w:pPr>
        <w:spacing w:line="600" w:lineRule="exact"/>
        <w:ind w:firstLine="600" w:firstLineChars="200"/>
        <w:outlineLvl w:val="2"/>
        <w:rPr>
          <w:rFonts w:hint="default" w:ascii="Times New Roman" w:hAnsi="Times New Roman" w:cs="Times New Roman"/>
          <w:bCs/>
          <w:sz w:val="30"/>
          <w:szCs w:val="30"/>
        </w:rPr>
      </w:pPr>
      <w:bookmarkStart w:id="44" w:name="_Toc15378460"/>
      <w:bookmarkStart w:id="45" w:name="_Toc15377213"/>
      <w:bookmarkStart w:id="46" w:name="_Toc15377444"/>
      <w:r>
        <w:rPr>
          <w:rFonts w:hint="default" w:ascii="Times New Roman" w:hAnsi="Times New Roman" w:cs="Times New Roman"/>
          <w:bCs/>
          <w:sz w:val="30"/>
          <w:szCs w:val="30"/>
        </w:rPr>
        <w:t>2022年一般公共预算支出决算数为2559.73万元，</w:t>
      </w:r>
      <w:r>
        <w:rPr>
          <w:rStyle w:val="13"/>
          <w:rFonts w:hint="default" w:ascii="Times New Roman" w:hAnsi="Times New Roman" w:cs="Times New Roman"/>
          <w:b w:val="0"/>
          <w:bCs/>
          <w:sz w:val="30"/>
          <w:szCs w:val="30"/>
        </w:rPr>
        <w:t>完成预算100%。其中：</w:t>
      </w:r>
      <w:bookmarkEnd w:id="44"/>
      <w:bookmarkEnd w:id="45"/>
      <w:bookmarkEnd w:id="46"/>
    </w:p>
    <w:p>
      <w:pPr>
        <w:spacing w:line="600" w:lineRule="exact"/>
        <w:ind w:firstLine="600" w:firstLineChars="200"/>
        <w:rPr>
          <w:rFonts w:hint="default" w:ascii="Times New Roman" w:hAnsi="Times New Roman" w:cs="Times New Roman"/>
          <w:bCs/>
          <w:sz w:val="30"/>
          <w:szCs w:val="30"/>
        </w:rPr>
      </w:pPr>
      <w:r>
        <w:rPr>
          <w:rStyle w:val="13"/>
          <w:rFonts w:hint="default" w:ascii="Times New Roman" w:hAnsi="Times New Roman" w:cs="Times New Roman"/>
          <w:b w:val="0"/>
          <w:bCs/>
          <w:sz w:val="30"/>
          <w:szCs w:val="30"/>
        </w:rPr>
        <w:t>1.一般公共服务（类）政府办公厅（室）及相关机构事务（款）信访事务（项）: 支出决算为5万元，完成预算100%。</w:t>
      </w:r>
    </w:p>
    <w:p>
      <w:pPr>
        <w:spacing w:line="600" w:lineRule="exact"/>
        <w:ind w:firstLine="600" w:firstLineChars="200"/>
        <w:rPr>
          <w:rStyle w:val="13"/>
          <w:rFonts w:hint="default" w:ascii="Times New Roman" w:hAnsi="Times New Roman" w:cs="Times New Roman"/>
          <w:b w:val="0"/>
          <w:bCs/>
          <w:sz w:val="30"/>
          <w:szCs w:val="30"/>
        </w:rPr>
      </w:pPr>
      <w:r>
        <w:rPr>
          <w:rStyle w:val="13"/>
          <w:rFonts w:hint="default" w:ascii="Times New Roman" w:hAnsi="Times New Roman" w:cs="Times New Roman"/>
          <w:b w:val="0"/>
          <w:bCs/>
          <w:sz w:val="30"/>
          <w:szCs w:val="30"/>
        </w:rPr>
        <w:t>2.社会保障和就业（类）人力资源和社会保障管理事务（款）其他人力资源和社会保障管理事务支出（项）: 支出决算为1万元，完成预算100%；社会保障和就业（类）行政事业单位养老支出（款）事业单位离退休（项）：: 支出决算为715.73万元，完成预算100%；社会保障和就业（类）行政事业单位养老支出（款）机关事业单位基本养老保险缴费支出（项）: 支出决算为908.31万元，完成预算100%；社会保障和就业（类）抚恤（款）死亡抚恤（项）: 支出决算为54.31万元，完成预算100%。</w:t>
      </w:r>
    </w:p>
    <w:p>
      <w:pPr>
        <w:spacing w:line="600" w:lineRule="exact"/>
        <w:ind w:firstLine="600" w:firstLineChars="200"/>
        <w:rPr>
          <w:rStyle w:val="13"/>
          <w:rFonts w:hint="default" w:ascii="Times New Roman" w:hAnsi="Times New Roman" w:cs="Times New Roman"/>
          <w:b w:val="0"/>
          <w:sz w:val="30"/>
          <w:szCs w:val="30"/>
        </w:rPr>
      </w:pPr>
      <w:r>
        <w:rPr>
          <w:rStyle w:val="13"/>
          <w:rFonts w:hint="default" w:ascii="Times New Roman" w:hAnsi="Times New Roman" w:cs="Times New Roman"/>
          <w:b w:val="0"/>
          <w:sz w:val="30"/>
          <w:szCs w:val="30"/>
        </w:rPr>
        <w:t>3.</w:t>
      </w:r>
      <w:r>
        <w:rPr>
          <w:rFonts w:hint="default" w:ascii="Times New Roman" w:hAnsi="Times New Roman" w:cs="Times New Roman"/>
          <w:sz w:val="30"/>
          <w:szCs w:val="30"/>
        </w:rPr>
        <w:t>卫生健康</w:t>
      </w:r>
      <w:r>
        <w:rPr>
          <w:rStyle w:val="13"/>
          <w:rFonts w:hint="default" w:ascii="Times New Roman" w:hAnsi="Times New Roman" w:cs="Times New Roman"/>
          <w:b w:val="0"/>
          <w:sz w:val="30"/>
          <w:szCs w:val="30"/>
        </w:rPr>
        <w:t>（类）公立医院（款）综合医院（项）:支出决算为294.42万元，完成预算100%；</w:t>
      </w:r>
      <w:r>
        <w:rPr>
          <w:rFonts w:hint="default" w:ascii="Times New Roman" w:hAnsi="Times New Roman" w:cs="Times New Roman"/>
          <w:sz w:val="30"/>
          <w:szCs w:val="30"/>
        </w:rPr>
        <w:t>卫生健康</w:t>
      </w:r>
      <w:r>
        <w:rPr>
          <w:rStyle w:val="13"/>
          <w:rFonts w:hint="default" w:ascii="Times New Roman" w:hAnsi="Times New Roman" w:cs="Times New Roman"/>
          <w:b w:val="0"/>
          <w:sz w:val="30"/>
          <w:szCs w:val="30"/>
        </w:rPr>
        <w:t>（类）公共卫生（款）其他公立医院支出（项）:支出决算为73万元，完成预算100%；</w:t>
      </w:r>
      <w:r>
        <w:rPr>
          <w:rFonts w:hint="default" w:ascii="Times New Roman" w:hAnsi="Times New Roman" w:cs="Times New Roman"/>
          <w:sz w:val="30"/>
          <w:szCs w:val="30"/>
        </w:rPr>
        <w:t>卫生健康</w:t>
      </w:r>
      <w:r>
        <w:rPr>
          <w:rStyle w:val="13"/>
          <w:rFonts w:hint="default" w:ascii="Times New Roman" w:hAnsi="Times New Roman" w:cs="Times New Roman"/>
          <w:b w:val="0"/>
          <w:sz w:val="30"/>
          <w:szCs w:val="30"/>
        </w:rPr>
        <w:t>（类）公共卫生（款）基本公共卫生服务（项）:支出决算为26万元，完成预算100%；</w:t>
      </w:r>
      <w:r>
        <w:rPr>
          <w:rFonts w:hint="default" w:ascii="Times New Roman" w:hAnsi="Times New Roman" w:cs="Times New Roman"/>
          <w:sz w:val="30"/>
          <w:szCs w:val="30"/>
        </w:rPr>
        <w:t>卫生健康</w:t>
      </w:r>
      <w:r>
        <w:rPr>
          <w:rStyle w:val="13"/>
          <w:rFonts w:hint="default" w:ascii="Times New Roman" w:hAnsi="Times New Roman" w:cs="Times New Roman"/>
          <w:b w:val="0"/>
          <w:sz w:val="30"/>
          <w:szCs w:val="30"/>
        </w:rPr>
        <w:t>（类）公共卫生（款）重大公共卫生服务（项）:支出决算为7.69万元，完成预算100%；</w:t>
      </w:r>
      <w:r>
        <w:rPr>
          <w:rFonts w:hint="default" w:ascii="Times New Roman" w:hAnsi="Times New Roman" w:cs="Times New Roman"/>
          <w:sz w:val="30"/>
          <w:szCs w:val="30"/>
        </w:rPr>
        <w:t>卫生健康</w:t>
      </w:r>
      <w:r>
        <w:rPr>
          <w:rStyle w:val="13"/>
          <w:rFonts w:hint="default" w:ascii="Times New Roman" w:hAnsi="Times New Roman" w:cs="Times New Roman"/>
          <w:b w:val="0"/>
          <w:sz w:val="30"/>
          <w:szCs w:val="30"/>
        </w:rPr>
        <w:t>（类）公共卫生（款）突发公共卫生事件应急处理（项）:支出决算为3.9万元，完成预算100%；</w:t>
      </w:r>
      <w:r>
        <w:rPr>
          <w:rFonts w:hint="default" w:ascii="Times New Roman" w:hAnsi="Times New Roman" w:cs="Times New Roman"/>
          <w:sz w:val="30"/>
          <w:szCs w:val="30"/>
        </w:rPr>
        <w:t>卫生健康</w:t>
      </w:r>
      <w:r>
        <w:rPr>
          <w:rStyle w:val="13"/>
          <w:rFonts w:hint="default" w:ascii="Times New Roman" w:hAnsi="Times New Roman" w:cs="Times New Roman"/>
          <w:b w:val="0"/>
          <w:sz w:val="30"/>
          <w:szCs w:val="30"/>
        </w:rPr>
        <w:t>（类）其他卫生健康支出（款）其他卫生健康支出（项）:支出决算为470.37万元，完成预算100%。</w:t>
      </w:r>
    </w:p>
    <w:p>
      <w:pPr>
        <w:tabs>
          <w:tab w:val="right" w:pos="8306"/>
        </w:tabs>
        <w:spacing w:line="600" w:lineRule="exact"/>
        <w:ind w:firstLine="640"/>
        <w:outlineLvl w:val="1"/>
        <w:rPr>
          <w:rStyle w:val="15"/>
          <w:rFonts w:hint="default" w:ascii="Times New Roman" w:hAnsi="Times New Roman" w:cs="Times New Roman"/>
          <w:strike/>
          <w:dstrike w:val="0"/>
        </w:rPr>
      </w:pPr>
      <w:bookmarkStart w:id="47" w:name="_Toc15377214"/>
      <w:bookmarkStart w:id="48" w:name="_Toc30858"/>
      <w:bookmarkStart w:id="49" w:name="_Toc15396608"/>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15"/>
          <w:rFonts w:hint="default" w:ascii="Times New Roman" w:hAnsi="Times New Roman" w:eastAsia="黑体" w:cs="Times New Roman"/>
          <w:b w:val="0"/>
        </w:rPr>
        <w:t>般公共预算财政拨款基本支出决算情况说明</w:t>
      </w:r>
      <w:bookmarkEnd w:id="47"/>
      <w:bookmarkEnd w:id="48"/>
      <w:bookmarkEnd w:id="49"/>
      <w:r>
        <w:rPr>
          <w:rStyle w:val="15"/>
          <w:rFonts w:hint="default" w:ascii="Times New Roman" w:hAnsi="Times New Roman" w:eastAsia="黑体" w:cs="Times New Roman"/>
          <w:b w:val="0"/>
        </w:rPr>
        <w:tab/>
      </w:r>
    </w:p>
    <w:p>
      <w:pPr>
        <w:spacing w:line="600" w:lineRule="exact"/>
        <w:ind w:firstLine="645"/>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sz w:val="30"/>
          <w:szCs w:val="30"/>
        </w:rPr>
        <w:t>2022年一般公共预算财政拨款基本支出1955.77万元，其中：人员经费1929.23万元</w:t>
      </w:r>
      <w:r>
        <w:rPr>
          <w:rFonts w:hint="default" w:ascii="Times New Roman" w:hAnsi="Times New Roman" w:cs="Times New Roman"/>
          <w:color w:val="000000" w:themeColor="text1"/>
          <w:sz w:val="30"/>
          <w:szCs w:val="30"/>
          <w14:textFill>
            <w14:solidFill>
              <w14:schemeClr w14:val="tx1"/>
            </w14:solidFill>
          </w14:textFill>
        </w:rPr>
        <w:t>，主要包括：机关事业单位基本养老保险缴费</w:t>
      </w:r>
      <w:r>
        <w:rPr>
          <w:rFonts w:hint="default" w:ascii="Times New Roman" w:hAnsi="Times New Roman" w:cs="Times New Roman"/>
          <w:color w:val="000000" w:themeColor="text1"/>
          <w:sz w:val="30"/>
          <w:szCs w:val="30"/>
          <w:lang w:eastAsia="zh-CN"/>
          <w14:textFill>
            <w14:solidFill>
              <w14:schemeClr w14:val="tx1"/>
            </w14:solidFill>
          </w14:textFill>
        </w:rPr>
        <w:t>：</w:t>
      </w:r>
      <w:r>
        <w:rPr>
          <w:rFonts w:hint="default" w:ascii="Times New Roman" w:hAnsi="Times New Roman" w:cs="Times New Roman"/>
          <w:color w:val="000000" w:themeColor="text1"/>
          <w:sz w:val="30"/>
          <w:szCs w:val="30"/>
          <w:lang w:val="en-US" w:eastAsia="zh-CN"/>
          <w14:textFill>
            <w14:solidFill>
              <w14:schemeClr w14:val="tx1"/>
            </w14:solidFill>
          </w14:textFill>
        </w:rPr>
        <w:t>908.30万元</w:t>
      </w:r>
      <w:r>
        <w:rPr>
          <w:rFonts w:hint="default" w:ascii="Times New Roman" w:hAnsi="Times New Roman" w:cs="Times New Roman"/>
          <w:color w:val="000000" w:themeColor="text1"/>
          <w:sz w:val="30"/>
          <w:szCs w:val="30"/>
          <w14:textFill>
            <w14:solidFill>
              <w14:schemeClr w14:val="tx1"/>
            </w14:solidFill>
          </w14:textFill>
        </w:rPr>
        <w:t>、</w:t>
      </w:r>
      <w:r>
        <w:rPr>
          <w:rFonts w:hint="default" w:ascii="Times New Roman" w:hAnsi="Times New Roman" w:cs="Times New Roman"/>
          <w:color w:val="000000" w:themeColor="text1"/>
          <w:sz w:val="30"/>
          <w:szCs w:val="30"/>
          <w:lang w:eastAsia="zh-CN"/>
          <w14:textFill>
            <w14:solidFill>
              <w14:schemeClr w14:val="tx1"/>
            </w14:solidFill>
          </w14:textFill>
        </w:rPr>
        <w:t>职工基本医疗保险：</w:t>
      </w:r>
      <w:r>
        <w:rPr>
          <w:rFonts w:hint="default" w:ascii="Times New Roman" w:hAnsi="Times New Roman" w:cs="Times New Roman"/>
          <w:color w:val="000000" w:themeColor="text1"/>
          <w:sz w:val="30"/>
          <w:szCs w:val="30"/>
          <w:lang w:val="en-US" w:eastAsia="zh-CN"/>
          <w14:textFill>
            <w14:solidFill>
              <w14:schemeClr w14:val="tx1"/>
            </w14:solidFill>
          </w14:textFill>
        </w:rPr>
        <w:t>27.04万元、</w:t>
      </w:r>
      <w:r>
        <w:rPr>
          <w:rFonts w:hint="default" w:ascii="Times New Roman" w:hAnsi="Times New Roman" w:cs="Times New Roman"/>
          <w:color w:val="000000" w:themeColor="text1"/>
          <w:sz w:val="30"/>
          <w:szCs w:val="30"/>
          <w14:textFill>
            <w14:solidFill>
              <w14:schemeClr w14:val="tx1"/>
            </w14:solidFill>
          </w14:textFill>
        </w:rPr>
        <w:t>抚恤金</w:t>
      </w:r>
      <w:r>
        <w:rPr>
          <w:rFonts w:hint="default" w:ascii="Times New Roman" w:hAnsi="Times New Roman" w:cs="Times New Roman"/>
          <w:color w:val="000000" w:themeColor="text1"/>
          <w:sz w:val="30"/>
          <w:szCs w:val="30"/>
          <w:lang w:eastAsia="zh-CN"/>
          <w14:textFill>
            <w14:solidFill>
              <w14:schemeClr w14:val="tx1"/>
            </w14:solidFill>
          </w14:textFill>
        </w:rPr>
        <w:t>：</w:t>
      </w:r>
      <w:r>
        <w:rPr>
          <w:rFonts w:hint="default" w:ascii="Times New Roman" w:hAnsi="Times New Roman" w:cs="Times New Roman"/>
          <w:color w:val="000000" w:themeColor="text1"/>
          <w:sz w:val="30"/>
          <w:szCs w:val="30"/>
          <w:lang w:val="en-US" w:eastAsia="zh-CN"/>
          <w14:textFill>
            <w14:solidFill>
              <w14:schemeClr w14:val="tx1"/>
            </w14:solidFill>
          </w14:textFill>
        </w:rPr>
        <w:t>54.32万元、</w:t>
      </w:r>
      <w:r>
        <w:rPr>
          <w:rFonts w:hint="default" w:ascii="Times New Roman" w:hAnsi="Times New Roman" w:cs="Times New Roman"/>
          <w:color w:val="000000" w:themeColor="text1"/>
          <w:sz w:val="30"/>
          <w:szCs w:val="30"/>
          <w14:textFill>
            <w14:solidFill>
              <w14:schemeClr w14:val="tx1"/>
            </w14:solidFill>
          </w14:textFill>
        </w:rPr>
        <w:t>生活补助</w:t>
      </w:r>
      <w:r>
        <w:rPr>
          <w:rFonts w:hint="default" w:ascii="Times New Roman" w:hAnsi="Times New Roman" w:cs="Times New Roman"/>
          <w:color w:val="000000" w:themeColor="text1"/>
          <w:sz w:val="30"/>
          <w:szCs w:val="30"/>
          <w:lang w:eastAsia="zh-CN"/>
          <w14:textFill>
            <w14:solidFill>
              <w14:schemeClr w14:val="tx1"/>
            </w14:solidFill>
          </w14:textFill>
        </w:rPr>
        <w:t>：</w:t>
      </w:r>
      <w:r>
        <w:rPr>
          <w:rFonts w:hint="default" w:ascii="Times New Roman" w:hAnsi="Times New Roman" w:cs="Times New Roman"/>
          <w:color w:val="000000" w:themeColor="text1"/>
          <w:sz w:val="30"/>
          <w:szCs w:val="30"/>
          <w:lang w:val="en-US" w:eastAsia="zh-CN"/>
          <w14:textFill>
            <w14:solidFill>
              <w14:schemeClr w14:val="tx1"/>
            </w14:solidFill>
          </w14:textFill>
        </w:rPr>
        <w:t>831.85万元、</w:t>
      </w:r>
      <w:r>
        <w:rPr>
          <w:rFonts w:hint="default" w:ascii="Times New Roman" w:hAnsi="Times New Roman" w:cs="Times New Roman"/>
          <w:color w:val="000000" w:themeColor="text1"/>
          <w:sz w:val="30"/>
          <w:szCs w:val="30"/>
          <w14:textFill>
            <w14:solidFill>
              <w14:schemeClr w14:val="tx1"/>
            </w14:solidFill>
          </w14:textFill>
        </w:rPr>
        <w:t>医疗费补助</w:t>
      </w:r>
      <w:r>
        <w:rPr>
          <w:rFonts w:hint="default" w:ascii="Times New Roman" w:hAnsi="Times New Roman" w:cs="Times New Roman"/>
          <w:color w:val="000000" w:themeColor="text1"/>
          <w:sz w:val="30"/>
          <w:szCs w:val="30"/>
          <w:lang w:eastAsia="zh-CN"/>
          <w14:textFill>
            <w14:solidFill>
              <w14:schemeClr w14:val="tx1"/>
            </w14:solidFill>
          </w14:textFill>
        </w:rPr>
        <w:t>：</w:t>
      </w:r>
      <w:r>
        <w:rPr>
          <w:rFonts w:hint="default" w:ascii="Times New Roman" w:hAnsi="Times New Roman" w:cs="Times New Roman"/>
          <w:color w:val="000000" w:themeColor="text1"/>
          <w:sz w:val="30"/>
          <w:szCs w:val="30"/>
          <w:lang w:val="en-US" w:eastAsia="zh-CN"/>
          <w14:textFill>
            <w14:solidFill>
              <w14:schemeClr w14:val="tx1"/>
            </w14:solidFill>
          </w14:textFill>
        </w:rPr>
        <w:t>107.72万元、</w:t>
      </w:r>
      <w:r>
        <w:rPr>
          <w:rFonts w:hint="default" w:ascii="Times New Roman" w:hAnsi="Times New Roman" w:cs="Times New Roman"/>
          <w:color w:val="000000" w:themeColor="text1"/>
          <w:sz w:val="30"/>
          <w:szCs w:val="30"/>
          <w14:textFill>
            <w14:solidFill>
              <w14:schemeClr w14:val="tx1"/>
            </w14:solidFill>
          </w14:textFill>
        </w:rPr>
        <w:t>其他对个人和家庭的补助支出等。</w:t>
      </w:r>
    </w:p>
    <w:p>
      <w:pPr>
        <w:spacing w:line="600" w:lineRule="exact"/>
        <w:ind w:firstLine="645"/>
        <w:rPr>
          <w:rFonts w:hint="default" w:ascii="Times New Roman" w:hAnsi="Times New Roman" w:eastAsia="宋体" w:cs="Times New Roman"/>
          <w:color w:val="000000" w:themeColor="text1"/>
          <w:sz w:val="30"/>
          <w:szCs w:val="30"/>
          <w:lang w:val="en-US" w:eastAsia="zh-CN"/>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公用经费26.54万元，主要包括：办公费</w:t>
      </w:r>
      <w:r>
        <w:rPr>
          <w:rFonts w:hint="default" w:ascii="Times New Roman" w:hAnsi="Times New Roman" w:cs="Times New Roman"/>
          <w:color w:val="000000" w:themeColor="text1"/>
          <w:sz w:val="30"/>
          <w:szCs w:val="30"/>
          <w:lang w:eastAsia="zh-CN"/>
          <w14:textFill>
            <w14:solidFill>
              <w14:schemeClr w14:val="tx1"/>
            </w14:solidFill>
          </w14:textFill>
        </w:rPr>
        <w:t>：</w:t>
      </w:r>
      <w:r>
        <w:rPr>
          <w:rFonts w:hint="default" w:ascii="Times New Roman" w:hAnsi="Times New Roman" w:cs="Times New Roman"/>
          <w:color w:val="000000" w:themeColor="text1"/>
          <w:sz w:val="30"/>
          <w:szCs w:val="30"/>
          <w:lang w:val="en-US" w:eastAsia="zh-CN"/>
          <w14:textFill>
            <w14:solidFill>
              <w14:schemeClr w14:val="tx1"/>
            </w14:solidFill>
          </w14:textFill>
        </w:rPr>
        <w:t>1.21万元、</w:t>
      </w:r>
      <w:r>
        <w:rPr>
          <w:rFonts w:hint="default" w:ascii="Times New Roman" w:hAnsi="Times New Roman" w:cs="Times New Roman"/>
          <w:color w:val="000000" w:themeColor="text1"/>
          <w:sz w:val="30"/>
          <w:szCs w:val="30"/>
          <w14:textFill>
            <w14:solidFill>
              <w14:schemeClr w14:val="tx1"/>
            </w14:solidFill>
          </w14:textFill>
        </w:rPr>
        <w:t>专用材料费</w:t>
      </w:r>
      <w:r>
        <w:rPr>
          <w:rFonts w:hint="default" w:ascii="Times New Roman" w:hAnsi="Times New Roman" w:cs="Times New Roman"/>
          <w:color w:val="000000" w:themeColor="text1"/>
          <w:sz w:val="30"/>
          <w:szCs w:val="30"/>
          <w:lang w:eastAsia="zh-CN"/>
          <w14:textFill>
            <w14:solidFill>
              <w14:schemeClr w14:val="tx1"/>
            </w14:solidFill>
          </w14:textFill>
        </w:rPr>
        <w:t>：</w:t>
      </w:r>
      <w:r>
        <w:rPr>
          <w:rFonts w:hint="default" w:ascii="Times New Roman" w:hAnsi="Times New Roman" w:cs="Times New Roman"/>
          <w:color w:val="000000" w:themeColor="text1"/>
          <w:sz w:val="30"/>
          <w:szCs w:val="30"/>
          <w:lang w:val="en-US" w:eastAsia="zh-CN"/>
          <w14:textFill>
            <w14:solidFill>
              <w14:schemeClr w14:val="tx1"/>
            </w14:solidFill>
          </w14:textFill>
        </w:rPr>
        <w:t>13.90万元、</w:t>
      </w:r>
      <w:r>
        <w:rPr>
          <w:rFonts w:hint="default" w:ascii="Times New Roman" w:hAnsi="Times New Roman" w:cs="Times New Roman"/>
          <w:color w:val="000000" w:themeColor="text1"/>
          <w:sz w:val="30"/>
          <w:szCs w:val="30"/>
          <w14:textFill>
            <w14:solidFill>
              <w14:schemeClr w14:val="tx1"/>
            </w14:solidFill>
          </w14:textFill>
        </w:rPr>
        <w:t>福利费</w:t>
      </w:r>
      <w:r>
        <w:rPr>
          <w:rFonts w:hint="default" w:ascii="Times New Roman" w:hAnsi="Times New Roman" w:cs="Times New Roman"/>
          <w:color w:val="000000" w:themeColor="text1"/>
          <w:sz w:val="30"/>
          <w:szCs w:val="30"/>
          <w:lang w:eastAsia="zh-CN"/>
          <w14:textFill>
            <w14:solidFill>
              <w14:schemeClr w14:val="tx1"/>
            </w14:solidFill>
          </w14:textFill>
        </w:rPr>
        <w:t>：</w:t>
      </w:r>
      <w:r>
        <w:rPr>
          <w:rFonts w:hint="default" w:ascii="Times New Roman" w:hAnsi="Times New Roman" w:cs="Times New Roman"/>
          <w:color w:val="000000" w:themeColor="text1"/>
          <w:sz w:val="30"/>
          <w:szCs w:val="30"/>
          <w:lang w:val="en-US" w:eastAsia="zh-CN"/>
          <w14:textFill>
            <w14:solidFill>
              <w14:schemeClr w14:val="tx1"/>
            </w14:solidFill>
          </w14:textFill>
        </w:rPr>
        <w:t>4.40万元</w:t>
      </w:r>
      <w:r>
        <w:rPr>
          <w:rFonts w:hint="default" w:ascii="Times New Roman" w:hAnsi="Times New Roman" w:cs="Times New Roman"/>
          <w:color w:val="000000" w:themeColor="text1"/>
          <w:sz w:val="30"/>
          <w:szCs w:val="30"/>
          <w14:textFill>
            <w14:solidFill>
              <w14:schemeClr w14:val="tx1"/>
            </w14:solidFill>
          </w14:textFill>
        </w:rPr>
        <w:t>。</w:t>
      </w:r>
      <w:r>
        <w:rPr>
          <w:rFonts w:hint="default" w:ascii="Times New Roman" w:hAnsi="Times New Roman" w:cs="Times New Roman"/>
          <w:color w:val="000000" w:themeColor="text1"/>
          <w:sz w:val="30"/>
          <w:szCs w:val="30"/>
          <w:lang w:eastAsia="zh-CN"/>
          <w14:textFill>
            <w14:solidFill>
              <w14:schemeClr w14:val="tx1"/>
            </w14:solidFill>
          </w14:textFill>
        </w:rPr>
        <w:t>其他商品和服务支出：</w:t>
      </w:r>
      <w:r>
        <w:rPr>
          <w:rFonts w:hint="default" w:ascii="Times New Roman" w:hAnsi="Times New Roman" w:cs="Times New Roman"/>
          <w:color w:val="000000" w:themeColor="text1"/>
          <w:sz w:val="30"/>
          <w:szCs w:val="30"/>
          <w:lang w:val="en-US" w:eastAsia="zh-CN"/>
          <w14:textFill>
            <w14:solidFill>
              <w14:schemeClr w14:val="tx1"/>
            </w14:solidFill>
          </w14:textFill>
        </w:rPr>
        <w:t>7.03万元。</w:t>
      </w:r>
    </w:p>
    <w:p>
      <w:pPr>
        <w:spacing w:line="600" w:lineRule="exact"/>
        <w:ind w:firstLine="640"/>
        <w:outlineLvl w:val="1"/>
        <w:rPr>
          <w:rStyle w:val="15"/>
          <w:rFonts w:hint="default" w:ascii="Times New Roman" w:hAnsi="Times New Roman" w:eastAsia="黑体" w:cs="Times New Roman"/>
          <w:b w:val="0"/>
        </w:rPr>
      </w:pPr>
      <w:bookmarkStart w:id="50" w:name="_Toc15377215"/>
      <w:bookmarkStart w:id="51" w:name="_Toc15396609"/>
      <w:bookmarkStart w:id="52" w:name="_Toc27799"/>
      <w:r>
        <w:rPr>
          <w:rFonts w:hint="default" w:ascii="Times New Roman" w:hAnsi="Times New Roman" w:eastAsia="黑体" w:cs="Times New Roman"/>
          <w:sz w:val="32"/>
          <w:szCs w:val="32"/>
        </w:rPr>
        <w:t>七、</w:t>
      </w:r>
      <w:r>
        <w:rPr>
          <w:rStyle w:val="15"/>
          <w:rFonts w:hint="default" w:ascii="Times New Roman" w:hAnsi="Times New Roman" w:eastAsia="黑体" w:cs="Times New Roman"/>
          <w:b w:val="0"/>
        </w:rPr>
        <w:t>财政拨款</w:t>
      </w:r>
      <w:r>
        <w:rPr>
          <w:rStyle w:val="15"/>
          <w:rFonts w:hint="default" w:ascii="Times New Roman" w:hAnsi="Times New Roman" w:eastAsia="黑体" w:cs="Times New Roman"/>
        </w:rPr>
        <w:t>“</w:t>
      </w:r>
      <w:r>
        <w:rPr>
          <w:rStyle w:val="15"/>
          <w:rFonts w:hint="default" w:ascii="Times New Roman" w:hAnsi="Times New Roman" w:eastAsia="黑体" w:cs="Times New Roman"/>
          <w:b w:val="0"/>
        </w:rPr>
        <w:t>三公”经费支出决算情况说明</w:t>
      </w:r>
      <w:bookmarkEnd w:id="50"/>
      <w:bookmarkEnd w:id="51"/>
      <w:bookmarkEnd w:id="52"/>
    </w:p>
    <w:p>
      <w:pPr>
        <w:spacing w:line="600" w:lineRule="exact"/>
        <w:ind w:firstLine="640"/>
        <w:outlineLvl w:val="2"/>
        <w:rPr>
          <w:rFonts w:hint="default" w:ascii="Times New Roman" w:hAnsi="Times New Roman" w:eastAsia="仿宋" w:cs="Times New Roman"/>
          <w:b/>
          <w:sz w:val="32"/>
          <w:szCs w:val="32"/>
        </w:rPr>
      </w:pPr>
      <w:bookmarkStart w:id="53" w:name="_Toc15377216"/>
      <w:r>
        <w:rPr>
          <w:rFonts w:hint="default" w:ascii="Times New Roman" w:hAnsi="Times New Roman" w:eastAsia="仿宋" w:cs="Times New Roman"/>
          <w:b/>
          <w:sz w:val="32"/>
          <w:szCs w:val="32"/>
        </w:rPr>
        <w:t>（一）“三公”经费财政拨款支出决算总体情况说明</w:t>
      </w:r>
      <w:bookmarkEnd w:id="53"/>
    </w:p>
    <w:p>
      <w:pPr>
        <w:spacing w:line="600" w:lineRule="exact"/>
        <w:ind w:firstLine="640"/>
        <w:rPr>
          <w:rFonts w:hint="default" w:ascii="Times New Roman" w:hAnsi="Times New Roman" w:cs="Times New Roman"/>
          <w:sz w:val="30"/>
          <w:szCs w:val="30"/>
        </w:rPr>
      </w:pPr>
      <w:r>
        <w:rPr>
          <w:rFonts w:hint="default" w:ascii="Times New Roman" w:hAnsi="Times New Roman" w:cs="Times New Roman"/>
          <w:sz w:val="30"/>
          <w:szCs w:val="30"/>
        </w:rPr>
        <w:t>2022年“三公”经费财政拨款支出决算为0万元，完成预算100%。</w:t>
      </w:r>
    </w:p>
    <w:p>
      <w:pPr>
        <w:spacing w:line="600" w:lineRule="exact"/>
        <w:ind w:firstLine="640"/>
        <w:outlineLvl w:val="2"/>
        <w:rPr>
          <w:rFonts w:hint="default" w:ascii="Times New Roman" w:hAnsi="Times New Roman" w:eastAsia="仿宋" w:cs="Times New Roman"/>
          <w:b/>
          <w:sz w:val="32"/>
          <w:szCs w:val="32"/>
        </w:rPr>
      </w:pPr>
      <w:bookmarkStart w:id="54" w:name="_Toc15377217"/>
      <w:r>
        <w:rPr>
          <w:rFonts w:hint="default" w:ascii="Times New Roman" w:hAnsi="Times New Roman" w:eastAsia="仿宋" w:cs="Times New Roman"/>
          <w:b/>
          <w:sz w:val="32"/>
          <w:szCs w:val="32"/>
        </w:rPr>
        <w:t>（二）“三公”经费财政拨款支出决算具体情况说明</w:t>
      </w:r>
      <w:bookmarkEnd w:id="54"/>
    </w:p>
    <w:p>
      <w:pPr>
        <w:spacing w:line="600" w:lineRule="exact"/>
        <w:ind w:firstLine="640"/>
        <w:rPr>
          <w:rFonts w:hint="default" w:ascii="Times New Roman" w:hAnsi="Times New Roman" w:cs="Times New Roman"/>
          <w:sz w:val="30"/>
          <w:szCs w:val="30"/>
        </w:rPr>
      </w:pPr>
      <w:r>
        <w:rPr>
          <w:rFonts w:hint="default" w:ascii="Times New Roman" w:hAnsi="Times New Roman" w:cs="Times New Roman"/>
          <w:sz w:val="30"/>
          <w:szCs w:val="30"/>
        </w:rPr>
        <w:t>2022年“三公”经费财政拨款支出决算中，因公出国（境）费支出决算0万元，公务用车购置及运行维护费支出决算0万元，公务接待费支出决算0万元。具体情况如下：</w:t>
      </w:r>
    </w:p>
    <w:p>
      <w:pPr>
        <w:spacing w:line="600" w:lineRule="exact"/>
        <w:ind w:firstLine="640"/>
        <w:rPr>
          <w:rFonts w:hint="default" w:ascii="Times New Roman" w:hAnsi="Times New Roman" w:cs="Times New Roman"/>
          <w:bCs/>
          <w:sz w:val="30"/>
          <w:szCs w:val="30"/>
        </w:rPr>
      </w:pPr>
      <w:r>
        <w:rPr>
          <w:rFonts w:hint="default" w:ascii="Times New Roman" w:hAnsi="Times New Roman" w:cs="Times New Roman"/>
          <w:bCs/>
          <w:sz w:val="30"/>
          <w:szCs w:val="30"/>
        </w:rPr>
        <w:t>1.因公出国（境）经费支出0万元</w:t>
      </w:r>
      <w:r>
        <w:rPr>
          <w:rStyle w:val="13"/>
          <w:rFonts w:hint="default" w:ascii="Times New Roman" w:hAnsi="Times New Roman" w:cs="Times New Roman"/>
          <w:b w:val="0"/>
          <w:bCs/>
          <w:sz w:val="30"/>
          <w:szCs w:val="30"/>
        </w:rPr>
        <w:t>，</w:t>
      </w:r>
      <w:r>
        <w:rPr>
          <w:rStyle w:val="13"/>
          <w:rFonts w:hint="default" w:ascii="Times New Roman" w:hAnsi="Times New Roman" w:cs="Times New Roman"/>
          <w:b w:val="0"/>
          <w:bCs/>
          <w:color w:val="000000"/>
          <w:sz w:val="30"/>
          <w:szCs w:val="30"/>
        </w:rPr>
        <w:t>完成预算0%。</w:t>
      </w:r>
      <w:r>
        <w:rPr>
          <w:rFonts w:hint="default" w:ascii="Times New Roman" w:hAnsi="Times New Roman" w:cs="Times New Roman"/>
          <w:bCs/>
          <w:sz w:val="30"/>
          <w:szCs w:val="30"/>
        </w:rPr>
        <w:t>全年安排因公出国（境）团组0次，出国（境）0人。因</w:t>
      </w:r>
    </w:p>
    <w:p>
      <w:pPr>
        <w:spacing w:line="600" w:lineRule="exact"/>
        <w:ind w:firstLine="640"/>
        <w:rPr>
          <w:rFonts w:hint="default" w:ascii="Times New Roman" w:hAnsi="Times New Roman" w:cs="Times New Roman"/>
          <w:bCs/>
          <w:sz w:val="30"/>
          <w:szCs w:val="30"/>
        </w:rPr>
      </w:pPr>
      <w:r>
        <w:rPr>
          <w:rFonts w:hint="default" w:ascii="Times New Roman" w:hAnsi="Times New Roman" w:cs="Times New Roman"/>
          <w:bCs/>
          <w:sz w:val="30"/>
          <w:szCs w:val="30"/>
        </w:rPr>
        <w:t>2.公务用车购置及运行维护费支出0万元</w:t>
      </w:r>
      <w:r>
        <w:rPr>
          <w:rStyle w:val="13"/>
          <w:rFonts w:hint="default" w:ascii="Times New Roman" w:hAnsi="Times New Roman" w:cs="Times New Roman"/>
          <w:b w:val="0"/>
          <w:bCs/>
          <w:sz w:val="30"/>
          <w:szCs w:val="30"/>
        </w:rPr>
        <w:t>。</w:t>
      </w:r>
      <w:r>
        <w:rPr>
          <w:rFonts w:hint="default" w:ascii="Times New Roman" w:hAnsi="Times New Roman" w:cs="Times New Roman"/>
          <w:bCs/>
          <w:sz w:val="30"/>
          <w:szCs w:val="30"/>
        </w:rPr>
        <w:t>公务用车购置及运行维护费支出决算与2021年持平。</w:t>
      </w:r>
    </w:p>
    <w:p>
      <w:pPr>
        <w:spacing w:line="600" w:lineRule="exact"/>
        <w:ind w:firstLine="600" w:firstLineChars="200"/>
        <w:rPr>
          <w:rFonts w:hint="default" w:ascii="Times New Roman" w:hAnsi="Times New Roman" w:cs="Times New Roman"/>
          <w:bCs/>
          <w:sz w:val="30"/>
          <w:szCs w:val="30"/>
        </w:rPr>
      </w:pPr>
      <w:r>
        <w:rPr>
          <w:rFonts w:hint="default" w:ascii="Times New Roman" w:hAnsi="Times New Roman" w:cs="Times New Roman"/>
          <w:bCs/>
          <w:sz w:val="30"/>
          <w:szCs w:val="30"/>
        </w:rPr>
        <w:t>其中：公务用车购置支出0万元。全年按规定更新购置公务用车0辆，其中：轿车0辆、金额0万元，越野车0辆、金额0万元，载客汽车0辆、金额0万元。截至2022年12月底，单位共有公务用车6辆，其中：轿车1辆、越野车1辆、载客汽车4辆。</w:t>
      </w:r>
    </w:p>
    <w:p>
      <w:pPr>
        <w:spacing w:line="600" w:lineRule="exact"/>
        <w:ind w:firstLine="640"/>
        <w:rPr>
          <w:rFonts w:hint="default" w:ascii="Times New Roman" w:hAnsi="Times New Roman" w:cs="Times New Roman"/>
          <w:bCs/>
          <w:sz w:val="30"/>
          <w:szCs w:val="30"/>
        </w:rPr>
      </w:pPr>
      <w:r>
        <w:rPr>
          <w:rFonts w:hint="default" w:ascii="Times New Roman" w:hAnsi="Times New Roman" w:cs="Times New Roman"/>
          <w:bCs/>
          <w:sz w:val="30"/>
          <w:szCs w:val="30"/>
        </w:rPr>
        <w:t>公务用车运行维护费支出0万元。</w:t>
      </w:r>
    </w:p>
    <w:p>
      <w:pPr>
        <w:spacing w:line="600" w:lineRule="exact"/>
        <w:ind w:firstLine="640"/>
        <w:rPr>
          <w:rFonts w:hint="default" w:ascii="Times New Roman" w:hAnsi="Times New Roman" w:cs="Times New Roman"/>
          <w:bCs/>
          <w:sz w:val="30"/>
          <w:szCs w:val="30"/>
        </w:rPr>
      </w:pPr>
      <w:r>
        <w:rPr>
          <w:rFonts w:hint="default" w:ascii="Times New Roman" w:hAnsi="Times New Roman" w:cs="Times New Roman"/>
          <w:bCs/>
          <w:sz w:val="30"/>
          <w:szCs w:val="30"/>
        </w:rPr>
        <w:t>3.公务接待费支出0万元</w:t>
      </w:r>
      <w:r>
        <w:rPr>
          <w:rStyle w:val="13"/>
          <w:rFonts w:hint="default" w:ascii="Times New Roman" w:hAnsi="Times New Roman" w:cs="Times New Roman"/>
          <w:b w:val="0"/>
          <w:bCs/>
          <w:sz w:val="30"/>
          <w:szCs w:val="30"/>
        </w:rPr>
        <w:t>。</w:t>
      </w:r>
      <w:r>
        <w:rPr>
          <w:rFonts w:hint="default" w:ascii="Times New Roman" w:hAnsi="Times New Roman" w:cs="Times New Roman"/>
          <w:bCs/>
          <w:sz w:val="30"/>
          <w:szCs w:val="30"/>
        </w:rPr>
        <w:t>公务接待费支出决算与2021年持平。其中：</w:t>
      </w:r>
    </w:p>
    <w:p>
      <w:pPr>
        <w:spacing w:line="600" w:lineRule="exact"/>
        <w:ind w:firstLine="640"/>
        <w:rPr>
          <w:rFonts w:hint="default" w:ascii="Times New Roman" w:hAnsi="Times New Roman" w:cs="Times New Roman"/>
          <w:bCs/>
          <w:sz w:val="30"/>
          <w:szCs w:val="30"/>
        </w:rPr>
      </w:pPr>
      <w:r>
        <w:rPr>
          <w:rFonts w:hint="default" w:ascii="Times New Roman" w:hAnsi="Times New Roman" w:cs="Times New Roman"/>
          <w:bCs/>
          <w:sz w:val="30"/>
          <w:szCs w:val="30"/>
        </w:rPr>
        <w:t>国内公务接待支出0万元。国内公务接待0批次，0人次（不包括陪同人员），共计支出0万元。</w:t>
      </w:r>
    </w:p>
    <w:p>
      <w:pPr>
        <w:spacing w:line="600" w:lineRule="exact"/>
        <w:ind w:firstLine="600" w:firstLineChars="200"/>
        <w:rPr>
          <w:rFonts w:hint="default" w:ascii="Times New Roman" w:hAnsi="Times New Roman" w:cs="Times New Roman"/>
          <w:sz w:val="30"/>
          <w:szCs w:val="30"/>
        </w:rPr>
      </w:pPr>
      <w:r>
        <w:rPr>
          <w:rFonts w:hint="default" w:ascii="Times New Roman" w:hAnsi="Times New Roman" w:cs="Times New Roman"/>
          <w:bCs/>
          <w:sz w:val="30"/>
          <w:szCs w:val="30"/>
        </w:rPr>
        <w:t>外事接待支出0万元。外事接待0批次，0人次（不包括陪</w:t>
      </w:r>
      <w:r>
        <w:rPr>
          <w:rFonts w:hint="default" w:ascii="Times New Roman" w:hAnsi="Times New Roman" w:cs="Times New Roman"/>
          <w:sz w:val="30"/>
          <w:szCs w:val="30"/>
        </w:rPr>
        <w:t>同人员），共计支出0万元。</w:t>
      </w:r>
    </w:p>
    <w:p>
      <w:pPr>
        <w:spacing w:line="600" w:lineRule="exact"/>
        <w:ind w:firstLine="640"/>
        <w:outlineLvl w:val="1"/>
        <w:rPr>
          <w:rStyle w:val="15"/>
          <w:rFonts w:hint="default" w:ascii="Times New Roman" w:hAnsi="Times New Roman" w:eastAsia="黑体" w:cs="Times New Roman"/>
        </w:rPr>
      </w:pPr>
      <w:bookmarkStart w:id="55" w:name="_Toc27876"/>
      <w:r>
        <w:rPr>
          <w:rFonts w:hint="default" w:ascii="Times New Roman" w:hAnsi="Times New Roman" w:eastAsia="黑体" w:cs="Times New Roman"/>
          <w:sz w:val="32"/>
          <w:szCs w:val="32"/>
        </w:rPr>
        <w:t>八、</w:t>
      </w:r>
      <w:r>
        <w:rPr>
          <w:rStyle w:val="15"/>
          <w:rFonts w:hint="default" w:ascii="Times New Roman" w:hAnsi="Times New Roman" w:eastAsia="黑体" w:cs="Times New Roman"/>
          <w:b w:val="0"/>
        </w:rPr>
        <w:t>政府性基金预算支出决算情况说明</w:t>
      </w:r>
      <w:bookmarkEnd w:id="55"/>
    </w:p>
    <w:p>
      <w:pPr>
        <w:spacing w:line="600" w:lineRule="exact"/>
        <w:ind w:firstLine="640"/>
        <w:rPr>
          <w:rFonts w:hint="default" w:ascii="Times New Roman" w:hAnsi="Times New Roman" w:cs="Times New Roman"/>
          <w:sz w:val="30"/>
          <w:szCs w:val="30"/>
        </w:rPr>
      </w:pPr>
      <w:r>
        <w:rPr>
          <w:rFonts w:hint="default" w:ascii="Times New Roman" w:hAnsi="Times New Roman" w:cs="Times New Roman"/>
          <w:sz w:val="30"/>
          <w:szCs w:val="30"/>
        </w:rPr>
        <w:t>2022年政府性基金预算财政拨款支出0万元。</w:t>
      </w:r>
    </w:p>
    <w:p>
      <w:pPr>
        <w:numPr>
          <w:ilvl w:val="0"/>
          <w:numId w:val="3"/>
        </w:numPr>
        <w:spacing w:line="600" w:lineRule="exact"/>
        <w:ind w:firstLine="640"/>
        <w:outlineLvl w:val="1"/>
        <w:rPr>
          <w:rStyle w:val="15"/>
          <w:rFonts w:hint="default" w:ascii="Times New Roman" w:hAnsi="Times New Roman" w:eastAsia="黑体" w:cs="Times New Roman"/>
          <w:b w:val="0"/>
        </w:rPr>
      </w:pPr>
      <w:bookmarkStart w:id="56" w:name="_Toc26581"/>
      <w:bookmarkStart w:id="57" w:name="_Toc15377219"/>
      <w:bookmarkStart w:id="58" w:name="_Toc15396611"/>
      <w:r>
        <w:rPr>
          <w:rStyle w:val="15"/>
          <w:rFonts w:hint="default" w:ascii="Times New Roman" w:hAnsi="Times New Roman" w:eastAsia="黑体" w:cs="Times New Roman"/>
          <w:b w:val="0"/>
        </w:rPr>
        <w:t>国有资本经营预算支出决算情况说明</w:t>
      </w:r>
      <w:bookmarkEnd w:id="56"/>
      <w:bookmarkEnd w:id="57"/>
      <w:bookmarkEnd w:id="58"/>
    </w:p>
    <w:p>
      <w:pPr>
        <w:spacing w:line="600" w:lineRule="exact"/>
        <w:ind w:firstLine="640"/>
        <w:rPr>
          <w:rFonts w:hint="default" w:ascii="Times New Roman" w:hAnsi="Times New Roman" w:cs="Times New Roman"/>
          <w:sz w:val="30"/>
          <w:szCs w:val="30"/>
        </w:rPr>
      </w:pPr>
      <w:r>
        <w:rPr>
          <w:rFonts w:hint="default" w:ascii="Times New Roman" w:hAnsi="Times New Roman" w:cs="Times New Roman"/>
          <w:sz w:val="30"/>
          <w:szCs w:val="30"/>
        </w:rPr>
        <w:t>2022年国有资本经营预算财政拨款支出0万元。</w:t>
      </w:r>
    </w:p>
    <w:p>
      <w:pPr>
        <w:numPr>
          <w:ilvl w:val="0"/>
          <w:numId w:val="3"/>
        </w:numPr>
        <w:spacing w:line="600" w:lineRule="exact"/>
        <w:ind w:firstLine="640"/>
        <w:outlineLvl w:val="1"/>
        <w:rPr>
          <w:rStyle w:val="15"/>
          <w:rFonts w:hint="default" w:ascii="Times New Roman" w:hAnsi="Times New Roman" w:eastAsia="黑体" w:cs="Times New Roman"/>
          <w:b w:val="0"/>
        </w:rPr>
      </w:pPr>
      <w:bookmarkStart w:id="59" w:name="_Toc4072"/>
      <w:bookmarkStart w:id="60" w:name="_Toc15377221"/>
      <w:bookmarkStart w:id="61" w:name="_Toc15396612"/>
      <w:r>
        <w:rPr>
          <w:rStyle w:val="15"/>
          <w:rFonts w:hint="default" w:ascii="Times New Roman" w:hAnsi="Times New Roman" w:eastAsia="黑体" w:cs="Times New Roman"/>
          <w:b w:val="0"/>
        </w:rPr>
        <w:t>其他重要事项的情况说明</w:t>
      </w:r>
      <w:bookmarkEnd w:id="59"/>
      <w:bookmarkEnd w:id="60"/>
      <w:bookmarkEnd w:id="61"/>
    </w:p>
    <w:p>
      <w:pPr>
        <w:spacing w:line="600" w:lineRule="exact"/>
        <w:ind w:firstLine="642" w:firstLineChars="200"/>
        <w:outlineLvl w:val="2"/>
        <w:rPr>
          <w:rFonts w:hint="default" w:ascii="Times New Roman" w:hAnsi="Times New Roman" w:eastAsia="仿宋" w:cs="Times New Roman"/>
          <w:sz w:val="32"/>
          <w:szCs w:val="32"/>
        </w:rPr>
      </w:pPr>
      <w:bookmarkStart w:id="62" w:name="_Toc15377222"/>
      <w:r>
        <w:rPr>
          <w:rFonts w:hint="default" w:ascii="Times New Roman" w:hAnsi="Times New Roman" w:eastAsia="仿宋" w:cs="Times New Roman"/>
          <w:b/>
          <w:sz w:val="32"/>
          <w:szCs w:val="32"/>
        </w:rPr>
        <w:t>（一）机关运行经费支出情况</w:t>
      </w:r>
      <w:bookmarkEnd w:id="62"/>
    </w:p>
    <w:p>
      <w:pPr>
        <w:spacing w:line="600"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2022年，攀枝花市第二人民医院机关运行经费支出0万元，与2021年决算数持平。</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sz w:val="32"/>
          <w:szCs w:val="32"/>
        </w:rPr>
      </w:pPr>
      <w:bookmarkStart w:id="63" w:name="_Toc15377223"/>
      <w:r>
        <w:rPr>
          <w:rFonts w:hint="default" w:ascii="Times New Roman" w:hAnsi="Times New Roman" w:eastAsia="仿宋" w:cs="Times New Roman"/>
          <w:b/>
          <w:sz w:val="32"/>
          <w:szCs w:val="32"/>
        </w:rPr>
        <w:t>（二）政府采购支出情况</w:t>
      </w:r>
      <w:bookmarkEnd w:id="63"/>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cs="Times New Roman"/>
          <w:sz w:val="30"/>
          <w:szCs w:val="30"/>
        </w:rPr>
        <w:t>2022年，攀枝花市第二人民医院政府采购支出总额248.84万元，其中：政府采购货物支出248.84万元、政府采购工程支出0万元、政府采购服务支出0万元。主要用于</w:t>
      </w:r>
      <w:r>
        <w:rPr>
          <w:rFonts w:hint="default" w:ascii="Times New Roman" w:hAnsi="Times New Roman" w:cs="Times New Roman"/>
          <w:color w:val="000000"/>
          <w:sz w:val="30"/>
          <w:szCs w:val="30"/>
        </w:rPr>
        <w:t>医疗设备和办公设备购置</w:t>
      </w:r>
      <w:r>
        <w:rPr>
          <w:rFonts w:hint="default" w:ascii="Times New Roman" w:hAnsi="Times New Roman" w:cs="Times New Roman"/>
          <w:sz w:val="30"/>
          <w:szCs w:val="30"/>
        </w:rPr>
        <w:t>。授予中小企业合同金额0万元，其中：授予小微企业合同金额0万元。</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sz w:val="32"/>
          <w:szCs w:val="32"/>
        </w:rPr>
      </w:pPr>
      <w:bookmarkStart w:id="64" w:name="_Toc15377224"/>
      <w:r>
        <w:rPr>
          <w:rFonts w:hint="default" w:ascii="Times New Roman" w:hAnsi="Times New Roman" w:eastAsia="仿宋" w:cs="Times New Roman"/>
          <w:b/>
          <w:sz w:val="32"/>
          <w:szCs w:val="32"/>
        </w:rPr>
        <w:t>（三）国有资产占有使用情况</w:t>
      </w:r>
      <w:bookmarkEnd w:id="64"/>
    </w:p>
    <w:p>
      <w:pPr>
        <w:autoSpaceDE w:val="0"/>
        <w:autoSpaceDN w:val="0"/>
        <w:adjustRightInd w:val="0"/>
        <w:spacing w:line="600" w:lineRule="exact"/>
        <w:ind w:firstLine="600" w:firstLineChars="200"/>
        <w:jc w:val="left"/>
        <w:rPr>
          <w:rFonts w:hint="default" w:ascii="Times New Roman" w:hAnsi="Times New Roman" w:cs="Times New Roman"/>
          <w:sz w:val="30"/>
          <w:szCs w:val="30"/>
        </w:rPr>
      </w:pPr>
      <w:r>
        <w:rPr>
          <w:rFonts w:hint="default" w:ascii="Times New Roman" w:hAnsi="Times New Roman" w:cs="Times New Roman"/>
          <w:sz w:val="30"/>
          <w:szCs w:val="30"/>
        </w:rPr>
        <w:t>截至2022年12月31日，攀枝花市第二人民医院共有车辆6辆，其中：主要领导干部用车0辆、机要通信用车0辆、应急保障用车0辆、其他用车6辆，其他用车主要是用于</w:t>
      </w:r>
      <w:r>
        <w:rPr>
          <w:rFonts w:hint="default" w:ascii="Times New Roman" w:hAnsi="Times New Roman" w:cs="Times New Roman"/>
          <w:color w:val="000000"/>
          <w:sz w:val="30"/>
          <w:szCs w:val="30"/>
        </w:rPr>
        <w:t>医疗救护及公务使用</w:t>
      </w:r>
      <w:r>
        <w:rPr>
          <w:rFonts w:hint="default" w:ascii="Times New Roman" w:hAnsi="Times New Roman" w:cs="Times New Roman"/>
          <w:sz w:val="30"/>
          <w:szCs w:val="30"/>
        </w:rPr>
        <w:t>。单价100万元以上专用设备20台（套）。</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pStyle w:val="2"/>
        <w:spacing w:before="93"/>
        <w:ind w:firstLine="600" w:firstLineChars="200"/>
        <w:rPr>
          <w:rFonts w:hint="default" w:ascii="Times New Roman" w:hAnsi="Times New Roman" w:eastAsia="宋体" w:cs="Times New Roman"/>
          <w:szCs w:val="30"/>
        </w:rPr>
      </w:pPr>
      <w:r>
        <w:rPr>
          <w:rFonts w:hint="default" w:ascii="Times New Roman" w:hAnsi="Times New Roman" w:eastAsia="宋体" w:cs="Times New Roman"/>
          <w:szCs w:val="30"/>
        </w:rPr>
        <w:t>根据预算绩效管理要求，本单位在2022年度预算编制阶段，组织对公立医院综合改革项目等4个项目开展了预算事前绩效评估，对4个项目编制了绩效目标，预算执行过程中，选取4个项目开展绩效监控，组织对个项目开展绩效自评，绩效自评表详见附件（第四部分）。</w:t>
      </w:r>
    </w:p>
    <w:p>
      <w:pPr>
        <w:pStyle w:val="2"/>
        <w:spacing w:before="93"/>
        <w:rPr>
          <w:rFonts w:hint="default" w:ascii="Times New Roman" w:hAnsi="Times New Roman" w:cs="Times New Roman"/>
          <w:sz w:val="32"/>
          <w:szCs w:val="32"/>
        </w:rPr>
      </w:pPr>
    </w:p>
    <w:p>
      <w:pPr>
        <w:numPr>
          <w:ilvl w:val="0"/>
          <w:numId w:val="0"/>
        </w:numPr>
        <w:spacing w:line="600" w:lineRule="exact"/>
        <w:jc w:val="center"/>
        <w:outlineLvl w:val="0"/>
        <w:rPr>
          <w:rStyle w:val="14"/>
          <w:rFonts w:hint="default" w:ascii="Times New Roman" w:hAnsi="Times New Roman" w:eastAsia="黑体" w:cs="Times New Roman"/>
          <w:b w:val="0"/>
        </w:rPr>
      </w:pPr>
      <w:bookmarkStart w:id="65" w:name="_Toc26538"/>
      <w:bookmarkStart w:id="66" w:name="_Toc15377225"/>
      <w:bookmarkStart w:id="67" w:name="_Toc15396613"/>
      <w:r>
        <w:rPr>
          <w:rFonts w:hint="default" w:ascii="Times New Roman" w:hAnsi="Times New Roman" w:eastAsia="黑体" w:cs="Times New Roman"/>
          <w:sz w:val="44"/>
          <w:szCs w:val="44"/>
          <w:lang w:eastAsia="zh-CN"/>
        </w:rPr>
        <w:t>第三部分</w:t>
      </w:r>
      <w:r>
        <w:rPr>
          <w:rFonts w:hint="default" w:ascii="Times New Roman" w:hAnsi="Times New Roman" w:eastAsia="黑体" w:cs="Times New Roman"/>
          <w:sz w:val="44"/>
          <w:szCs w:val="44"/>
          <w:lang w:val="en-US" w:eastAsia="zh-CN"/>
        </w:rPr>
        <w:t xml:space="preserve">  </w:t>
      </w:r>
      <w:r>
        <w:rPr>
          <w:rFonts w:hint="default" w:ascii="Times New Roman" w:hAnsi="Times New Roman" w:eastAsia="黑体" w:cs="Times New Roman"/>
          <w:sz w:val="44"/>
          <w:szCs w:val="44"/>
        </w:rPr>
        <w:t>名</w:t>
      </w:r>
      <w:r>
        <w:rPr>
          <w:rStyle w:val="14"/>
          <w:rFonts w:hint="default" w:ascii="Times New Roman" w:hAnsi="Times New Roman" w:eastAsia="黑体" w:cs="Times New Roman"/>
          <w:b w:val="0"/>
        </w:rPr>
        <w:t>词解释</w:t>
      </w:r>
      <w:bookmarkEnd w:id="65"/>
      <w:bookmarkEnd w:id="66"/>
      <w:bookmarkEnd w:id="67"/>
    </w:p>
    <w:p>
      <w:pPr>
        <w:spacing w:line="600" w:lineRule="exact"/>
        <w:jc w:val="left"/>
        <w:rPr>
          <w:rFonts w:hint="default" w:ascii="Times New Roman" w:hAnsi="Times New Roman" w:cs="Times New Roman"/>
          <w:b/>
          <w:sz w:val="44"/>
          <w:szCs w:val="44"/>
        </w:rPr>
      </w:pP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color w:val="auto"/>
          <w:sz w:val="30"/>
          <w:szCs w:val="30"/>
        </w:rPr>
        <w:t>1.财政拨款收入：指单位从同级财政部门取得的财政预算资金。</w:t>
      </w: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color w:val="auto"/>
          <w:sz w:val="30"/>
          <w:szCs w:val="30"/>
        </w:rPr>
        <w:t>2.事业收入：指事业单位开展专业业务活动及辅助活动取得的收入。如医疗收入等。</w:t>
      </w: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color w:val="auto"/>
          <w:sz w:val="30"/>
          <w:szCs w:val="30"/>
        </w:rPr>
        <w:t xml:space="preserve">3.其他收入：指单位取得的除上述收入以外的各项收入。主要是利息收入、康养收入等。 </w:t>
      </w: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color w:val="auto"/>
          <w:sz w:val="30"/>
          <w:szCs w:val="30"/>
        </w:rPr>
        <w:t xml:space="preserve">4.使用非财政拨款结余：指事业单位使用以前年度积累的非财政拨款结余弥补当年收支差额的金额。 </w:t>
      </w: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color w:val="auto"/>
          <w:sz w:val="30"/>
          <w:szCs w:val="30"/>
        </w:rPr>
        <w:t xml:space="preserve">5.年初结转和结余：指以前年度尚未完成、结转到本年按有关规定继续使用的资金。 </w:t>
      </w: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color w:val="auto"/>
          <w:sz w:val="30"/>
          <w:szCs w:val="30"/>
        </w:rPr>
        <w:t>6.结余分配：指事业单位按照会计制度规定缴纳的所得税、提取的专用结余以及转入非财政拨款结余的金额等。</w:t>
      </w: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color w:val="auto"/>
          <w:sz w:val="30"/>
          <w:szCs w:val="30"/>
        </w:rPr>
        <w:t>7.年末结转和结余：指单位按有关规定结转到下年或以后年度继续使用的资金。</w:t>
      </w:r>
    </w:p>
    <w:p>
      <w:pPr>
        <w:widowControl/>
        <w:ind w:firstLine="600" w:firstLineChars="200"/>
        <w:rPr>
          <w:rFonts w:hint="default" w:ascii="Times New Roman" w:hAnsi="Times New Roman" w:cs="Times New Roman"/>
          <w:color w:val="000000"/>
          <w:kern w:val="0"/>
          <w:sz w:val="30"/>
          <w:szCs w:val="30"/>
        </w:rPr>
      </w:pPr>
      <w:r>
        <w:rPr>
          <w:rFonts w:hint="default" w:ascii="Times New Roman" w:hAnsi="Times New Roman" w:cs="Times New Roman"/>
          <w:sz w:val="30"/>
          <w:szCs w:val="30"/>
        </w:rPr>
        <w:t>8.一般公共服务（类）</w:t>
      </w:r>
      <w:r>
        <w:rPr>
          <w:rFonts w:hint="default" w:ascii="Times New Roman" w:hAnsi="Times New Roman" w:cs="Times New Roman"/>
          <w:color w:val="000000"/>
          <w:kern w:val="0"/>
          <w:sz w:val="30"/>
          <w:szCs w:val="30"/>
        </w:rPr>
        <w:t>政府办公厅（室）及相关机构事务</w:t>
      </w:r>
      <w:r>
        <w:rPr>
          <w:rFonts w:hint="default" w:ascii="Times New Roman" w:hAnsi="Times New Roman" w:cs="Times New Roman"/>
          <w:sz w:val="30"/>
          <w:szCs w:val="30"/>
        </w:rPr>
        <w:t>（款）</w:t>
      </w:r>
      <w:r>
        <w:rPr>
          <w:rFonts w:hint="default" w:ascii="Times New Roman" w:hAnsi="Times New Roman" w:cs="Times New Roman"/>
          <w:color w:val="000000"/>
          <w:kern w:val="0"/>
          <w:sz w:val="30"/>
          <w:szCs w:val="30"/>
        </w:rPr>
        <w:t xml:space="preserve">  信访事务</w:t>
      </w:r>
      <w:r>
        <w:rPr>
          <w:rFonts w:hint="default" w:ascii="Times New Roman" w:hAnsi="Times New Roman" w:cs="Times New Roman"/>
          <w:sz w:val="30"/>
          <w:szCs w:val="30"/>
        </w:rPr>
        <w:t>（项）：指其他用于中国共产党组织部门的事务支出。</w:t>
      </w: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sz w:val="30"/>
          <w:szCs w:val="30"/>
        </w:rPr>
        <w:t xml:space="preserve">9. </w:t>
      </w:r>
      <w:r>
        <w:rPr>
          <w:rFonts w:hint="default" w:ascii="Times New Roman" w:hAnsi="Times New Roman" w:eastAsia="宋体" w:cs="Times New Roman"/>
          <w:color w:val="auto"/>
          <w:sz w:val="30"/>
          <w:szCs w:val="30"/>
        </w:rPr>
        <w:t>社会保障和就业（类）行政事业单位养老支出（款）事业单位离退休（项）: 指实行归口管理的事业单位开支的离退休经费。</w:t>
      </w: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sz w:val="30"/>
          <w:szCs w:val="30"/>
        </w:rPr>
        <w:t xml:space="preserve">10. </w:t>
      </w:r>
      <w:r>
        <w:rPr>
          <w:rFonts w:hint="default" w:ascii="Times New Roman" w:hAnsi="Times New Roman" w:eastAsia="宋体" w:cs="Times New Roman"/>
          <w:color w:val="auto"/>
          <w:sz w:val="30"/>
          <w:szCs w:val="30"/>
        </w:rPr>
        <w:t>社会保障和就业（类）行政事业单位养老支出（款）机关事业单位基本养老保险缴费支出（项）:指机关事业单位实施养老保险制度由单位缴纳的基本养老保险费支出</w:t>
      </w: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sz w:val="30"/>
          <w:szCs w:val="30"/>
        </w:rPr>
        <w:t xml:space="preserve">11. </w:t>
      </w:r>
      <w:r>
        <w:rPr>
          <w:rFonts w:hint="default" w:ascii="Times New Roman" w:hAnsi="Times New Roman" w:eastAsia="宋体" w:cs="Times New Roman"/>
          <w:color w:val="auto"/>
          <w:sz w:val="30"/>
          <w:szCs w:val="30"/>
        </w:rPr>
        <w:t>社会保障和就业（类）抚恤（款）死亡抚恤（项）:指按规定用于烈士和牺牲、病故人员家属的一次性和定期抚恤金以及丧葬补助费。</w:t>
      </w: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sz w:val="30"/>
          <w:szCs w:val="30"/>
        </w:rPr>
        <w:t xml:space="preserve">12. </w:t>
      </w:r>
      <w:r>
        <w:rPr>
          <w:rFonts w:hint="default" w:ascii="Times New Roman" w:hAnsi="Times New Roman" w:eastAsia="宋体" w:cs="Times New Roman"/>
          <w:color w:val="auto"/>
          <w:sz w:val="30"/>
          <w:szCs w:val="30"/>
        </w:rPr>
        <w:t>卫生健康（类）公立医院（款）综合医院（项）:指卫生健康、中医部门所属的城市综合性医院、独立门诊、教学医院、疗养院和县医院的支出。</w:t>
      </w: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sz w:val="30"/>
          <w:szCs w:val="30"/>
        </w:rPr>
        <w:t xml:space="preserve">13. </w:t>
      </w:r>
      <w:r>
        <w:rPr>
          <w:rFonts w:hint="default" w:ascii="Times New Roman" w:hAnsi="Times New Roman" w:eastAsia="宋体" w:cs="Times New Roman"/>
          <w:color w:val="auto"/>
          <w:sz w:val="30"/>
          <w:szCs w:val="30"/>
        </w:rPr>
        <w:t>卫生健康（类）公共卫生（款）基本公共卫生服务（项）:指基本公共卫生服务支出。</w:t>
      </w: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sz w:val="30"/>
          <w:szCs w:val="30"/>
        </w:rPr>
        <w:t xml:space="preserve">14. </w:t>
      </w:r>
      <w:r>
        <w:rPr>
          <w:rFonts w:hint="default" w:ascii="Times New Roman" w:hAnsi="Times New Roman" w:eastAsia="宋体" w:cs="Times New Roman"/>
          <w:color w:val="auto"/>
          <w:sz w:val="30"/>
          <w:szCs w:val="30"/>
        </w:rPr>
        <w:t>卫生健康（类）公共卫生（款）重大公共卫生服务（项）:指重大疾病预防控制等重大公共卫生服务项目支出。</w:t>
      </w:r>
    </w:p>
    <w:p>
      <w:pPr>
        <w:pStyle w:val="17"/>
        <w:spacing w:line="560" w:lineRule="exact"/>
        <w:ind w:firstLine="600" w:firstLineChars="200"/>
        <w:rPr>
          <w:rFonts w:hint="default" w:ascii="Times New Roman" w:hAnsi="Times New Roman" w:eastAsia="宋体" w:cs="Times New Roman"/>
          <w:color w:val="FF0000"/>
          <w:sz w:val="30"/>
          <w:szCs w:val="30"/>
        </w:rPr>
      </w:pPr>
      <w:r>
        <w:rPr>
          <w:rFonts w:hint="default" w:ascii="Times New Roman" w:hAnsi="Times New Roman" w:eastAsia="宋体" w:cs="Times New Roman"/>
          <w:sz w:val="30"/>
          <w:szCs w:val="30"/>
        </w:rPr>
        <w:t xml:space="preserve">15. </w:t>
      </w:r>
      <w:r>
        <w:rPr>
          <w:rFonts w:hint="default" w:ascii="Times New Roman" w:hAnsi="Times New Roman" w:eastAsia="宋体" w:cs="Times New Roman"/>
          <w:color w:val="auto"/>
          <w:sz w:val="30"/>
          <w:szCs w:val="30"/>
        </w:rPr>
        <w:t>卫生健康（类）其他卫生健康支出（款）其他卫生健康支出（项）:指其他用于卫生健康方面的支出。</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16. 基本支出：指为保障机构正常运转、完成日常工作任务而发生的人员支出和公用支出。</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 xml:space="preserve">17. 项目支出：指在基本支出之外为完成特定行政任务和事业发展目标所发生的支出。 </w:t>
      </w: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sz w:val="30"/>
          <w:szCs w:val="30"/>
        </w:rPr>
        <w:t xml:space="preserve">18. </w:t>
      </w:r>
      <w:r>
        <w:rPr>
          <w:rFonts w:hint="default" w:ascii="Times New Roman" w:hAnsi="Times New Roman" w:eastAsia="宋体" w:cs="Times New Roman"/>
          <w:color w:val="auto"/>
          <w:sz w:val="30"/>
          <w:szCs w:val="30"/>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spacing w:line="560"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sz w:val="30"/>
          <w:szCs w:val="30"/>
        </w:rPr>
        <w:t xml:space="preserve">19. </w:t>
      </w:r>
      <w:r>
        <w:rPr>
          <w:rFonts w:hint="default" w:ascii="Times New Roman" w:hAnsi="Times New Roman" w:eastAsia="宋体" w:cs="Times New Roman"/>
          <w:color w:val="auto"/>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7"/>
        <w:spacing w:line="560" w:lineRule="exact"/>
        <w:ind w:firstLine="600" w:firstLineChars="200"/>
        <w:rPr>
          <w:rFonts w:hint="default" w:ascii="Times New Roman" w:hAnsi="Times New Roman" w:eastAsia="宋体" w:cs="Times New Roman"/>
          <w:color w:val="auto"/>
          <w:sz w:val="30"/>
          <w:szCs w:val="30"/>
        </w:rPr>
      </w:pPr>
    </w:p>
    <w:p>
      <w:pPr>
        <w:spacing w:line="600" w:lineRule="exact"/>
        <w:jc w:val="center"/>
        <w:outlineLvl w:val="0"/>
        <w:rPr>
          <w:rFonts w:hint="default" w:ascii="Times New Roman" w:hAnsi="Times New Roman" w:eastAsia="仿宋_GB2312" w:cs="Times New Roman"/>
          <w:sz w:val="32"/>
          <w:szCs w:val="32"/>
        </w:rPr>
      </w:pPr>
      <w:bookmarkStart w:id="68" w:name="_Toc15377226"/>
      <w:r>
        <w:rPr>
          <w:rFonts w:hint="default" w:ascii="Times New Roman" w:hAnsi="Times New Roman" w:cs="Times New Roman"/>
          <w:b/>
          <w:sz w:val="44"/>
          <w:szCs w:val="44"/>
        </w:rPr>
        <w:br w:type="page"/>
      </w:r>
      <w:bookmarkStart w:id="69" w:name="_Toc15396614"/>
      <w:bookmarkStart w:id="70" w:name="_Toc24673"/>
      <w:r>
        <w:rPr>
          <w:rFonts w:hint="default" w:ascii="Times New Roman" w:hAnsi="Times New Roman" w:eastAsia="黑体" w:cs="Times New Roman"/>
          <w:sz w:val="44"/>
          <w:szCs w:val="44"/>
        </w:rPr>
        <w:t>第</w:t>
      </w:r>
      <w:r>
        <w:rPr>
          <w:rStyle w:val="14"/>
          <w:rFonts w:hint="default" w:ascii="Times New Roman" w:hAnsi="Times New Roman" w:eastAsia="黑体" w:cs="Times New Roman"/>
          <w:b w:val="0"/>
        </w:rPr>
        <w:t>四部分 附件</w:t>
      </w:r>
      <w:bookmarkEnd w:id="69"/>
      <w:bookmarkEnd w:id="70"/>
    </w:p>
    <w:p>
      <w:pPr>
        <w:spacing w:line="600" w:lineRule="exact"/>
        <w:jc w:val="center"/>
        <w:outlineLvl w:val="0"/>
        <w:rPr>
          <w:rFonts w:hint="default" w:ascii="Times New Roman" w:hAnsi="Times New Roman" w:cs="Times New Roman"/>
          <w:kern w:val="0"/>
          <w:sz w:val="30"/>
          <w:szCs w:val="30"/>
        </w:rPr>
      </w:pPr>
      <w:bookmarkStart w:id="71" w:name="_Toc15396618"/>
    </w:p>
    <w:p>
      <w:pPr>
        <w:spacing w:line="600" w:lineRule="exact"/>
        <w:jc w:val="center"/>
        <w:outlineLvl w:val="0"/>
        <w:rPr>
          <w:rFonts w:hint="default" w:ascii="Times New Roman" w:hAnsi="Times New Roman" w:cs="Times New Roman"/>
          <w:kern w:val="0"/>
          <w:sz w:val="30"/>
          <w:szCs w:val="30"/>
        </w:rPr>
      </w:pPr>
      <w:bookmarkStart w:id="72" w:name="_Toc26226"/>
      <w:r>
        <w:rPr>
          <w:rFonts w:hint="default" w:ascii="Times New Roman" w:hAnsi="Times New Roman" w:cs="Times New Roman"/>
          <w:kern w:val="0"/>
          <w:sz w:val="30"/>
          <w:szCs w:val="30"/>
        </w:rPr>
        <w:t>部门预算项目支出绩效自评表（2022年度）此表见附件</w:t>
      </w:r>
      <w:bookmarkEnd w:id="72"/>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spacing w:line="600" w:lineRule="exact"/>
        <w:jc w:val="both"/>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仿宋" w:cs="Times New Roman"/>
          <w:b w:val="0"/>
          <w:sz w:val="30"/>
          <w:szCs w:val="30"/>
        </w:rPr>
      </w:pPr>
      <w:bookmarkStart w:id="73" w:name="_Toc29457"/>
      <w:r>
        <w:rPr>
          <w:rFonts w:hint="default" w:ascii="Times New Roman" w:hAnsi="Times New Roman" w:eastAsia="黑体" w:cs="Times New Roman"/>
          <w:sz w:val="44"/>
          <w:szCs w:val="44"/>
        </w:rPr>
        <w:t>第</w:t>
      </w:r>
      <w:r>
        <w:rPr>
          <w:rStyle w:val="14"/>
          <w:rFonts w:hint="default" w:ascii="Times New Roman" w:hAnsi="Times New Roman" w:eastAsia="黑体" w:cs="Times New Roman"/>
          <w:b w:val="0"/>
        </w:rPr>
        <w:t>五部分 附表</w:t>
      </w:r>
      <w:bookmarkEnd w:id="68"/>
      <w:bookmarkEnd w:id="71"/>
      <w:bookmarkEnd w:id="73"/>
      <w:bookmarkStart w:id="74" w:name="_Toc15396619"/>
    </w:p>
    <w:p>
      <w:pPr>
        <w:pStyle w:val="4"/>
        <w:keepNext/>
        <w:keepLines/>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sz w:val="30"/>
          <w:szCs w:val="30"/>
        </w:rPr>
      </w:pPr>
      <w:bookmarkStart w:id="75" w:name="_Toc25200"/>
      <w:r>
        <w:rPr>
          <w:rFonts w:hint="default" w:ascii="Times New Roman" w:hAnsi="Times New Roman" w:eastAsia="仿宋" w:cs="Times New Roman"/>
          <w:b w:val="0"/>
          <w:sz w:val="30"/>
          <w:szCs w:val="30"/>
        </w:rPr>
        <w:t>一、收</w:t>
      </w:r>
      <w:r>
        <w:rPr>
          <w:rStyle w:val="15"/>
          <w:rFonts w:hint="default" w:ascii="Times New Roman" w:hAnsi="Times New Roman" w:eastAsia="仿宋" w:cs="Times New Roman"/>
          <w:b w:val="0"/>
          <w:bCs w:val="0"/>
          <w:sz w:val="30"/>
          <w:szCs w:val="30"/>
        </w:rPr>
        <w:t>入支出决算总表</w:t>
      </w:r>
      <w:bookmarkEnd w:id="74"/>
      <w:bookmarkEnd w:id="75"/>
    </w:p>
    <w:p>
      <w:pPr>
        <w:pStyle w:val="4"/>
        <w:keepNext/>
        <w:keepLines/>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sz w:val="30"/>
          <w:szCs w:val="30"/>
        </w:rPr>
      </w:pPr>
      <w:bookmarkStart w:id="76" w:name="_Toc16267"/>
      <w:bookmarkStart w:id="77" w:name="_Toc15396620"/>
      <w:r>
        <w:rPr>
          <w:rFonts w:hint="default" w:ascii="Times New Roman" w:hAnsi="Times New Roman" w:eastAsia="仿宋" w:cs="Times New Roman"/>
          <w:b w:val="0"/>
          <w:sz w:val="30"/>
          <w:szCs w:val="30"/>
        </w:rPr>
        <w:t>二、收</w:t>
      </w:r>
      <w:r>
        <w:rPr>
          <w:rStyle w:val="15"/>
          <w:rFonts w:hint="default" w:ascii="Times New Roman" w:hAnsi="Times New Roman" w:eastAsia="仿宋" w:cs="Times New Roman"/>
          <w:b w:val="0"/>
          <w:bCs w:val="0"/>
          <w:sz w:val="30"/>
          <w:szCs w:val="30"/>
        </w:rPr>
        <w:t>入决算表</w:t>
      </w:r>
      <w:bookmarkEnd w:id="76"/>
      <w:bookmarkEnd w:id="77"/>
    </w:p>
    <w:p>
      <w:pPr>
        <w:pStyle w:val="4"/>
        <w:keepNext/>
        <w:keepLines/>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sz w:val="30"/>
          <w:szCs w:val="30"/>
        </w:rPr>
      </w:pPr>
      <w:bookmarkStart w:id="78" w:name="_Toc9672"/>
      <w:bookmarkStart w:id="79" w:name="_Toc15396621"/>
      <w:r>
        <w:rPr>
          <w:rStyle w:val="15"/>
          <w:rFonts w:hint="default" w:ascii="Times New Roman" w:hAnsi="Times New Roman" w:eastAsia="仿宋" w:cs="Times New Roman"/>
          <w:b w:val="0"/>
          <w:bCs w:val="0"/>
          <w:sz w:val="30"/>
          <w:szCs w:val="30"/>
        </w:rPr>
        <w:t>三、</w:t>
      </w:r>
      <w:r>
        <w:rPr>
          <w:rFonts w:hint="default" w:ascii="Times New Roman" w:hAnsi="Times New Roman" w:eastAsia="仿宋" w:cs="Times New Roman"/>
          <w:b w:val="0"/>
          <w:sz w:val="30"/>
          <w:szCs w:val="30"/>
        </w:rPr>
        <w:t>支</w:t>
      </w:r>
      <w:r>
        <w:rPr>
          <w:rStyle w:val="15"/>
          <w:rFonts w:hint="default" w:ascii="Times New Roman" w:hAnsi="Times New Roman" w:eastAsia="仿宋" w:cs="Times New Roman"/>
          <w:b w:val="0"/>
          <w:bCs w:val="0"/>
          <w:sz w:val="30"/>
          <w:szCs w:val="30"/>
        </w:rPr>
        <w:t>出决算表</w:t>
      </w:r>
      <w:bookmarkEnd w:id="78"/>
      <w:bookmarkEnd w:id="79"/>
    </w:p>
    <w:p>
      <w:pPr>
        <w:pStyle w:val="4"/>
        <w:keepNext/>
        <w:keepLines/>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b w:val="0"/>
          <w:sz w:val="30"/>
          <w:szCs w:val="30"/>
        </w:rPr>
      </w:pPr>
      <w:bookmarkStart w:id="80" w:name="_Toc15396622"/>
      <w:bookmarkStart w:id="81" w:name="_Toc15575"/>
      <w:r>
        <w:rPr>
          <w:rStyle w:val="15"/>
          <w:rFonts w:hint="default" w:ascii="Times New Roman" w:hAnsi="Times New Roman" w:eastAsia="仿宋" w:cs="Times New Roman"/>
          <w:b w:val="0"/>
          <w:bCs w:val="0"/>
          <w:sz w:val="30"/>
          <w:szCs w:val="30"/>
        </w:rPr>
        <w:t>四、</w:t>
      </w:r>
      <w:r>
        <w:rPr>
          <w:rFonts w:hint="default" w:ascii="Times New Roman" w:hAnsi="Times New Roman" w:eastAsia="仿宋" w:cs="Times New Roman"/>
          <w:b w:val="0"/>
          <w:sz w:val="30"/>
          <w:szCs w:val="30"/>
        </w:rPr>
        <w:t>财</w:t>
      </w:r>
      <w:r>
        <w:rPr>
          <w:rStyle w:val="15"/>
          <w:rFonts w:hint="default" w:ascii="Times New Roman" w:hAnsi="Times New Roman" w:eastAsia="仿宋" w:cs="Times New Roman"/>
          <w:b w:val="0"/>
          <w:bCs w:val="0"/>
          <w:sz w:val="30"/>
          <w:szCs w:val="30"/>
        </w:rPr>
        <w:t>政拨款收入支出决算总表</w:t>
      </w:r>
      <w:bookmarkEnd w:id="80"/>
      <w:bookmarkEnd w:id="81"/>
    </w:p>
    <w:p>
      <w:pPr>
        <w:pStyle w:val="4"/>
        <w:keepNext/>
        <w:keepLines/>
        <w:pageBreakBefore w:val="0"/>
        <w:widowControl w:val="0"/>
        <w:kinsoku/>
        <w:wordWrap/>
        <w:overflowPunct/>
        <w:topLinePunct w:val="0"/>
        <w:autoSpaceDE/>
        <w:autoSpaceDN/>
        <w:bidi w:val="0"/>
        <w:adjustRightInd/>
        <w:snapToGrid/>
        <w:spacing w:line="600" w:lineRule="exact"/>
        <w:ind w:firstLine="600" w:firstLineChars="200"/>
        <w:textAlignment w:val="auto"/>
        <w:rPr>
          <w:rStyle w:val="15"/>
          <w:rFonts w:hint="default" w:ascii="Times New Roman" w:hAnsi="Times New Roman" w:eastAsia="仿宋" w:cs="Times New Roman"/>
          <w:b w:val="0"/>
          <w:bCs w:val="0"/>
          <w:sz w:val="30"/>
          <w:szCs w:val="30"/>
        </w:rPr>
      </w:pPr>
      <w:bookmarkStart w:id="82" w:name="_Toc15396623"/>
      <w:bookmarkStart w:id="83" w:name="_Toc4870"/>
      <w:r>
        <w:rPr>
          <w:rStyle w:val="15"/>
          <w:rFonts w:hint="default" w:ascii="Times New Roman" w:hAnsi="Times New Roman" w:eastAsia="仿宋" w:cs="Times New Roman"/>
          <w:b w:val="0"/>
          <w:bCs w:val="0"/>
          <w:sz w:val="30"/>
          <w:szCs w:val="30"/>
        </w:rPr>
        <w:t>五、</w:t>
      </w:r>
      <w:r>
        <w:rPr>
          <w:rFonts w:hint="default" w:ascii="Times New Roman" w:hAnsi="Times New Roman" w:eastAsia="仿宋" w:cs="Times New Roman"/>
          <w:b w:val="0"/>
          <w:sz w:val="30"/>
          <w:szCs w:val="30"/>
        </w:rPr>
        <w:t>财</w:t>
      </w:r>
      <w:r>
        <w:rPr>
          <w:rStyle w:val="15"/>
          <w:rFonts w:hint="default" w:ascii="Times New Roman" w:hAnsi="Times New Roman" w:eastAsia="仿宋" w:cs="Times New Roman"/>
          <w:b w:val="0"/>
          <w:bCs w:val="0"/>
          <w:sz w:val="30"/>
          <w:szCs w:val="30"/>
        </w:rPr>
        <w:t>政拨款支出决算明细表</w:t>
      </w:r>
      <w:bookmarkEnd w:id="82"/>
      <w:bookmarkEnd w:id="83"/>
      <w:bookmarkStart w:id="84" w:name="_Toc15396624"/>
    </w:p>
    <w:p>
      <w:pPr>
        <w:pStyle w:val="4"/>
        <w:keepNext/>
        <w:keepLines/>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sz w:val="30"/>
          <w:szCs w:val="30"/>
        </w:rPr>
      </w:pPr>
      <w:bookmarkStart w:id="85" w:name="_Toc5204"/>
      <w:r>
        <w:rPr>
          <w:rStyle w:val="15"/>
          <w:rFonts w:hint="default" w:ascii="Times New Roman" w:hAnsi="Times New Roman" w:eastAsia="仿宋" w:cs="Times New Roman"/>
          <w:b w:val="0"/>
          <w:bCs w:val="0"/>
          <w:sz w:val="30"/>
          <w:szCs w:val="30"/>
        </w:rPr>
        <w:t>六、</w:t>
      </w:r>
      <w:r>
        <w:rPr>
          <w:rFonts w:hint="default" w:ascii="Times New Roman" w:hAnsi="Times New Roman" w:eastAsia="仿宋" w:cs="Times New Roman"/>
          <w:b w:val="0"/>
          <w:sz w:val="30"/>
          <w:szCs w:val="30"/>
        </w:rPr>
        <w:t>一</w:t>
      </w:r>
      <w:r>
        <w:rPr>
          <w:rStyle w:val="15"/>
          <w:rFonts w:hint="default" w:ascii="Times New Roman" w:hAnsi="Times New Roman" w:eastAsia="仿宋" w:cs="Times New Roman"/>
          <w:b w:val="0"/>
          <w:bCs w:val="0"/>
          <w:sz w:val="30"/>
          <w:szCs w:val="30"/>
        </w:rPr>
        <w:t>般公共预算财政拨款支出决算表</w:t>
      </w:r>
      <w:bookmarkEnd w:id="84"/>
      <w:bookmarkEnd w:id="85"/>
    </w:p>
    <w:p>
      <w:pPr>
        <w:pStyle w:val="4"/>
        <w:keepNext/>
        <w:keepLines/>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sz w:val="30"/>
          <w:szCs w:val="30"/>
        </w:rPr>
      </w:pPr>
      <w:bookmarkStart w:id="86" w:name="_Toc17165"/>
      <w:bookmarkStart w:id="87" w:name="_Toc15396625"/>
      <w:r>
        <w:rPr>
          <w:rStyle w:val="15"/>
          <w:rFonts w:hint="default" w:ascii="Times New Roman" w:hAnsi="Times New Roman" w:eastAsia="仿宋" w:cs="Times New Roman"/>
          <w:b w:val="0"/>
          <w:bCs w:val="0"/>
          <w:sz w:val="30"/>
          <w:szCs w:val="30"/>
        </w:rPr>
        <w:t>七、</w:t>
      </w:r>
      <w:r>
        <w:rPr>
          <w:rFonts w:hint="default" w:ascii="Times New Roman" w:hAnsi="Times New Roman" w:eastAsia="仿宋" w:cs="Times New Roman"/>
          <w:b w:val="0"/>
          <w:sz w:val="30"/>
          <w:szCs w:val="30"/>
        </w:rPr>
        <w:t>一</w:t>
      </w:r>
      <w:r>
        <w:rPr>
          <w:rStyle w:val="15"/>
          <w:rFonts w:hint="default" w:ascii="Times New Roman" w:hAnsi="Times New Roman" w:eastAsia="仿宋" w:cs="Times New Roman"/>
          <w:b w:val="0"/>
          <w:bCs w:val="0"/>
          <w:sz w:val="30"/>
          <w:szCs w:val="30"/>
        </w:rPr>
        <w:t>般公共预算财政拨款支出决算明细表</w:t>
      </w:r>
      <w:bookmarkEnd w:id="86"/>
      <w:bookmarkEnd w:id="87"/>
    </w:p>
    <w:p>
      <w:pPr>
        <w:pStyle w:val="4"/>
        <w:keepNext/>
        <w:keepLines/>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sz w:val="30"/>
          <w:szCs w:val="30"/>
        </w:rPr>
      </w:pPr>
      <w:bookmarkStart w:id="88" w:name="_Toc15396626"/>
      <w:bookmarkStart w:id="89" w:name="_Toc9321"/>
      <w:r>
        <w:rPr>
          <w:rStyle w:val="15"/>
          <w:rFonts w:hint="default" w:ascii="Times New Roman" w:hAnsi="Times New Roman" w:eastAsia="仿宋" w:cs="Times New Roman"/>
          <w:b w:val="0"/>
          <w:bCs w:val="0"/>
          <w:sz w:val="30"/>
          <w:szCs w:val="30"/>
        </w:rPr>
        <w:t>八、</w:t>
      </w:r>
      <w:r>
        <w:rPr>
          <w:rFonts w:hint="default" w:ascii="Times New Roman" w:hAnsi="Times New Roman" w:eastAsia="仿宋" w:cs="Times New Roman"/>
          <w:b w:val="0"/>
          <w:sz w:val="30"/>
          <w:szCs w:val="30"/>
        </w:rPr>
        <w:t>一</w:t>
      </w:r>
      <w:r>
        <w:rPr>
          <w:rStyle w:val="15"/>
          <w:rFonts w:hint="default" w:ascii="Times New Roman" w:hAnsi="Times New Roman" w:eastAsia="仿宋" w:cs="Times New Roman"/>
          <w:b w:val="0"/>
          <w:bCs w:val="0"/>
          <w:sz w:val="30"/>
          <w:szCs w:val="30"/>
        </w:rPr>
        <w:t>般公共预算财政拨款基本支出决算表</w:t>
      </w:r>
      <w:bookmarkEnd w:id="88"/>
      <w:bookmarkEnd w:id="89"/>
    </w:p>
    <w:p>
      <w:pPr>
        <w:pStyle w:val="4"/>
        <w:keepNext/>
        <w:keepLines/>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sz w:val="30"/>
          <w:szCs w:val="30"/>
        </w:rPr>
      </w:pPr>
      <w:bookmarkStart w:id="90" w:name="_Toc26478"/>
      <w:bookmarkStart w:id="91" w:name="_Toc15396627"/>
      <w:r>
        <w:rPr>
          <w:rStyle w:val="15"/>
          <w:rFonts w:hint="default" w:ascii="Times New Roman" w:hAnsi="Times New Roman" w:eastAsia="仿宋" w:cs="Times New Roman"/>
          <w:b w:val="0"/>
          <w:bCs w:val="0"/>
          <w:sz w:val="30"/>
          <w:szCs w:val="30"/>
        </w:rPr>
        <w:t>九、</w:t>
      </w:r>
      <w:r>
        <w:rPr>
          <w:rFonts w:hint="default" w:ascii="Times New Roman" w:hAnsi="Times New Roman" w:eastAsia="仿宋" w:cs="Times New Roman"/>
          <w:b w:val="0"/>
          <w:sz w:val="30"/>
          <w:szCs w:val="30"/>
        </w:rPr>
        <w:t>一</w:t>
      </w:r>
      <w:r>
        <w:rPr>
          <w:rStyle w:val="15"/>
          <w:rFonts w:hint="default" w:ascii="Times New Roman" w:hAnsi="Times New Roman" w:eastAsia="仿宋" w:cs="Times New Roman"/>
          <w:b w:val="0"/>
          <w:bCs w:val="0"/>
          <w:sz w:val="30"/>
          <w:szCs w:val="30"/>
        </w:rPr>
        <w:t>般公共预算财政拨款项目支出决算表</w:t>
      </w:r>
      <w:bookmarkEnd w:id="90"/>
      <w:bookmarkEnd w:id="91"/>
    </w:p>
    <w:p>
      <w:pPr>
        <w:pStyle w:val="4"/>
        <w:keepNext/>
        <w:keepLines/>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sz w:val="30"/>
          <w:szCs w:val="30"/>
          <w:lang w:eastAsia="zh-CN"/>
        </w:rPr>
      </w:pPr>
      <w:bookmarkStart w:id="92" w:name="_Toc15396628"/>
      <w:bookmarkStart w:id="93" w:name="_Toc6664"/>
      <w:r>
        <w:rPr>
          <w:rStyle w:val="15"/>
          <w:rFonts w:hint="default" w:ascii="Times New Roman" w:hAnsi="Times New Roman" w:eastAsia="仿宋" w:cs="Times New Roman"/>
          <w:b w:val="0"/>
          <w:bCs w:val="0"/>
          <w:sz w:val="30"/>
          <w:szCs w:val="30"/>
        </w:rPr>
        <w:t>十、</w:t>
      </w:r>
      <w:bookmarkEnd w:id="92"/>
      <w:r>
        <w:rPr>
          <w:rFonts w:hint="default" w:ascii="Times New Roman" w:hAnsi="Times New Roman" w:eastAsia="仿宋" w:cs="Times New Roman"/>
          <w:b w:val="0"/>
          <w:sz w:val="30"/>
          <w:szCs w:val="30"/>
        </w:rPr>
        <w:t>政</w:t>
      </w:r>
      <w:r>
        <w:rPr>
          <w:rStyle w:val="15"/>
          <w:rFonts w:hint="default" w:ascii="Times New Roman" w:hAnsi="Times New Roman" w:eastAsia="仿宋" w:cs="Times New Roman"/>
          <w:b w:val="0"/>
          <w:bCs w:val="0"/>
          <w:sz w:val="30"/>
          <w:szCs w:val="30"/>
        </w:rPr>
        <w:t>府性基金预算财政拨款收入支出决算表</w:t>
      </w:r>
      <w:bookmarkEnd w:id="93"/>
      <w:r>
        <w:rPr>
          <w:rStyle w:val="15"/>
          <w:rFonts w:hint="eastAsia" w:ascii="Times New Roman" w:hAnsi="Times New Roman" w:eastAsia="仿宋" w:cs="Times New Roman"/>
          <w:b w:val="0"/>
          <w:bCs w:val="0"/>
          <w:sz w:val="30"/>
          <w:szCs w:val="30"/>
          <w:lang w:eastAsia="zh-CN"/>
        </w:rPr>
        <w:t>（此表无数据）</w:t>
      </w:r>
    </w:p>
    <w:p>
      <w:pPr>
        <w:pStyle w:val="4"/>
        <w:keepNext/>
        <w:keepLines/>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sz w:val="30"/>
          <w:szCs w:val="30"/>
        </w:rPr>
      </w:pPr>
      <w:bookmarkStart w:id="94" w:name="_Toc15396629"/>
      <w:bookmarkStart w:id="95" w:name="_Toc15467"/>
      <w:r>
        <w:rPr>
          <w:rStyle w:val="15"/>
          <w:rFonts w:hint="default" w:ascii="Times New Roman" w:hAnsi="Times New Roman" w:eastAsia="仿宋" w:cs="Times New Roman"/>
          <w:b w:val="0"/>
          <w:bCs w:val="0"/>
          <w:sz w:val="30"/>
          <w:szCs w:val="30"/>
        </w:rPr>
        <w:t>十一、</w:t>
      </w:r>
      <w:bookmarkEnd w:id="94"/>
      <w:r>
        <w:rPr>
          <w:rFonts w:hint="default" w:ascii="Times New Roman" w:hAnsi="Times New Roman" w:eastAsia="仿宋" w:cs="Times New Roman"/>
          <w:b w:val="0"/>
          <w:sz w:val="30"/>
          <w:szCs w:val="30"/>
        </w:rPr>
        <w:t>国</w:t>
      </w:r>
      <w:r>
        <w:rPr>
          <w:rStyle w:val="15"/>
          <w:rFonts w:hint="default" w:ascii="Times New Roman" w:hAnsi="Times New Roman" w:eastAsia="仿宋" w:cs="Times New Roman"/>
          <w:b w:val="0"/>
          <w:bCs w:val="0"/>
          <w:sz w:val="30"/>
          <w:szCs w:val="30"/>
        </w:rPr>
        <w:t>有资本经营预算财政拨款收入支出决算表</w:t>
      </w:r>
      <w:bookmarkEnd w:id="95"/>
      <w:r>
        <w:rPr>
          <w:rStyle w:val="15"/>
          <w:rFonts w:hint="eastAsia" w:ascii="Times New Roman" w:hAnsi="Times New Roman" w:eastAsia="仿宋" w:cs="Times New Roman"/>
          <w:b w:val="0"/>
          <w:bCs w:val="0"/>
          <w:sz w:val="30"/>
          <w:szCs w:val="30"/>
          <w:lang w:eastAsia="zh-CN"/>
        </w:rPr>
        <w:t>（此表无数据）</w:t>
      </w:r>
    </w:p>
    <w:p>
      <w:pPr>
        <w:pStyle w:val="4"/>
        <w:keepNext/>
        <w:keepLines/>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sz w:val="30"/>
          <w:szCs w:val="30"/>
        </w:rPr>
      </w:pPr>
      <w:bookmarkStart w:id="96" w:name="_Toc15396630"/>
      <w:bookmarkStart w:id="97" w:name="_Toc24345"/>
      <w:r>
        <w:rPr>
          <w:rStyle w:val="15"/>
          <w:rFonts w:hint="default" w:ascii="Times New Roman" w:hAnsi="Times New Roman" w:eastAsia="仿宋" w:cs="Times New Roman"/>
          <w:b w:val="0"/>
          <w:bCs w:val="0"/>
          <w:sz w:val="30"/>
          <w:szCs w:val="30"/>
        </w:rPr>
        <w:t>十二、</w:t>
      </w:r>
      <w:bookmarkEnd w:id="96"/>
      <w:r>
        <w:rPr>
          <w:rStyle w:val="15"/>
          <w:rFonts w:hint="default" w:ascii="Times New Roman" w:hAnsi="Times New Roman" w:eastAsia="仿宋" w:cs="Times New Roman"/>
          <w:b w:val="0"/>
          <w:bCs w:val="0"/>
          <w:sz w:val="30"/>
          <w:szCs w:val="30"/>
        </w:rPr>
        <w:t>国有资本经营预算财政拨款支出决算表</w:t>
      </w:r>
      <w:bookmarkEnd w:id="97"/>
      <w:r>
        <w:rPr>
          <w:rStyle w:val="15"/>
          <w:rFonts w:hint="eastAsia" w:ascii="Times New Roman" w:hAnsi="Times New Roman" w:eastAsia="仿宋" w:cs="Times New Roman"/>
          <w:b w:val="0"/>
          <w:bCs w:val="0"/>
          <w:sz w:val="30"/>
          <w:szCs w:val="30"/>
          <w:lang w:eastAsia="zh-CN"/>
        </w:rPr>
        <w:t>（此表无数据）</w:t>
      </w:r>
    </w:p>
    <w:p>
      <w:pPr>
        <w:pStyle w:val="4"/>
        <w:keepNext/>
        <w:keepLines/>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sz w:val="30"/>
          <w:szCs w:val="30"/>
        </w:rPr>
      </w:pPr>
      <w:bookmarkStart w:id="98" w:name="_Toc15396631"/>
      <w:bookmarkStart w:id="99" w:name="_Toc28734"/>
      <w:r>
        <w:rPr>
          <w:rStyle w:val="15"/>
          <w:rFonts w:hint="default" w:ascii="Times New Roman" w:hAnsi="Times New Roman" w:eastAsia="仿宋" w:cs="Times New Roman"/>
          <w:b w:val="0"/>
          <w:bCs w:val="0"/>
          <w:sz w:val="30"/>
          <w:szCs w:val="30"/>
        </w:rPr>
        <w:t>十三、</w:t>
      </w:r>
      <w:bookmarkEnd w:id="98"/>
      <w:r>
        <w:rPr>
          <w:rStyle w:val="15"/>
          <w:rFonts w:hint="default" w:ascii="Times New Roman" w:hAnsi="Times New Roman" w:eastAsia="仿宋" w:cs="Times New Roman"/>
          <w:b w:val="0"/>
          <w:bCs w:val="0"/>
          <w:sz w:val="30"/>
          <w:szCs w:val="30"/>
        </w:rPr>
        <w:t>财政拨款“三公”经费支出决算表</w:t>
      </w:r>
      <w:bookmarkEnd w:id="99"/>
      <w:r>
        <w:rPr>
          <w:rStyle w:val="15"/>
          <w:rFonts w:hint="eastAsia" w:ascii="Times New Roman" w:hAnsi="Times New Roman" w:eastAsia="仿宋" w:cs="Times New Roman"/>
          <w:b w:val="0"/>
          <w:bCs w:val="0"/>
          <w:sz w:val="30"/>
          <w:szCs w:val="30"/>
          <w:lang w:eastAsia="zh-CN"/>
        </w:rPr>
        <w:t>（此表无数据）</w:t>
      </w:r>
    </w:p>
    <w:p>
      <w:pPr>
        <w:pStyle w:val="2"/>
        <w:spacing w:before="93"/>
        <w:rPr>
          <w:rFonts w:hint="default" w:ascii="Times New Roman" w:hAnsi="Times New Roman" w:eastAsia="仿宋" w:cs="Times New Roman"/>
          <w:b/>
          <w:sz w:val="30"/>
          <w:szCs w:val="30"/>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NWY0YjJlZjlhZTkyNzg4ZmQ2MzczNTY0MTNlODgifQ=="/>
  </w:docVars>
  <w:rsids>
    <w:rsidRoot w:val="00B6384F"/>
    <w:rsid w:val="00012465"/>
    <w:rsid w:val="000566D4"/>
    <w:rsid w:val="00060E5B"/>
    <w:rsid w:val="000876C2"/>
    <w:rsid w:val="000D71EE"/>
    <w:rsid w:val="0014051E"/>
    <w:rsid w:val="00181C60"/>
    <w:rsid w:val="001C0141"/>
    <w:rsid w:val="001D5E3C"/>
    <w:rsid w:val="001E52E4"/>
    <w:rsid w:val="0023664F"/>
    <w:rsid w:val="00250D9A"/>
    <w:rsid w:val="002551E3"/>
    <w:rsid w:val="00263988"/>
    <w:rsid w:val="002B7F87"/>
    <w:rsid w:val="002E4E03"/>
    <w:rsid w:val="00301E44"/>
    <w:rsid w:val="00391B23"/>
    <w:rsid w:val="00396FC8"/>
    <w:rsid w:val="003B1A39"/>
    <w:rsid w:val="00432262"/>
    <w:rsid w:val="00510FA6"/>
    <w:rsid w:val="00665E36"/>
    <w:rsid w:val="00677E56"/>
    <w:rsid w:val="006C06D4"/>
    <w:rsid w:val="006E23A0"/>
    <w:rsid w:val="00721AE5"/>
    <w:rsid w:val="00735D3F"/>
    <w:rsid w:val="007502C5"/>
    <w:rsid w:val="007D4DDB"/>
    <w:rsid w:val="007F5D18"/>
    <w:rsid w:val="00890926"/>
    <w:rsid w:val="008B1032"/>
    <w:rsid w:val="009229A0"/>
    <w:rsid w:val="009535FC"/>
    <w:rsid w:val="0097692F"/>
    <w:rsid w:val="009C0633"/>
    <w:rsid w:val="00A325D0"/>
    <w:rsid w:val="00A85A25"/>
    <w:rsid w:val="00AA1741"/>
    <w:rsid w:val="00AB3940"/>
    <w:rsid w:val="00B056D1"/>
    <w:rsid w:val="00B6384F"/>
    <w:rsid w:val="00B728B5"/>
    <w:rsid w:val="00B954AE"/>
    <w:rsid w:val="00BD7FEB"/>
    <w:rsid w:val="00BE691D"/>
    <w:rsid w:val="00BF0553"/>
    <w:rsid w:val="00D253ED"/>
    <w:rsid w:val="00DF240E"/>
    <w:rsid w:val="00EA0C65"/>
    <w:rsid w:val="00EA7200"/>
    <w:rsid w:val="00F762B5"/>
    <w:rsid w:val="02C02644"/>
    <w:rsid w:val="042D004D"/>
    <w:rsid w:val="060B1AD4"/>
    <w:rsid w:val="073318BB"/>
    <w:rsid w:val="189C1262"/>
    <w:rsid w:val="19F82F8E"/>
    <w:rsid w:val="239F3FEB"/>
    <w:rsid w:val="29CE3CF8"/>
    <w:rsid w:val="2E584C19"/>
    <w:rsid w:val="33537949"/>
    <w:rsid w:val="3CEB72F9"/>
    <w:rsid w:val="43765BAC"/>
    <w:rsid w:val="4BEC58D1"/>
    <w:rsid w:val="4EA75CD0"/>
    <w:rsid w:val="52875DFF"/>
    <w:rsid w:val="5743135C"/>
    <w:rsid w:val="5E7734AA"/>
    <w:rsid w:val="641C3432"/>
    <w:rsid w:val="6AFD46F9"/>
    <w:rsid w:val="6D14632C"/>
    <w:rsid w:val="6DAC54BC"/>
    <w:rsid w:val="762C5D98"/>
    <w:rsid w:val="7A0E054E"/>
    <w:rsid w:val="7E8F5EB1"/>
    <w:rsid w:val="DDAD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customStyle="1" w:styleId="14">
    <w:name w:val="标题 1 Char"/>
    <w:basedOn w:val="12"/>
    <w:link w:val="3"/>
    <w:qFormat/>
    <w:uiPriority w:val="9"/>
    <w:rPr>
      <w:b/>
      <w:bCs/>
      <w:kern w:val="44"/>
      <w:sz w:val="44"/>
      <w:szCs w:val="44"/>
    </w:rPr>
  </w:style>
  <w:style w:type="character" w:customStyle="1" w:styleId="15">
    <w:name w:val="标题 2 Char"/>
    <w:basedOn w:val="12"/>
    <w:link w:val="4"/>
    <w:qFormat/>
    <w:uiPriority w:val="9"/>
    <w:rPr>
      <w:rFonts w:asciiTheme="majorHAnsi" w:hAnsiTheme="majorHAnsi" w:eastAsiaTheme="majorEastAsia" w:cstheme="majorBidi"/>
      <w:b/>
      <w:bCs/>
      <w:sz w:val="32"/>
      <w:szCs w:val="32"/>
    </w:rPr>
  </w:style>
  <w:style w:type="paragraph"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AppData\Local\Temp\wps.dFaXND\Chart2%20in%20Wps.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'[Chart2 in Wps.xlsx]Sheet1'!$A$3</c:f>
              <c:strCache>
                <c:ptCount val="1"/>
                <c:pt idx="0">
                  <c:v>总收、支</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'[Chart2 in Wps.xlsx]Sheet1'!$B$2:$E$2</c:f>
              <c:strCache>
                <c:ptCount val="4"/>
                <c:pt idx="0">
                  <c:v>2021年</c:v>
                </c:pt>
                <c:pt idx="1">
                  <c:v>2022年</c:v>
                </c:pt>
                <c:pt idx="2">
                  <c:v>差额</c:v>
                </c:pt>
                <c:pt idx="3">
                  <c:v>增长率</c:v>
                </c:pt>
              </c:strCache>
            </c:strRef>
          </c:cat>
          <c:val>
            <c:numRef>
              <c:f>'[Chart2 in Wps.xlsx]Sheet1'!$B$3:$E$3</c:f>
              <c:numCache>
                <c:formatCode>General</c:formatCode>
                <c:ptCount val="4"/>
                <c:pt idx="0">
                  <c:v>22719.12</c:v>
                </c:pt>
                <c:pt idx="1">
                  <c:v>23823.64</c:v>
                </c:pt>
                <c:pt idx="2">
                  <c:v>1104.52</c:v>
                </c:pt>
                <c:pt idx="3" c:formatCode="0.00%">
                  <c:v>0.048</c:v>
                </c:pt>
              </c:numCache>
            </c:numRef>
          </c:val>
        </c:ser>
        <c:dLbls>
          <c:showLegendKey val="false"/>
          <c:showVal val="true"/>
          <c:showCatName val="false"/>
          <c:showSerName val="false"/>
          <c:showPercent val="false"/>
          <c:showBubbleSize val="false"/>
        </c:dLbls>
        <c:gapWidth val="219"/>
        <c:overlap val="-27"/>
        <c:axId val="469768096"/>
        <c:axId val="469768640"/>
      </c:barChart>
      <c:catAx>
        <c:axId val="469768096"/>
        <c:scaling>
          <c:orientation val="minMax"/>
        </c:scaling>
        <c:delete val="false"/>
        <c:axPos val="b"/>
        <c:title>
          <c:layout/>
          <c:overlay val="false"/>
          <c:spPr>
            <a:noFill/>
            <a:ln>
              <a:noFill/>
            </a:ln>
            <a:effectLst/>
          </c:spPr>
          <c:txPr>
            <a:bodyPr rot="0" spcFirstLastPara="1"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9768640"/>
        <c:crosses val="autoZero"/>
        <c:auto val="true"/>
        <c:lblAlgn val="ctr"/>
        <c:lblOffset val="100"/>
        <c:noMultiLvlLbl val="false"/>
      </c:catAx>
      <c:valAx>
        <c:axId val="469768640"/>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9768096"/>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年收入情况</a:t>
            </a:r>
            <a:endParaRPr lang="zh-CN" altLang="en-US"/>
          </a:p>
        </c:rich>
      </c:tx>
      <c:layout/>
      <c:overlay val="false"/>
      <c:spPr>
        <a:noFill/>
        <a:ln>
          <a:noFill/>
        </a:ln>
        <a:effectLst/>
      </c:spPr>
    </c:title>
    <c:autoTitleDeleted val="false"/>
    <c:plotArea>
      <c:layout/>
      <c:pieChart>
        <c:varyColors val="true"/>
        <c:ser>
          <c:idx val="0"/>
          <c:order val="0"/>
          <c:tx>
            <c:strRef>
              <c:f>Sheet1!$B$1</c:f>
              <c:strCache>
                <c:ptCount val="1"/>
                <c:pt idx="0">
                  <c:v>列1</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0"/>
              <c:layout>
                <c:manualLayout>
                  <c:x val="0.0503996880407489"/>
                  <c:y val="0.013041429117418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403631387905685"/>
                  <c:y val="0.02416399416787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事业收入</c:v>
                </c:pt>
                <c:pt idx="2">
                  <c:v>其他收入</c:v>
                </c:pt>
              </c:strCache>
            </c:strRef>
          </c:cat>
          <c:val>
            <c:numRef>
              <c:f>Sheet1!$B$2:$B$5</c:f>
              <c:numCache>
                <c:formatCode>0.00%</c:formatCode>
                <c:ptCount val="4"/>
                <c:pt idx="0">
                  <c:v>0.1022</c:v>
                </c:pt>
                <c:pt idx="1" c:formatCode="0%">
                  <c:v>0.88</c:v>
                </c:pt>
                <c:pt idx="2">
                  <c:v>0.0177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年支出情况</a:t>
            </a:r>
            <a:endParaRPr lang="zh-CN" altLang="en-US"/>
          </a:p>
        </c:rich>
      </c:tx>
      <c:layout/>
      <c:overlay val="false"/>
      <c:spPr>
        <a:noFill/>
        <a:ln>
          <a:noFill/>
        </a:ln>
        <a:effectLst/>
      </c:spPr>
    </c:title>
    <c:autoTitleDeleted val="false"/>
    <c:plotArea>
      <c:layout/>
      <c:pieChart>
        <c:varyColors val="true"/>
        <c:ser>
          <c:idx val="0"/>
          <c:order val="0"/>
          <c:tx>
            <c:strRef>
              <c:f>Sheet1!$B$1</c:f>
              <c:strCache>
                <c:ptCount val="1"/>
                <c:pt idx="0">
                  <c:v>列1</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0.9746</c:v>
                </c:pt>
                <c:pt idx="1">
                  <c:v>0.0253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781254485431319"/>
          <c:y val="0.483604800685812"/>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财政拨款收、支情况</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1985.48</c:v>
                </c:pt>
              </c:numCache>
            </c:numRef>
          </c:val>
        </c:ser>
        <c:ser>
          <c:idx val="1"/>
          <c:order val="1"/>
          <c:tx>
            <c:strRef>
              <c:f>Sheet1!$C$1</c:f>
              <c:strCache>
                <c:ptCount val="1"/>
                <c:pt idx="0">
                  <c:v>2022年</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2559.73</c:v>
                </c:pt>
              </c:numCache>
            </c:numRef>
          </c:val>
        </c:ser>
        <c:ser>
          <c:idx val="2"/>
          <c:order val="2"/>
          <c:tx>
            <c:strRef>
              <c:f>Sheet1!$D$1</c:f>
              <c:strCache>
                <c:ptCount val="1"/>
                <c:pt idx="0">
                  <c:v>差额</c:v>
                </c:pt>
              </c:strCache>
            </c:strRef>
          </c:tx>
          <c:spPr>
            <a:solidFill>
              <a:schemeClr val="accent3"/>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574.25</c:v>
                </c:pt>
              </c:numCache>
            </c:numRef>
          </c:val>
        </c:ser>
        <c:ser>
          <c:idx val="3"/>
          <c:order val="3"/>
          <c:tx>
            <c:strRef>
              <c:f>Sheet1!$E$1</c:f>
              <c:strCache>
                <c:ptCount val="1"/>
                <c:pt idx="0">
                  <c:v>增长率</c:v>
                </c:pt>
              </c:strCache>
            </c:strRef>
          </c:tx>
          <c:spPr>
            <a:solidFill>
              <a:schemeClr val="accent4"/>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0.00%</c:formatCode>
                <c:ptCount val="1"/>
                <c:pt idx="0">
                  <c:v>0.2892</c:v>
                </c:pt>
              </c:numCache>
            </c:numRef>
          </c:val>
        </c:ser>
        <c:dLbls>
          <c:showLegendKey val="false"/>
          <c:showVal val="true"/>
          <c:showCatName val="false"/>
          <c:showSerName val="false"/>
          <c:showPercent val="false"/>
          <c:showBubbleSize val="false"/>
        </c:dLbls>
        <c:gapWidth val="219"/>
        <c:overlap val="-27"/>
        <c:axId val="469769184"/>
        <c:axId val="469771904"/>
      </c:barChart>
      <c:catAx>
        <c:axId val="469769184"/>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9771904"/>
        <c:crosses val="autoZero"/>
        <c:auto val="true"/>
        <c:lblAlgn val="ctr"/>
        <c:lblOffset val="100"/>
        <c:noMultiLvlLbl val="false"/>
      </c:catAx>
      <c:valAx>
        <c:axId val="46977190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9769184"/>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一般公共预算财政拨款支出情况</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1985.48</c:v>
                </c:pt>
              </c:numCache>
            </c:numRef>
          </c:val>
        </c:ser>
        <c:ser>
          <c:idx val="1"/>
          <c:order val="1"/>
          <c:tx>
            <c:strRef>
              <c:f>Sheet1!$C$1</c:f>
              <c:strCache>
                <c:ptCount val="1"/>
                <c:pt idx="0">
                  <c:v>2022年</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2559.73</c:v>
                </c:pt>
              </c:numCache>
            </c:numRef>
          </c:val>
        </c:ser>
        <c:ser>
          <c:idx val="2"/>
          <c:order val="2"/>
          <c:tx>
            <c:strRef>
              <c:f>Sheet1!$D$1</c:f>
              <c:strCache>
                <c:ptCount val="1"/>
                <c:pt idx="0">
                  <c:v>差额</c:v>
                </c:pt>
              </c:strCache>
            </c:strRef>
          </c:tx>
          <c:spPr>
            <a:solidFill>
              <a:schemeClr val="accent3"/>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574.25</c:v>
                </c:pt>
              </c:numCache>
            </c:numRef>
          </c:val>
        </c:ser>
        <c:ser>
          <c:idx val="3"/>
          <c:order val="3"/>
          <c:tx>
            <c:strRef>
              <c:f>Sheet1!$E$1</c:f>
              <c:strCache>
                <c:ptCount val="1"/>
                <c:pt idx="0">
                  <c:v>增长率</c:v>
                </c:pt>
              </c:strCache>
            </c:strRef>
          </c:tx>
          <c:spPr>
            <a:solidFill>
              <a:schemeClr val="accent4"/>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0.00%</c:formatCode>
                <c:ptCount val="1"/>
                <c:pt idx="0">
                  <c:v>0.2892</c:v>
                </c:pt>
              </c:numCache>
            </c:numRef>
          </c:val>
        </c:ser>
        <c:dLbls>
          <c:showLegendKey val="false"/>
          <c:showVal val="true"/>
          <c:showCatName val="false"/>
          <c:showSerName val="false"/>
          <c:showPercent val="false"/>
          <c:showBubbleSize val="false"/>
        </c:dLbls>
        <c:gapWidth val="219"/>
        <c:overlap val="-27"/>
        <c:axId val="469772992"/>
        <c:axId val="469776256"/>
      </c:barChart>
      <c:catAx>
        <c:axId val="46977299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9776256"/>
        <c:crosses val="autoZero"/>
        <c:auto val="true"/>
        <c:lblAlgn val="ctr"/>
        <c:lblOffset val="100"/>
        <c:noMultiLvlLbl val="false"/>
      </c:catAx>
      <c:valAx>
        <c:axId val="46977625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9772992"/>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a:t>
            </a:r>
            <a:endParaRPr lang="zh-CN" altLang="en-US"/>
          </a:p>
        </c:rich>
      </c:tx>
      <c:layout/>
      <c:overlay val="false"/>
      <c:spPr>
        <a:noFill/>
        <a:ln>
          <a:noFill/>
        </a:ln>
        <a:effectLst/>
      </c:spPr>
    </c:title>
    <c:autoTitleDeleted val="false"/>
    <c:plotArea>
      <c:layout/>
      <c:pieChart>
        <c:varyColors val="true"/>
        <c:ser>
          <c:idx val="0"/>
          <c:order val="0"/>
          <c:tx>
            <c:strRef>
              <c:f>Sheet1!$B$1</c:f>
              <c:strCache>
                <c:ptCount val="1"/>
                <c:pt idx="0">
                  <c:v>列1</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一般公共服务支出</c:v>
                </c:pt>
                <c:pt idx="1">
                  <c:v>社会保障和就业支出</c:v>
                </c:pt>
                <c:pt idx="2">
                  <c:v>卫生健康支出</c:v>
                </c:pt>
              </c:strCache>
            </c:strRef>
          </c:cat>
          <c:val>
            <c:numRef>
              <c:f>Sheet1!$B$2:$B$4</c:f>
              <c:numCache>
                <c:formatCode>0.00%</c:formatCode>
                <c:ptCount val="3"/>
                <c:pt idx="0">
                  <c:v>0.0019</c:v>
                </c:pt>
                <c:pt idx="1">
                  <c:v>0.6561</c:v>
                </c:pt>
                <c:pt idx="2">
                  <c:v>0.342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32218</Words>
  <Characters>14848</Characters>
  <Lines>123</Lines>
  <Paragraphs>93</Paragraphs>
  <TotalTime>1</TotalTime>
  <ScaleCrop>false</ScaleCrop>
  <LinksUpToDate>false</LinksUpToDate>
  <CharactersWithSpaces>46973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dcterms:modified xsi:type="dcterms:W3CDTF">2023-09-13T18:16:49Z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080569A8918F46AEAADEF629886322A0_12</vt:lpwstr>
  </property>
</Properties>
</file>