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77193"/>
      <w:bookmarkStart w:id="3" w:name="_Toc15378441"/>
      <w:bookmarkStart w:id="4" w:name="_Toc15396475"/>
      <w:bookmarkStart w:id="5" w:name="_Toc1537742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426"/>
      <w:bookmarkStart w:id="7" w:name="_Toc15377194"/>
      <w:bookmarkStart w:id="8" w:name="_Toc15378442"/>
      <w:bookmarkStart w:id="9" w:name="_Toc15396598"/>
      <w:bookmarkStart w:id="10" w:name="_Toc15396476"/>
      <w:r>
        <w:rPr>
          <w:rFonts w:hint="eastAsia" w:ascii="方正小标宋简体" w:hAnsi="方正小标宋简体" w:eastAsia="方正小标宋简体" w:cs="方正小标宋简体"/>
          <w:sz w:val="72"/>
          <w:szCs w:val="72"/>
        </w:rPr>
        <w:t xml:space="preserve">  攀枝花市</w:t>
      </w:r>
      <w:bookmarkEnd w:id="0"/>
      <w:bookmarkStart w:id="11" w:name="_Toc15306268"/>
      <w:r>
        <w:rPr>
          <w:rFonts w:hint="eastAsia" w:ascii="方正小标宋简体" w:hAnsi="方正小标宋简体" w:eastAsia="方正小标宋简体" w:cs="方正小标宋简体"/>
          <w:sz w:val="72"/>
          <w:szCs w:val="72"/>
        </w:rPr>
        <w:t>第四人民医院单位决算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公开时间：2023年9月</w:t>
      </w:r>
      <w:r>
        <w:t>1</w:t>
      </w:r>
      <w:r>
        <w:rPr>
          <w:rFonts w:hint="eastAsia"/>
          <w:lang w:val="en-US" w:eastAsia="zh-CN"/>
        </w:rPr>
        <w:t>4</w:t>
      </w:r>
      <w:r>
        <w:rPr>
          <w:rFonts w:hint="eastAsia"/>
        </w:rPr>
        <w:t>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Pr>
          <w:rFonts w:cstheme="minorBidi"/>
          <w:sz w:val="24"/>
          <w:szCs w:val="24"/>
        </w:rPr>
        <w:tab/>
      </w:r>
      <w:r>
        <w:rPr>
          <w:rFonts w:hint="eastAsia" w:cstheme="minorBidi"/>
          <w:sz w:val="24"/>
          <w:szCs w:val="24"/>
        </w:rPr>
        <w:t>4</w:t>
      </w:r>
    </w:p>
    <w:p>
      <w:pPr>
        <w:pStyle w:val="11"/>
        <w:adjustRightInd w:val="0"/>
        <w:snapToGrid w:val="0"/>
        <w:spacing w:line="440" w:lineRule="exact"/>
        <w:jc w:val="left"/>
        <w:rPr>
          <w:sz w:val="24"/>
        </w:rPr>
      </w:pPr>
      <w:r>
        <w:rPr>
          <w:rFonts w:hint="eastAsia"/>
          <w:sz w:val="24"/>
        </w:rPr>
        <w:t>一、主要职责</w:t>
      </w:r>
      <w:r>
        <w:rPr>
          <w:rFonts w:cstheme="minorBidi"/>
          <w:sz w:val="24"/>
        </w:rPr>
        <w:tab/>
      </w:r>
      <w:r>
        <w:rPr>
          <w:rFonts w:hint="eastAsia" w:cstheme="minorBidi"/>
          <w:sz w:val="24"/>
        </w:rPr>
        <w:t>4</w:t>
      </w:r>
    </w:p>
    <w:p>
      <w:pPr>
        <w:pStyle w:val="11"/>
        <w:adjustRightInd w:val="0"/>
        <w:snapToGrid w:val="0"/>
        <w:spacing w:line="440" w:lineRule="exact"/>
        <w:jc w:val="left"/>
      </w:pPr>
      <w:r>
        <w:rPr>
          <w:rFonts w:hint="eastAsia"/>
          <w:sz w:val="24"/>
        </w:rPr>
        <w:t>二、机构设置</w:t>
      </w:r>
      <w:r>
        <w:rPr>
          <w:rFonts w:cstheme="minorBidi"/>
          <w:sz w:val="24"/>
        </w:rPr>
        <w:tab/>
      </w:r>
      <w:r>
        <w:rPr>
          <w:rFonts w:hint="eastAsia" w:cstheme="minorBidi"/>
          <w:sz w:val="24"/>
        </w:rPr>
        <w:t>4</w:t>
      </w:r>
    </w:p>
    <w:p>
      <w:pPr>
        <w:pStyle w:val="10"/>
        <w:adjustRightInd w:val="0"/>
        <w:snapToGrid w:val="0"/>
        <w:spacing w:before="0" w:line="440" w:lineRule="exact"/>
        <w:jc w:val="left"/>
        <w:rPr>
          <w:sz w:val="24"/>
          <w:szCs w:val="24"/>
        </w:rPr>
      </w:pPr>
      <w:r>
        <w:rPr>
          <w:rFonts w:hint="eastAsia"/>
          <w:sz w:val="24"/>
        </w:rPr>
        <w:t>第二部分 2022年度单位决算情况说明</w:t>
      </w:r>
      <w:r>
        <w:rPr>
          <w:rFonts w:cstheme="minorBidi"/>
          <w:sz w:val="24"/>
        </w:rPr>
        <w:tab/>
      </w:r>
      <w:r>
        <w:rPr>
          <w:rFonts w:hint="eastAsia" w:cstheme="minorBidi"/>
          <w:sz w:val="24"/>
        </w:rPr>
        <w:t>5</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r>
        <w:rPr>
          <w:rFonts w:cstheme="minorBidi"/>
          <w:sz w:val="24"/>
        </w:rPr>
        <w:tab/>
      </w:r>
      <w:r>
        <w:rPr>
          <w:rFonts w:hint="eastAsia" w:cstheme="minorBidi"/>
          <w:sz w:val="24"/>
        </w:rPr>
        <w:t>5</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r>
        <w:rPr>
          <w:rFonts w:cstheme="minorBidi"/>
          <w:sz w:val="24"/>
        </w:rPr>
        <w:tab/>
      </w:r>
      <w:r>
        <w:rPr>
          <w:rFonts w:hint="eastAsia" w:cstheme="minorBidi"/>
          <w:sz w:val="24"/>
        </w:rPr>
        <w:t>5</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r>
        <w:rPr>
          <w:rFonts w:cstheme="minorBidi"/>
          <w:sz w:val="24"/>
        </w:rPr>
        <w:tab/>
      </w:r>
      <w:r>
        <w:rPr>
          <w:rFonts w:hint="eastAsia" w:cstheme="minorBidi"/>
          <w:sz w:val="24"/>
        </w:rPr>
        <w:t>6</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r>
        <w:rPr>
          <w:rFonts w:cstheme="minorBidi"/>
          <w:sz w:val="24"/>
        </w:rPr>
        <w:tab/>
      </w:r>
      <w:r>
        <w:rPr>
          <w:rFonts w:hint="eastAsia" w:cstheme="minorBidi"/>
          <w:sz w:val="24"/>
        </w:rPr>
        <w:t>7</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r>
        <w:rPr>
          <w:rFonts w:cstheme="minorBidi"/>
          <w:sz w:val="24"/>
        </w:rPr>
        <w:tab/>
      </w:r>
      <w:r>
        <w:rPr>
          <w:rFonts w:hint="eastAsia" w:cstheme="minorBidi"/>
          <w:sz w:val="24"/>
        </w:rPr>
        <w:t>8</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r>
        <w:rPr>
          <w:rFonts w:cstheme="minorBidi"/>
          <w:sz w:val="24"/>
        </w:rPr>
        <w:tab/>
      </w:r>
      <w:r>
        <w:rPr>
          <w:rFonts w:hint="eastAsia" w:cstheme="minorBidi"/>
          <w:sz w:val="24"/>
        </w:rPr>
        <w:t>11</w:t>
      </w:r>
    </w:p>
    <w:p>
      <w:pPr>
        <w:pStyle w:val="11"/>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r>
        <w:rPr>
          <w:rFonts w:cstheme="minorBidi"/>
          <w:sz w:val="24"/>
        </w:rPr>
        <w:tab/>
      </w:r>
      <w:r>
        <w:rPr>
          <w:rFonts w:hint="eastAsia" w:cstheme="minorBidi"/>
          <w:sz w:val="24"/>
        </w:rPr>
        <w:t>12</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r>
        <w:rPr>
          <w:rFonts w:cstheme="minorBidi"/>
          <w:sz w:val="24"/>
        </w:rPr>
        <w:tab/>
      </w:r>
      <w:r>
        <w:rPr>
          <w:rFonts w:hint="eastAsia" w:cstheme="minorBidi"/>
          <w:sz w:val="24"/>
        </w:rPr>
        <w:t>14</w:t>
      </w:r>
    </w:p>
    <w:p>
      <w:pPr>
        <w:pStyle w:val="11"/>
        <w:adjustRightInd w:val="0"/>
        <w:snapToGrid w:val="0"/>
        <w:spacing w:line="440" w:lineRule="exact"/>
        <w:jc w:val="left"/>
        <w:rPr>
          <w:sz w:val="24"/>
        </w:rPr>
      </w:pPr>
      <w:r>
        <w:rPr>
          <w:rFonts w:hint="eastAsia"/>
          <w:sz w:val="24"/>
        </w:rPr>
        <w:t>九、国有资本经营预算支出决算情况说明</w:t>
      </w:r>
      <w:r>
        <w:rPr>
          <w:rFonts w:cstheme="minorBidi"/>
          <w:sz w:val="24"/>
        </w:rPr>
        <w:tab/>
      </w:r>
      <w:r>
        <w:rPr>
          <w:rFonts w:hint="eastAsia" w:cstheme="minorBidi"/>
          <w:sz w:val="24"/>
        </w:rPr>
        <w:t>14</w:t>
      </w:r>
    </w:p>
    <w:p>
      <w:pPr>
        <w:pStyle w:val="11"/>
        <w:adjustRightInd w:val="0"/>
        <w:snapToGrid w:val="0"/>
        <w:spacing w:line="440" w:lineRule="exact"/>
        <w:jc w:val="left"/>
        <w:rPr>
          <w:sz w:val="24"/>
        </w:rPr>
      </w:pPr>
      <w:r>
        <w:rPr>
          <w:rFonts w:hint="eastAsia"/>
          <w:sz w:val="24"/>
        </w:rPr>
        <w:t>十、其他重要事项的情况说明</w:t>
      </w:r>
      <w:r>
        <w:rPr>
          <w:rFonts w:cstheme="minorBidi"/>
          <w:sz w:val="24"/>
        </w:rPr>
        <w:tab/>
      </w:r>
      <w:r>
        <w:rPr>
          <w:rFonts w:hint="eastAsia" w:cstheme="minorBidi"/>
          <w:sz w:val="24"/>
        </w:rPr>
        <w:t>14</w:t>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rFonts w:cstheme="minorBidi"/>
          <w:sz w:val="24"/>
        </w:rPr>
        <w:tab/>
      </w:r>
      <w:r>
        <w:rPr>
          <w:rFonts w:hint="eastAsia" w:cstheme="minorBidi"/>
          <w:sz w:val="24"/>
        </w:rPr>
        <w:t>16</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Pr>
          <w:rFonts w:cstheme="minorBidi"/>
          <w:sz w:val="24"/>
        </w:rPr>
        <w:tab/>
      </w:r>
      <w:r>
        <w:rPr>
          <w:rFonts w:hint="eastAsia" w:cstheme="minorBidi"/>
          <w:sz w:val="24"/>
        </w:rPr>
        <w:t>21</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Pr>
          <w:rFonts w:cstheme="minorBidi"/>
          <w:sz w:val="24"/>
        </w:rPr>
        <w:tab/>
      </w:r>
      <w:r>
        <w:rPr>
          <w:rFonts w:hint="eastAsia" w:cstheme="minorBidi"/>
          <w:sz w:val="24"/>
        </w:rPr>
        <w:t>22</w:t>
      </w:r>
    </w:p>
    <w:p>
      <w:pPr>
        <w:pStyle w:val="11"/>
        <w:adjustRightInd w:val="0"/>
        <w:snapToGrid w:val="0"/>
        <w:spacing w:line="440" w:lineRule="exact"/>
        <w:jc w:val="left"/>
        <w:rPr>
          <w:sz w:val="24"/>
        </w:rPr>
      </w:pPr>
      <w:r>
        <w:rPr>
          <w:rFonts w:hint="eastAsia"/>
          <w:sz w:val="24"/>
        </w:rPr>
        <w:t>一、收入支出决算总表</w:t>
      </w:r>
      <w:r>
        <w:rPr>
          <w:rFonts w:cstheme="minorBidi"/>
          <w:sz w:val="24"/>
        </w:rPr>
        <w:tab/>
      </w:r>
      <w:r>
        <w:rPr>
          <w:rFonts w:hint="eastAsia" w:cstheme="minorBidi"/>
          <w:sz w:val="24"/>
        </w:rPr>
        <w:t>22</w:t>
      </w:r>
    </w:p>
    <w:p>
      <w:pPr>
        <w:pStyle w:val="11"/>
        <w:adjustRightInd w:val="0"/>
        <w:snapToGrid w:val="0"/>
        <w:spacing w:line="440" w:lineRule="exact"/>
        <w:jc w:val="left"/>
        <w:rPr>
          <w:sz w:val="24"/>
        </w:rPr>
      </w:pPr>
      <w:r>
        <w:rPr>
          <w:rFonts w:hint="eastAsia"/>
          <w:sz w:val="24"/>
        </w:rPr>
        <w:t>二、收入决算表</w:t>
      </w:r>
      <w:r>
        <w:rPr>
          <w:rFonts w:cstheme="minorBidi"/>
          <w:sz w:val="24"/>
        </w:rPr>
        <w:tab/>
      </w:r>
      <w:r>
        <w:rPr>
          <w:rFonts w:hint="eastAsia" w:cstheme="minorBidi"/>
          <w:sz w:val="24"/>
        </w:rPr>
        <w:t>22</w:t>
      </w:r>
    </w:p>
    <w:p>
      <w:pPr>
        <w:pStyle w:val="11"/>
        <w:adjustRightInd w:val="0"/>
        <w:snapToGrid w:val="0"/>
        <w:spacing w:line="440" w:lineRule="exact"/>
        <w:jc w:val="left"/>
        <w:rPr>
          <w:sz w:val="24"/>
        </w:rPr>
      </w:pPr>
      <w:r>
        <w:rPr>
          <w:rFonts w:hint="eastAsia"/>
          <w:sz w:val="24"/>
        </w:rPr>
        <w:t>三、支出决算表</w:t>
      </w:r>
      <w:r>
        <w:rPr>
          <w:rFonts w:cstheme="minorBidi"/>
          <w:sz w:val="24"/>
        </w:rPr>
        <w:tab/>
      </w:r>
      <w:r>
        <w:rPr>
          <w:rFonts w:hint="eastAsia" w:cstheme="minorBidi"/>
          <w:sz w:val="24"/>
        </w:rPr>
        <w:t>22</w:t>
      </w:r>
    </w:p>
    <w:p>
      <w:pPr>
        <w:pStyle w:val="11"/>
        <w:adjustRightInd w:val="0"/>
        <w:snapToGrid w:val="0"/>
        <w:spacing w:line="440" w:lineRule="exact"/>
        <w:jc w:val="left"/>
        <w:rPr>
          <w:sz w:val="24"/>
        </w:rPr>
      </w:pPr>
      <w:r>
        <w:rPr>
          <w:rFonts w:hint="eastAsia"/>
          <w:sz w:val="24"/>
        </w:rPr>
        <w:t>四、财政拨款收入支出决算总表</w:t>
      </w:r>
      <w:r>
        <w:rPr>
          <w:rFonts w:cstheme="minorBidi"/>
          <w:sz w:val="24"/>
        </w:rPr>
        <w:tab/>
      </w:r>
      <w:r>
        <w:rPr>
          <w:rFonts w:hint="eastAsia" w:cstheme="minorBidi"/>
          <w:sz w:val="24"/>
        </w:rPr>
        <w:t>22</w:t>
      </w:r>
    </w:p>
    <w:p>
      <w:pPr>
        <w:pStyle w:val="11"/>
        <w:adjustRightInd w:val="0"/>
        <w:snapToGrid w:val="0"/>
        <w:spacing w:line="440" w:lineRule="exact"/>
        <w:jc w:val="left"/>
        <w:rPr>
          <w:sz w:val="24"/>
        </w:rPr>
      </w:pPr>
      <w:r>
        <w:rPr>
          <w:rFonts w:hint="eastAsia"/>
          <w:sz w:val="24"/>
        </w:rPr>
        <w:t>五、财政拨款支出决算明细表</w:t>
      </w:r>
      <w:r>
        <w:rPr>
          <w:rFonts w:cstheme="minorBidi"/>
          <w:sz w:val="24"/>
        </w:rPr>
        <w:tab/>
      </w:r>
      <w:r>
        <w:rPr>
          <w:rFonts w:hint="eastAsia" w:cstheme="minorBidi"/>
          <w:sz w:val="24"/>
        </w:rPr>
        <w:t>22</w:t>
      </w:r>
    </w:p>
    <w:p>
      <w:pPr>
        <w:pStyle w:val="11"/>
        <w:adjustRightInd w:val="0"/>
        <w:snapToGrid w:val="0"/>
        <w:spacing w:line="440" w:lineRule="exact"/>
        <w:jc w:val="left"/>
        <w:rPr>
          <w:sz w:val="24"/>
        </w:rPr>
      </w:pPr>
      <w:r>
        <w:rPr>
          <w:rFonts w:hint="eastAsia"/>
          <w:sz w:val="24"/>
        </w:rPr>
        <w:t>六、一般公共预算财政拨款支出决算表</w:t>
      </w:r>
      <w:r>
        <w:rPr>
          <w:rFonts w:cstheme="minorBidi"/>
          <w:sz w:val="24"/>
        </w:rPr>
        <w:tab/>
      </w:r>
      <w:r>
        <w:rPr>
          <w:rFonts w:hint="eastAsia" w:cstheme="minorBidi"/>
          <w:sz w:val="24"/>
        </w:rPr>
        <w:t>22</w:t>
      </w:r>
    </w:p>
    <w:p>
      <w:pPr>
        <w:pStyle w:val="11"/>
        <w:adjustRightInd w:val="0"/>
        <w:snapToGrid w:val="0"/>
        <w:spacing w:line="440" w:lineRule="exact"/>
        <w:jc w:val="left"/>
        <w:rPr>
          <w:sz w:val="24"/>
        </w:rPr>
      </w:pPr>
      <w:r>
        <w:rPr>
          <w:rFonts w:hint="eastAsia"/>
          <w:sz w:val="24"/>
        </w:rPr>
        <w:t>七、一般公共预算财政拨款支出决算明细表</w:t>
      </w:r>
      <w:r>
        <w:rPr>
          <w:rFonts w:cstheme="minorBidi"/>
          <w:sz w:val="24"/>
        </w:rPr>
        <w:tab/>
      </w:r>
      <w:r>
        <w:rPr>
          <w:rFonts w:hint="eastAsia"/>
          <w:sz w:val="24"/>
        </w:rPr>
        <w:t>22</w:t>
      </w:r>
    </w:p>
    <w:p>
      <w:pPr>
        <w:pStyle w:val="11"/>
        <w:adjustRightInd w:val="0"/>
        <w:snapToGrid w:val="0"/>
        <w:spacing w:line="440" w:lineRule="exact"/>
        <w:jc w:val="left"/>
        <w:rPr>
          <w:sz w:val="24"/>
        </w:rPr>
      </w:pPr>
      <w:r>
        <w:rPr>
          <w:rFonts w:hint="eastAsia"/>
          <w:sz w:val="24"/>
        </w:rPr>
        <w:t>九、一般公共预算财政拨款项目支出决算表</w:t>
      </w:r>
      <w:r>
        <w:rPr>
          <w:rFonts w:cstheme="minorBidi"/>
          <w:sz w:val="24"/>
        </w:rPr>
        <w:tab/>
      </w:r>
      <w:r>
        <w:rPr>
          <w:rFonts w:hint="eastAsia" w:cstheme="minorBidi"/>
          <w:sz w:val="24"/>
        </w:rPr>
        <w:t>22</w:t>
      </w:r>
    </w:p>
    <w:p>
      <w:pPr>
        <w:pStyle w:val="11"/>
        <w:adjustRightInd w:val="0"/>
        <w:snapToGrid w:val="0"/>
        <w:spacing w:line="440" w:lineRule="exact"/>
        <w:jc w:val="left"/>
        <w:rPr>
          <w:sz w:val="24"/>
        </w:rPr>
      </w:pPr>
      <w:r>
        <w:rPr>
          <w:rFonts w:hint="eastAsia"/>
          <w:sz w:val="24"/>
        </w:rPr>
        <w:t>十、政府性基金预算财政拨款收入支出决算表</w:t>
      </w:r>
      <w:r>
        <w:rPr>
          <w:rFonts w:cstheme="minorBidi"/>
          <w:sz w:val="24"/>
        </w:rPr>
        <w:tab/>
      </w:r>
      <w:r>
        <w:rPr>
          <w:rFonts w:hint="eastAsia" w:cstheme="minorBidi"/>
          <w:sz w:val="24"/>
        </w:rPr>
        <w:t>22</w:t>
      </w:r>
    </w:p>
    <w:p>
      <w:pPr>
        <w:pStyle w:val="11"/>
        <w:adjustRightInd w:val="0"/>
        <w:snapToGrid w:val="0"/>
        <w:spacing w:line="440" w:lineRule="exact"/>
        <w:jc w:val="left"/>
        <w:rPr>
          <w:sz w:val="24"/>
        </w:rPr>
      </w:pPr>
      <w:r>
        <w:rPr>
          <w:rFonts w:hint="eastAsia"/>
          <w:sz w:val="24"/>
        </w:rPr>
        <w:t>十一、国有资本经营预算财政拨款收入支出决算表</w:t>
      </w:r>
      <w:r>
        <w:rPr>
          <w:rFonts w:cstheme="minorBidi"/>
          <w:sz w:val="24"/>
        </w:rPr>
        <w:tab/>
      </w:r>
      <w:r>
        <w:rPr>
          <w:rFonts w:hint="eastAsia" w:cstheme="minorBidi"/>
          <w:sz w:val="24"/>
        </w:rPr>
        <w:t>22</w:t>
      </w:r>
    </w:p>
    <w:p>
      <w:pPr>
        <w:pStyle w:val="11"/>
        <w:adjustRightInd w:val="0"/>
        <w:snapToGrid w:val="0"/>
        <w:spacing w:line="440" w:lineRule="exact"/>
        <w:jc w:val="left"/>
        <w:rPr>
          <w:sz w:val="24"/>
        </w:rPr>
      </w:pPr>
      <w:r>
        <w:rPr>
          <w:rFonts w:hint="eastAsia"/>
          <w:sz w:val="24"/>
        </w:rPr>
        <w:t>十二、国有资本经营预算财政拨款支出决算表</w:t>
      </w:r>
      <w:r>
        <w:rPr>
          <w:rFonts w:cstheme="minorBidi"/>
          <w:sz w:val="24"/>
        </w:rPr>
        <w:tab/>
      </w:r>
      <w:r>
        <w:rPr>
          <w:rFonts w:hint="eastAsia" w:cstheme="minorBidi"/>
          <w:sz w:val="24"/>
        </w:rPr>
        <w:t>22</w:t>
      </w:r>
    </w:p>
    <w:p>
      <w:pPr>
        <w:pStyle w:val="11"/>
        <w:adjustRightInd w:val="0"/>
        <w:snapToGrid w:val="0"/>
        <w:spacing w:line="440" w:lineRule="exact"/>
        <w:jc w:val="left"/>
        <w:rPr>
          <w:sz w:val="24"/>
        </w:rPr>
      </w:pPr>
      <w:r>
        <w:rPr>
          <w:rFonts w:hint="eastAsia"/>
          <w:sz w:val="24"/>
        </w:rPr>
        <w:t>十三、财政拨款“三公”经费支出决算表</w:t>
      </w:r>
      <w:r>
        <w:rPr>
          <w:rFonts w:cstheme="minorBidi"/>
          <w:sz w:val="24"/>
        </w:rPr>
        <w:tab/>
      </w:r>
      <w:r>
        <w:rPr>
          <w:rFonts w:hint="eastAsia" w:cstheme="minorBidi"/>
          <w:sz w:val="24"/>
        </w:rPr>
        <w:t>22</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spacing w:line="600" w:lineRule="exact"/>
        <w:ind w:firstLine="642" w:firstLineChars="200"/>
        <w:rPr>
          <w:rStyle w:val="26"/>
          <w:rFonts w:ascii="黑体" w:hAnsi="黑体" w:eastAsia="黑体"/>
          <w:b w:val="0"/>
          <w:bCs w:val="0"/>
        </w:rPr>
      </w:pPr>
      <w:bookmarkStart w:id="14" w:name="_Toc3962"/>
      <w:bookmarkStart w:id="15" w:name="_Toc15377197"/>
      <w:bookmarkStart w:id="16" w:name="_Toc15396600"/>
      <w:r>
        <w:rPr>
          <w:rStyle w:val="26"/>
          <w:rFonts w:hint="eastAsia" w:ascii="黑体" w:hAnsi="黑体" w:eastAsia="黑体"/>
          <w:b/>
          <w:bCs/>
        </w:rPr>
        <w:t>一、主要职责</w:t>
      </w:r>
      <w:bookmarkEnd w:id="14"/>
    </w:p>
    <w:p>
      <w:pPr>
        <w:pStyle w:val="31"/>
        <w:ind w:firstLine="515" w:firstLineChars="161"/>
        <w:rPr>
          <w:rFonts w:ascii="仿宋" w:eastAsia="仿宋"/>
          <w:bCs/>
          <w:color w:val="000000"/>
        </w:rPr>
      </w:pPr>
      <w:r>
        <w:rPr>
          <w:rFonts w:hint="eastAsia" w:ascii="仿宋" w:eastAsia="仿宋"/>
          <w:bCs/>
          <w:color w:val="000000"/>
        </w:rPr>
        <w:t>攀枝花市第四人民医院是市政府举办的传染病专科医院，攀枝花市 “突发公共卫生事件救治基地”，全市艾滋病、性病、非典、甲流感、禽流感、手足口病、新冠感染等定点收治医院，是国家和省中医药防治传染病临床基地建设单位，是我市公共卫生体系的重要组成部分。</w:t>
      </w:r>
    </w:p>
    <w:p>
      <w:pPr>
        <w:pStyle w:val="4"/>
        <w:ind w:left="567" w:leftChars="270"/>
        <w:rPr>
          <w:rFonts w:ascii="黑体" w:hAnsi="黑体" w:eastAsia="黑体"/>
          <w:b w:val="0"/>
        </w:rPr>
      </w:pPr>
      <w:r>
        <w:rPr>
          <w:rFonts w:hint="eastAsia" w:ascii="黑体" w:hAnsi="黑体" w:eastAsia="黑体"/>
          <w:b w:val="0"/>
        </w:rPr>
        <w:t>二、机构设置</w:t>
      </w:r>
    </w:p>
    <w:bookmarkEnd w:id="15"/>
    <w:bookmarkEnd w:id="16"/>
    <w:p>
      <w:pPr>
        <w:ind w:firstLine="800" w:firstLineChars="250"/>
        <w:rPr>
          <w:rFonts w:ascii="仿宋" w:hAnsi="仿宋" w:eastAsia="仿宋"/>
          <w:sz w:val="32"/>
          <w:szCs w:val="32"/>
        </w:rPr>
      </w:pPr>
      <w:r>
        <w:rPr>
          <w:rFonts w:hint="eastAsia" w:ascii="仿宋" w:hAnsi="仿宋" w:eastAsia="仿宋"/>
          <w:sz w:val="32"/>
          <w:szCs w:val="32"/>
        </w:rPr>
        <w:t>攀枝花市第四人民医院是事业单位，无下属二级预算单位。</w:t>
      </w:r>
      <w:r>
        <w:rPr>
          <w:rFonts w:ascii="仿宋" w:hAnsi="仿宋" w:eastAsia="仿宋"/>
          <w:sz w:val="32"/>
          <w:szCs w:val="32"/>
        </w:rPr>
        <w:t xml:space="preserve"> </w:t>
      </w:r>
    </w:p>
    <w:p>
      <w:pPr>
        <w:widowControl/>
        <w:jc w:val="left"/>
        <w:rPr>
          <w:rFonts w:ascii="仿宋" w:hAnsi="仿宋" w:eastAsia="仿宋"/>
          <w:kern w:val="0"/>
          <w:sz w:val="32"/>
          <w:szCs w:val="32"/>
        </w:rPr>
      </w:pPr>
    </w:p>
    <w:p>
      <w:pPr>
        <w:pStyle w:val="2"/>
        <w:spacing w:before="93"/>
      </w:pPr>
    </w:p>
    <w:p>
      <w:pPr>
        <w:pStyle w:val="2"/>
        <w:spacing w:before="93"/>
      </w:pPr>
    </w:p>
    <w:p>
      <w:pPr>
        <w:pStyle w:val="2"/>
        <w:spacing w:before="93"/>
      </w:pPr>
    </w:p>
    <w:p>
      <w:pPr>
        <w:pStyle w:val="2"/>
        <w:spacing w:before="93"/>
      </w:pPr>
    </w:p>
    <w:p>
      <w:pPr>
        <w:pStyle w:val="2"/>
        <w:spacing w:before="93"/>
      </w:pPr>
    </w:p>
    <w:p>
      <w:pPr>
        <w:pStyle w:val="3"/>
        <w:ind w:right="440"/>
        <w:jc w:val="center"/>
        <w:rPr>
          <w:rStyle w:val="25"/>
          <w:rFonts w:ascii="黑体" w:hAnsi="黑体" w:eastAsia="黑体"/>
          <w:b w:val="0"/>
          <w:bCs/>
        </w:rPr>
      </w:pPr>
      <w:bookmarkStart w:id="17" w:name="_Toc15396602"/>
      <w:bookmarkStart w:id="18" w:name="_Toc15377204"/>
      <w:r>
        <w:rPr>
          <w:rFonts w:hint="eastAsia" w:ascii="黑体" w:hAnsi="黑体" w:eastAsia="黑体"/>
          <w:b w:val="0"/>
        </w:rPr>
        <w:t>第二部分 2022年度</w:t>
      </w:r>
      <w:r>
        <w:rPr>
          <w:rStyle w:val="25"/>
          <w:rFonts w:hint="eastAsia" w:ascii="黑体" w:hAnsi="黑体" w:eastAsia="黑体"/>
          <w:b w:val="0"/>
          <w:bCs/>
        </w:rPr>
        <w:t>单位决算情况说明</w:t>
      </w:r>
      <w:bookmarkEnd w:id="17"/>
      <w:bookmarkEnd w:id="18"/>
    </w:p>
    <w:p/>
    <w:p>
      <w:pPr>
        <w:pStyle w:val="24"/>
        <w:numPr>
          <w:ilvl w:val="0"/>
          <w:numId w:val="1"/>
        </w:numPr>
        <w:spacing w:line="600" w:lineRule="exact"/>
        <w:ind w:firstLineChars="0"/>
        <w:outlineLvl w:val="1"/>
        <w:rPr>
          <w:rStyle w:val="26"/>
          <w:rFonts w:ascii="黑体" w:hAnsi="黑体" w:eastAsia="黑体"/>
          <w:b w:val="0"/>
        </w:rPr>
      </w:pPr>
      <w:bookmarkStart w:id="19" w:name="_Toc15396603"/>
      <w:bookmarkStart w:id="20"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19"/>
      <w:bookmarkEnd w:id="20"/>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2022年度收、支总计6015.95万元。与2021年相比，</w:t>
      </w:r>
    </w:p>
    <w:p>
      <w:pPr>
        <w:spacing w:line="600" w:lineRule="exact"/>
        <w:rPr>
          <w:rFonts w:ascii="仿宋" w:eastAsia="仿宋"/>
          <w:sz w:val="32"/>
          <w:szCs w:val="32"/>
        </w:rPr>
      </w:pPr>
      <w:r>
        <w:rPr>
          <w:rFonts w:hint="eastAsia" w:ascii="仿宋" w:hAnsi="仿宋" w:eastAsia="仿宋"/>
          <w:sz w:val="32"/>
          <w:szCs w:val="32"/>
        </w:rPr>
        <w:t>收、支总计各减少1471.29万元，下降19.65</w:t>
      </w:r>
      <w:r>
        <w:rPr>
          <w:rFonts w:ascii="仿宋" w:hAnsi="仿宋" w:eastAsia="仿宋"/>
          <w:sz w:val="32"/>
          <w:szCs w:val="32"/>
        </w:rPr>
        <w:t>%</w:t>
      </w:r>
      <w:r>
        <w:rPr>
          <w:rFonts w:hint="eastAsia" w:ascii="仿宋" w:hAnsi="仿宋" w:eastAsia="仿宋"/>
          <w:sz w:val="32"/>
          <w:szCs w:val="32"/>
        </w:rPr>
        <w:t>。主要</w:t>
      </w:r>
      <w:r>
        <w:rPr>
          <w:rFonts w:hint="eastAsia" w:ascii="仿宋" w:eastAsia="仿宋"/>
          <w:sz w:val="32"/>
          <w:szCs w:val="32"/>
        </w:rPr>
        <w:t>变动原因是2022年卫生健康支出和抗疫特别国债安排的支出减</w:t>
      </w:r>
    </w:p>
    <w:p>
      <w:pPr>
        <w:pStyle w:val="2"/>
        <w:spacing w:before="93"/>
        <w:rPr>
          <w:rFonts w:ascii="仿宋" w:eastAsia="仿宋"/>
          <w:kern w:val="2"/>
          <w:sz w:val="32"/>
          <w:szCs w:val="32"/>
        </w:rPr>
      </w:pPr>
      <w:r>
        <w:rPr>
          <w:rFonts w:hint="eastAsia" w:ascii="仿宋" w:eastAsia="仿宋"/>
          <w:kern w:val="2"/>
          <w:sz w:val="32"/>
          <w:szCs w:val="32"/>
        </w:rPr>
        <w:t>少。</w:t>
      </w:r>
    </w:p>
    <w:p>
      <w:pPr>
        <w:pStyle w:val="2"/>
        <w:spacing w:before="93"/>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jc w:val="left"/>
        <w:rPr>
          <w:rFonts w:ascii="仿宋_GB2312" w:eastAsia="仿宋_GB2312"/>
          <w:sz w:val="32"/>
          <w:szCs w:val="32"/>
        </w:rPr>
      </w:pPr>
      <w:r>
        <w:rPr>
          <w:rFonts w:ascii="仿宋_GB2312" w:eastAsia="仿宋_GB2312"/>
          <w:sz w:val="32"/>
          <w:szCs w:val="32"/>
        </w:rPr>
        <w:drawing>
          <wp:anchor distT="0" distB="0" distL="114300" distR="114300" simplePos="0" relativeHeight="251659264" behindDoc="0" locked="0" layoutInCell="1" allowOverlap="1">
            <wp:simplePos x="0" y="0"/>
            <wp:positionH relativeFrom="column">
              <wp:posOffset>-47625</wp:posOffset>
            </wp:positionH>
            <wp:positionV relativeFrom="paragraph">
              <wp:posOffset>-855980</wp:posOffset>
            </wp:positionV>
            <wp:extent cx="5276850" cy="2495550"/>
            <wp:effectExtent l="0" t="0" r="0" b="0"/>
            <wp:wrapTopAndBottom/>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4"/>
        <w:numPr>
          <w:ilvl w:val="0"/>
          <w:numId w:val="1"/>
        </w:numPr>
        <w:spacing w:line="600" w:lineRule="exact"/>
        <w:ind w:firstLineChars="0"/>
        <w:outlineLvl w:val="1"/>
        <w:rPr>
          <w:rStyle w:val="26"/>
          <w:rFonts w:ascii="黑体" w:hAnsi="黑体" w:eastAsia="黑体"/>
          <w:b w:val="0"/>
        </w:rPr>
      </w:pPr>
      <w:bookmarkStart w:id="21" w:name="_Toc15377206"/>
      <w:bookmarkStart w:id="22" w:name="_Toc15396604"/>
      <w:r>
        <w:rPr>
          <w:rFonts w:hint="eastAsia" w:ascii="黑体" w:hAnsi="黑体" w:eastAsia="黑体"/>
          <w:sz w:val="32"/>
          <w:szCs w:val="32"/>
        </w:rPr>
        <w:t>收</w:t>
      </w:r>
      <w:r>
        <w:rPr>
          <w:rStyle w:val="26"/>
          <w:rFonts w:hint="eastAsia" w:ascii="黑体" w:hAnsi="黑体" w:eastAsia="黑体"/>
          <w:b w:val="0"/>
        </w:rPr>
        <w:t>入决算情况说明</w:t>
      </w:r>
      <w:bookmarkEnd w:id="21"/>
      <w:bookmarkEnd w:id="22"/>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22年本年收入合计3839.04万元，其中：一般公共预算财政拨款收入1299.38万元，占34</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；事业收入1729.34万元，占45</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；其他收入810.34万元，占21</w:t>
      </w:r>
      <w:r>
        <w:rPr>
          <w:rFonts w:ascii="仿宋" w:hAnsi="仿宋" w:eastAsia="仿宋"/>
          <w:sz w:val="32"/>
          <w:szCs w:val="32"/>
        </w:rPr>
        <w:t>%</w:t>
      </w:r>
      <w:r>
        <w:rPr>
          <w:rFonts w:hint="eastAsia" w:ascii="仿宋" w:hAnsi="仿宋" w:eastAsia="仿宋"/>
          <w:sz w:val="32"/>
          <w:szCs w:val="32"/>
        </w:rPr>
        <w:t>。</w:t>
      </w:r>
    </w:p>
    <w:p>
      <w:pPr>
        <w:spacing w:line="600" w:lineRule="exact"/>
        <w:rPr>
          <w:rFonts w:ascii="黑体" w:eastAsia="黑体"/>
          <w:bCs/>
          <w:sz w:val="32"/>
          <w:szCs w:val="32"/>
        </w:rPr>
      </w:pPr>
      <w:r>
        <w:rPr>
          <w:rFonts w:ascii="仿宋_GB2312" w:eastAsia="仿宋_GB2312"/>
          <w:color w:val="FF0000"/>
          <w:sz w:val="32"/>
          <w:szCs w:val="32"/>
        </w:rPr>
        <w:drawing>
          <wp:anchor distT="0" distB="0" distL="114300" distR="114300" simplePos="0" relativeHeight="251661312" behindDoc="0" locked="0" layoutInCell="1" allowOverlap="1">
            <wp:simplePos x="0" y="0"/>
            <wp:positionH relativeFrom="column">
              <wp:posOffset>171450</wp:posOffset>
            </wp:positionH>
            <wp:positionV relativeFrom="paragraph">
              <wp:posOffset>76200</wp:posOffset>
            </wp:positionV>
            <wp:extent cx="4924425" cy="2257425"/>
            <wp:effectExtent l="0" t="0" r="0" b="0"/>
            <wp:wrapTopAndBottom/>
            <wp:docPr id="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_GB2312" w:eastAsia="仿宋_GB2312"/>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23" w:name="_Toc15396605"/>
      <w:bookmarkStart w:id="24" w:name="_Toc15377207"/>
      <w:r>
        <w:rPr>
          <w:rFonts w:hint="eastAsia" w:ascii="黑体" w:hAnsi="黑体" w:eastAsia="黑体"/>
          <w:sz w:val="32"/>
          <w:szCs w:val="32"/>
        </w:rPr>
        <w:t>支</w:t>
      </w:r>
      <w:r>
        <w:rPr>
          <w:rStyle w:val="26"/>
          <w:rFonts w:hint="eastAsia" w:ascii="黑体" w:hAnsi="黑体" w:eastAsia="黑体"/>
          <w:b w:val="0"/>
        </w:rPr>
        <w:t>出决算情况说明</w:t>
      </w:r>
      <w:bookmarkEnd w:id="23"/>
      <w:bookmarkEnd w:id="24"/>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22年本年支出合计6015.95万元，其中：基本支出4847.04万元，占81</w:t>
      </w:r>
      <w:r>
        <w:rPr>
          <w:rFonts w:ascii="仿宋" w:hAnsi="仿宋" w:eastAsia="仿宋"/>
          <w:sz w:val="32"/>
          <w:szCs w:val="32"/>
        </w:rPr>
        <w:t>%</w:t>
      </w:r>
      <w:r>
        <w:rPr>
          <w:rFonts w:hint="eastAsia" w:ascii="仿宋" w:hAnsi="仿宋" w:eastAsia="仿宋"/>
          <w:sz w:val="32"/>
          <w:szCs w:val="32"/>
        </w:rPr>
        <w:t>；项目支出1168.92万元，占19</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shd w:val="pct10" w:color="auto" w:fill="FFFFFF"/>
        </w:rPr>
      </w:pPr>
    </w:p>
    <w:p>
      <w:pPr>
        <w:spacing w:line="600" w:lineRule="exact"/>
        <w:ind w:firstLine="630"/>
        <w:rPr>
          <w:rFonts w:ascii="仿宋" w:eastAsia="仿宋"/>
          <w:color w:val="000000"/>
          <w:sz w:val="32"/>
          <w:szCs w:val="32"/>
        </w:rPr>
      </w:pPr>
      <w:bookmarkStart w:id="25" w:name="_Toc15396606"/>
      <w:bookmarkStart w:id="26" w:name="_Toc15377208"/>
      <w:r>
        <w:rPr>
          <w:rFonts w:ascii="仿宋" w:eastAsia="仿宋"/>
          <w:color w:val="000000"/>
          <w:sz w:val="32"/>
          <w:szCs w:val="32"/>
        </w:rPr>
        <w:drawing>
          <wp:anchor distT="0" distB="0" distL="114300" distR="114300" simplePos="0" relativeHeight="251663360" behindDoc="0" locked="0" layoutInCell="1" allowOverlap="1">
            <wp:simplePos x="0" y="0"/>
            <wp:positionH relativeFrom="column">
              <wp:posOffset>427990</wp:posOffset>
            </wp:positionH>
            <wp:positionV relativeFrom="paragraph">
              <wp:posOffset>161290</wp:posOffset>
            </wp:positionV>
            <wp:extent cx="4521835" cy="2300605"/>
            <wp:effectExtent l="0" t="0" r="0" b="0"/>
            <wp:wrapTopAndBottom/>
            <wp:docPr id="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4"/>
        <w:numPr>
          <w:ilvl w:val="0"/>
          <w:numId w:val="1"/>
        </w:numPr>
        <w:spacing w:line="600" w:lineRule="exact"/>
        <w:ind w:firstLineChars="0"/>
        <w:outlineLvl w:val="1"/>
        <w:rPr>
          <w:rFonts w:ascii="黑体" w:hAnsi="黑体" w:eastAsia="黑体" w:cstheme="majorBidi"/>
          <w:bCs/>
          <w:sz w:val="32"/>
          <w:szCs w:val="32"/>
        </w:rPr>
      </w:pPr>
      <w:r>
        <w:rPr>
          <w:rFonts w:hint="eastAsia" w:ascii="黑体" w:hAnsi="黑体" w:eastAsia="黑体"/>
          <w:sz w:val="32"/>
          <w:szCs w:val="32"/>
        </w:rPr>
        <w:t>财</w:t>
      </w:r>
      <w:r>
        <w:rPr>
          <w:rStyle w:val="26"/>
          <w:rFonts w:hint="eastAsia" w:ascii="黑体" w:hAnsi="黑体" w:eastAsia="黑体"/>
          <w:b w:val="0"/>
        </w:rPr>
        <w:t>政拨款收入支出决算总体情况说明</w:t>
      </w:r>
      <w:bookmarkEnd w:id="25"/>
      <w:bookmarkEnd w:id="26"/>
    </w:p>
    <w:p>
      <w:pPr>
        <w:spacing w:line="600" w:lineRule="exact"/>
        <w:ind w:firstLine="640" w:firstLineChars="200"/>
        <w:rPr>
          <w:rFonts w:ascii="仿宋" w:eastAsia="仿宋"/>
          <w:color w:val="000000"/>
          <w:sz w:val="32"/>
          <w:szCs w:val="32"/>
        </w:rPr>
      </w:pPr>
      <w:r>
        <w:rPr>
          <w:rFonts w:ascii="仿宋" w:eastAsia="仿宋"/>
          <w:sz w:val="32"/>
          <w:szCs w:val="32"/>
        </w:rPr>
        <w:t>20</w:t>
      </w:r>
      <w:r>
        <w:rPr>
          <w:rFonts w:hint="eastAsia" w:ascii="仿宋" w:eastAsia="仿宋"/>
          <w:sz w:val="32"/>
          <w:szCs w:val="32"/>
        </w:rPr>
        <w:t>22年财政拨款收、支总计2042.03万元。与</w:t>
      </w:r>
      <w:r>
        <w:rPr>
          <w:rFonts w:ascii="仿宋" w:eastAsia="仿宋"/>
          <w:sz w:val="32"/>
          <w:szCs w:val="32"/>
        </w:rPr>
        <w:t>20</w:t>
      </w:r>
      <w:r>
        <w:rPr>
          <w:rFonts w:hint="eastAsia" w:ascii="仿宋" w:eastAsia="仿宋"/>
          <w:sz w:val="32"/>
          <w:szCs w:val="32"/>
        </w:rPr>
        <w:t>21年相比，财政拨款收、支总计减少1035.09万元，下降34</w:t>
      </w:r>
      <w:r>
        <w:rPr>
          <w:rFonts w:ascii="仿宋" w:eastAsia="仿宋"/>
          <w:sz w:val="32"/>
          <w:szCs w:val="32"/>
        </w:rPr>
        <w:t>%</w:t>
      </w:r>
      <w:r>
        <w:rPr>
          <w:rFonts w:hint="eastAsia" w:ascii="仿宋" w:eastAsia="仿宋"/>
          <w:sz w:val="32"/>
          <w:szCs w:val="32"/>
        </w:rPr>
        <w:t>。主要变动原因是2021年支出抗疫特别国债资金项目920.43万元，用于医院感染科肺病科负压病房改造项目建设</w:t>
      </w:r>
      <w:r>
        <w:rPr>
          <w:rFonts w:hint="eastAsia" w:ascii="仿宋" w:eastAsia="仿宋"/>
          <w:color w:val="000000"/>
          <w:sz w:val="32"/>
          <w:szCs w:val="32"/>
        </w:rPr>
        <w:t>，2022年无相关经费；2022年一般公共预算财政拨款减少。</w:t>
      </w:r>
    </w:p>
    <w:p>
      <w:pPr>
        <w:pStyle w:val="2"/>
        <w:spacing w:before="93"/>
      </w:pPr>
      <w:r>
        <w:rPr>
          <w:rFonts w:hint="eastAsia"/>
        </w:rPr>
        <w:drawing>
          <wp:anchor distT="0" distB="0" distL="114300" distR="114300" simplePos="0" relativeHeight="251665408" behindDoc="0" locked="0" layoutInCell="1" allowOverlap="1">
            <wp:simplePos x="0" y="0"/>
            <wp:positionH relativeFrom="column">
              <wp:posOffset>0</wp:posOffset>
            </wp:positionH>
            <wp:positionV relativeFrom="paragraph">
              <wp:posOffset>333375</wp:posOffset>
            </wp:positionV>
            <wp:extent cx="5276850" cy="3076575"/>
            <wp:effectExtent l="0" t="0" r="0" b="0"/>
            <wp:wrapTopAndBottom/>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Style w:val="26"/>
          <w:rFonts w:ascii="黑体" w:hAnsi="黑体" w:eastAsia="黑体"/>
          <w:b w:val="0"/>
        </w:rPr>
      </w:pPr>
      <w:bookmarkStart w:id="27" w:name="_Toc15396607"/>
      <w:bookmarkStart w:id="28"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7"/>
      <w:bookmarkEnd w:id="28"/>
    </w:p>
    <w:p>
      <w:pPr>
        <w:spacing w:line="600" w:lineRule="exact"/>
        <w:ind w:firstLine="642" w:firstLineChars="200"/>
        <w:outlineLvl w:val="2"/>
        <w:rPr>
          <w:rFonts w:ascii="仿宋" w:hAnsi="仿宋" w:eastAsia="仿宋"/>
          <w:b/>
          <w:sz w:val="32"/>
          <w:szCs w:val="32"/>
        </w:rPr>
      </w:pPr>
      <w:bookmarkStart w:id="29" w:name="_Toc15377210"/>
      <w:r>
        <w:rPr>
          <w:rFonts w:hint="eastAsia" w:ascii="仿宋" w:hAnsi="仿宋" w:eastAsia="仿宋"/>
          <w:b/>
          <w:sz w:val="32"/>
          <w:szCs w:val="32"/>
        </w:rPr>
        <w:t>（一）一般公共预算财政拨款支出决算总体情况</w:t>
      </w:r>
      <w:bookmarkEnd w:id="29"/>
    </w:p>
    <w:p>
      <w:pPr>
        <w:spacing w:line="600" w:lineRule="exact"/>
        <w:ind w:firstLine="640" w:firstLineChars="200"/>
        <w:rPr>
          <w:rFonts w:ascii="仿宋_GB2312" w:eastAsia="仿宋_GB2312"/>
          <w:color w:val="000000"/>
          <w:sz w:val="32"/>
          <w:szCs w:val="32"/>
        </w:rPr>
      </w:pPr>
      <w:r>
        <w:rPr>
          <w:rFonts w:hint="eastAsia" w:ascii="仿宋_GB2312" w:hAnsi="仿宋" w:eastAsia="仿宋_GB2312"/>
          <w:sz w:val="32"/>
          <w:szCs w:val="32"/>
        </w:rPr>
        <w:t>2022年一般公共预算财政拨款支出2042.03万元，占本年支出合计的34%。与2021年相比，一般公共预算财政拨款支出减少114.66万元，下降5%。</w:t>
      </w:r>
      <w:r>
        <w:rPr>
          <w:rFonts w:hint="eastAsia" w:ascii="仿宋_GB2312" w:eastAsia="仿宋_GB2312"/>
          <w:color w:val="000000"/>
          <w:sz w:val="32"/>
          <w:szCs w:val="32"/>
        </w:rPr>
        <w:t>主要变动原因是2022年卫生健康支出减少。</w:t>
      </w:r>
    </w:p>
    <w:p>
      <w:pPr>
        <w:pStyle w:val="2"/>
        <w:spacing w:before="93"/>
      </w:pPr>
    </w:p>
    <w:p>
      <w:pPr>
        <w:pStyle w:val="2"/>
        <w:spacing w:before="93"/>
      </w:pPr>
    </w:p>
    <w:p>
      <w:pPr>
        <w:pStyle w:val="2"/>
        <w:spacing w:before="93"/>
      </w:pPr>
    </w:p>
    <w:p>
      <w:pPr>
        <w:pStyle w:val="2"/>
        <w:spacing w:before="93"/>
      </w:pPr>
    </w:p>
    <w:p>
      <w:pPr>
        <w:pStyle w:val="2"/>
        <w:spacing w:before="93"/>
      </w:pPr>
      <w:r>
        <w:drawing>
          <wp:inline distT="0" distB="0" distL="0" distR="0">
            <wp:extent cx="5274310" cy="3076575"/>
            <wp:effectExtent l="19050" t="0" r="21590"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2" w:firstLineChars="200"/>
        <w:outlineLvl w:val="2"/>
        <w:rPr>
          <w:rFonts w:ascii="仿宋" w:hAnsi="仿宋" w:eastAsia="仿宋"/>
          <w:b/>
          <w:sz w:val="32"/>
          <w:szCs w:val="32"/>
        </w:rPr>
      </w:pPr>
      <w:bookmarkStart w:id="30" w:name="_Toc15377211"/>
      <w:r>
        <w:rPr>
          <w:rFonts w:hint="eastAsia" w:ascii="仿宋" w:hAnsi="仿宋" w:eastAsia="仿宋"/>
          <w:b/>
          <w:sz w:val="32"/>
          <w:szCs w:val="32"/>
        </w:rPr>
        <w:t>（二）一般公共预算财政拨款支出决算结构情况</w:t>
      </w:r>
      <w:bookmarkEnd w:id="30"/>
    </w:p>
    <w:p>
      <w:pPr>
        <w:spacing w:line="600" w:lineRule="exact"/>
        <w:ind w:firstLine="640"/>
        <w:rPr>
          <w:rFonts w:ascii="仿宋_GB2312" w:hAnsi="仿宋" w:eastAsia="仿宋_GB2312"/>
          <w:b/>
          <w:sz w:val="32"/>
          <w:szCs w:val="32"/>
        </w:rPr>
      </w:pPr>
      <w:r>
        <w:rPr>
          <w:rFonts w:hint="eastAsia" w:ascii="仿宋_GB2312" w:hAnsi="仿宋" w:eastAsia="仿宋_GB2312"/>
          <w:sz w:val="32"/>
          <w:szCs w:val="32"/>
        </w:rPr>
        <w:t>2022年一般公共预算财政拨款支出2042.03万元，主要用于以下方面:</w:t>
      </w:r>
      <w:r>
        <w:rPr>
          <w:rFonts w:hint="eastAsia" w:ascii="仿宋_GB2312" w:hAnsi="仿宋" w:eastAsia="仿宋_GB2312"/>
          <w:b/>
          <w:sz w:val="32"/>
          <w:szCs w:val="32"/>
        </w:rPr>
        <w:t>社会保障和就业</w:t>
      </w:r>
      <w:r>
        <w:rPr>
          <w:rFonts w:hint="eastAsia" w:ascii="仿宋_GB2312" w:hAnsi="仿宋" w:eastAsia="仿宋_GB2312"/>
          <w:b/>
          <w:bCs/>
          <w:sz w:val="32"/>
          <w:szCs w:val="32"/>
        </w:rPr>
        <w:t>支出</w:t>
      </w:r>
      <w:r>
        <w:rPr>
          <w:rFonts w:hint="eastAsia" w:ascii="仿宋_GB2312" w:hAnsi="仿宋" w:eastAsia="仿宋_GB2312"/>
          <w:sz w:val="32"/>
          <w:szCs w:val="32"/>
        </w:rPr>
        <w:t>851.83万元，占42%；</w:t>
      </w:r>
      <w:r>
        <w:rPr>
          <w:rFonts w:hint="eastAsia" w:ascii="仿宋_GB2312" w:hAnsi="仿宋" w:eastAsia="仿宋_GB2312"/>
          <w:b/>
          <w:bCs/>
          <w:sz w:val="32"/>
          <w:szCs w:val="32"/>
        </w:rPr>
        <w:t>卫生健康支出</w:t>
      </w:r>
      <w:r>
        <w:rPr>
          <w:rFonts w:hint="eastAsia" w:ascii="仿宋_GB2312" w:hAnsi="仿宋" w:eastAsia="仿宋_GB2312"/>
          <w:sz w:val="32"/>
          <w:szCs w:val="32"/>
        </w:rPr>
        <w:t>1190.2万元，占58%。</w:t>
      </w:r>
    </w:p>
    <w:p>
      <w:pPr>
        <w:pStyle w:val="2"/>
        <w:spacing w:before="93"/>
      </w:pPr>
    </w:p>
    <w:p>
      <w:pPr>
        <w:pStyle w:val="2"/>
        <w:spacing w:before="93"/>
      </w:pPr>
      <w:r>
        <w:rPr>
          <w:rFonts w:hint="eastAsia"/>
        </w:rPr>
        <w:drawing>
          <wp:anchor distT="0" distB="0" distL="114300" distR="114300" simplePos="0" relativeHeight="251669504" behindDoc="0" locked="0" layoutInCell="1" allowOverlap="1">
            <wp:simplePos x="0" y="0"/>
            <wp:positionH relativeFrom="column">
              <wp:posOffset>457200</wp:posOffset>
            </wp:positionH>
            <wp:positionV relativeFrom="paragraph">
              <wp:posOffset>908685</wp:posOffset>
            </wp:positionV>
            <wp:extent cx="4686300" cy="3076575"/>
            <wp:effectExtent l="19050" t="0" r="19050" b="0"/>
            <wp:wrapTopAndBottom/>
            <wp:docPr id="1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spacing w:before="93"/>
      </w:pPr>
    </w:p>
    <w:p>
      <w:pPr>
        <w:spacing w:line="600" w:lineRule="exact"/>
        <w:ind w:firstLine="642" w:firstLineChars="200"/>
        <w:outlineLvl w:val="2"/>
        <w:rPr>
          <w:rFonts w:ascii="仿宋" w:hAnsi="仿宋" w:eastAsia="仿宋"/>
          <w:b/>
          <w:sz w:val="32"/>
          <w:szCs w:val="32"/>
        </w:rPr>
      </w:pPr>
      <w:bookmarkStart w:id="31" w:name="_Toc15377212"/>
      <w:r>
        <w:rPr>
          <w:rFonts w:hint="eastAsia" w:ascii="仿宋" w:hAnsi="仿宋" w:eastAsia="仿宋"/>
          <w:b/>
          <w:sz w:val="32"/>
          <w:szCs w:val="32"/>
        </w:rPr>
        <w:t>（三）一般公共预算财政拨款支出决算具体情况</w:t>
      </w:r>
      <w:bookmarkEnd w:id="31"/>
    </w:p>
    <w:p>
      <w:pPr>
        <w:spacing w:line="600" w:lineRule="exact"/>
        <w:ind w:firstLine="642" w:firstLineChars="200"/>
        <w:outlineLvl w:val="2"/>
        <w:rPr>
          <w:rFonts w:ascii="仿宋_GB2312" w:hAnsi="仿宋" w:eastAsia="仿宋_GB2312"/>
          <w:sz w:val="32"/>
          <w:szCs w:val="32"/>
        </w:rPr>
      </w:pPr>
      <w:bookmarkStart w:id="32" w:name="_Toc15378460"/>
      <w:bookmarkStart w:id="33" w:name="_Toc15377213"/>
      <w:bookmarkStart w:id="34" w:name="_Toc15377444"/>
      <w:r>
        <w:rPr>
          <w:rFonts w:hint="eastAsia" w:ascii="仿宋_GB2312" w:hAnsi="仿宋" w:eastAsia="仿宋_GB2312"/>
          <w:b/>
          <w:sz w:val="32"/>
          <w:szCs w:val="32"/>
        </w:rPr>
        <w:t>2022年一般公共预算支出决算数为2042.03万元</w:t>
      </w:r>
      <w:r>
        <w:rPr>
          <w:rFonts w:hint="eastAsia" w:ascii="仿宋_GB2312" w:hAnsi="仿宋" w:eastAsia="仿宋_GB2312"/>
          <w:sz w:val="32"/>
          <w:szCs w:val="32"/>
        </w:rPr>
        <w:t>，</w:t>
      </w:r>
      <w:r>
        <w:rPr>
          <w:rStyle w:val="15"/>
          <w:rFonts w:hint="eastAsia" w:ascii="仿宋_GB2312" w:hAnsi="仿宋" w:eastAsia="仿宋_GB2312"/>
          <w:bCs/>
          <w:sz w:val="32"/>
          <w:szCs w:val="32"/>
        </w:rPr>
        <w:t>完成预算100%。其中：</w:t>
      </w:r>
      <w:bookmarkEnd w:id="32"/>
      <w:bookmarkEnd w:id="33"/>
      <w:bookmarkEnd w:id="34"/>
    </w:p>
    <w:p>
      <w:pPr>
        <w:spacing w:line="600" w:lineRule="exact"/>
        <w:ind w:firstLine="642" w:firstLineChars="200"/>
        <w:rPr>
          <w:rStyle w:val="15"/>
          <w:rFonts w:ascii="仿宋_GB2312" w:hAnsi="仿宋" w:eastAsia="仿宋_GB2312"/>
          <w:bCs/>
          <w:sz w:val="32"/>
          <w:szCs w:val="32"/>
        </w:rPr>
      </w:pPr>
      <w:r>
        <w:rPr>
          <w:rStyle w:val="15"/>
          <w:rFonts w:hint="eastAsia" w:ascii="仿宋_GB2312" w:hAnsi="仿宋" w:eastAsia="仿宋_GB2312"/>
          <w:bCs/>
          <w:sz w:val="32"/>
          <w:szCs w:val="32"/>
        </w:rPr>
        <w:t>1.社会保障和就业（类）行政事业单位养老支出（款）事业单位离退休费（项）: 支出决算为492.48万元，完成预算100%，决算数等于预算数。</w:t>
      </w:r>
    </w:p>
    <w:p>
      <w:pPr>
        <w:spacing w:line="600" w:lineRule="exact"/>
        <w:ind w:firstLine="642" w:firstLineChars="200"/>
        <w:rPr>
          <w:rStyle w:val="15"/>
          <w:rFonts w:ascii="仿宋_GB2312" w:hAnsi="仿宋" w:eastAsia="仿宋_GB2312"/>
          <w:bCs/>
          <w:sz w:val="32"/>
          <w:szCs w:val="32"/>
        </w:rPr>
      </w:pPr>
      <w:r>
        <w:rPr>
          <w:rStyle w:val="15"/>
          <w:rFonts w:hint="eastAsia" w:ascii="仿宋_GB2312" w:hAnsi="仿宋" w:eastAsia="仿宋_GB2312"/>
          <w:bCs/>
          <w:sz w:val="32"/>
          <w:szCs w:val="32"/>
        </w:rPr>
        <w:t>2.社会保障和就业（类）行政事业单位养老支出（款）机关事业单位基本养老保险缴费支出（项）: 支出决算为352.2万元，完成预算100%，决算数等于预算数。</w:t>
      </w:r>
    </w:p>
    <w:p>
      <w:pPr>
        <w:spacing w:line="600" w:lineRule="exact"/>
        <w:ind w:firstLine="642" w:firstLineChars="200"/>
        <w:rPr>
          <w:rStyle w:val="15"/>
          <w:rFonts w:ascii="仿宋_GB2312" w:hAnsi="仿宋" w:eastAsia="仿宋_GB2312"/>
          <w:bCs/>
          <w:sz w:val="32"/>
          <w:szCs w:val="32"/>
        </w:rPr>
      </w:pPr>
      <w:r>
        <w:rPr>
          <w:rStyle w:val="15"/>
          <w:rFonts w:hint="eastAsia" w:ascii="仿宋_GB2312" w:hAnsi="仿宋" w:eastAsia="仿宋_GB2312"/>
          <w:bCs/>
          <w:sz w:val="32"/>
          <w:szCs w:val="32"/>
        </w:rPr>
        <w:t xml:space="preserve">3.社会保障和就业（类）抚恤（款）死亡抚恤（项）支出决算为7.15万元，完成预算100%，决算数等于预算数。   </w:t>
      </w:r>
    </w:p>
    <w:p>
      <w:pPr>
        <w:spacing w:line="600" w:lineRule="exact"/>
        <w:ind w:firstLine="642" w:firstLineChars="200"/>
        <w:rPr>
          <w:rStyle w:val="15"/>
          <w:rFonts w:ascii="仿宋_GB2312" w:hAnsi="仿宋" w:eastAsia="仿宋_GB2312"/>
          <w:bCs/>
          <w:sz w:val="32"/>
          <w:szCs w:val="32"/>
        </w:rPr>
      </w:pPr>
      <w:r>
        <w:rPr>
          <w:rStyle w:val="15"/>
          <w:rFonts w:hint="eastAsia" w:ascii="仿宋_GB2312" w:hAnsi="仿宋" w:eastAsia="仿宋_GB2312"/>
          <w:bCs/>
          <w:sz w:val="32"/>
          <w:szCs w:val="32"/>
        </w:rPr>
        <w:t>4.卫生健康（类）公立医院（款）传染病医院（项）:支出决算为709.96万元，完成预算100%，决算数等于预算数。</w:t>
      </w:r>
    </w:p>
    <w:p>
      <w:pPr>
        <w:spacing w:line="600" w:lineRule="exact"/>
        <w:ind w:firstLine="642" w:firstLineChars="200"/>
        <w:rPr>
          <w:rStyle w:val="15"/>
          <w:rFonts w:ascii="仿宋_GB2312" w:hAnsi="仿宋" w:eastAsia="仿宋_GB2312"/>
          <w:bCs/>
          <w:sz w:val="32"/>
          <w:szCs w:val="32"/>
        </w:rPr>
      </w:pPr>
      <w:r>
        <w:rPr>
          <w:rStyle w:val="15"/>
          <w:rFonts w:hint="eastAsia" w:ascii="仿宋_GB2312" w:hAnsi="仿宋" w:eastAsia="仿宋_GB2312"/>
          <w:bCs/>
          <w:sz w:val="32"/>
          <w:szCs w:val="32"/>
        </w:rPr>
        <w:t>5.卫生健康（类）公共卫生（款）重大公共卫生服务（项）:支出决算为390.28万元，完成预算100%，决算数等于预算数。</w:t>
      </w:r>
    </w:p>
    <w:p>
      <w:pPr>
        <w:spacing w:line="600" w:lineRule="exact"/>
        <w:ind w:firstLine="642" w:firstLineChars="200"/>
        <w:rPr>
          <w:rStyle w:val="15"/>
          <w:rFonts w:ascii="仿宋_GB2312" w:hAnsi="仿宋" w:eastAsia="仿宋_GB2312"/>
          <w:bCs/>
          <w:sz w:val="32"/>
          <w:szCs w:val="32"/>
        </w:rPr>
      </w:pPr>
      <w:r>
        <w:rPr>
          <w:rStyle w:val="15"/>
          <w:rFonts w:hint="eastAsia" w:ascii="仿宋_GB2312" w:hAnsi="仿宋" w:eastAsia="仿宋_GB2312"/>
          <w:bCs/>
          <w:sz w:val="32"/>
          <w:szCs w:val="32"/>
        </w:rPr>
        <w:t>6.卫生健康（类）其他卫生健康支出（款）其他卫生健康支出（项）:支出决算为1.96万元，完成预算100%，决算数等于预算数。</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6"/>
        </w:rPr>
      </w:pPr>
      <w:bookmarkStart w:id="35" w:name="_Toc15377214"/>
      <w:bookmarkStart w:id="36"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5"/>
      <w:bookmarkEnd w:id="36"/>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22年一般公共预算财政拨款基本支出2042.03万元，其中：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人员经费851.83万元，主要包括：机关事业单位基本养老保险缴费352.2万元、离休费13.52万元、抚恤金7.15万元、生活补助432.14万元、医疗费补助46.82万元。</w:t>
      </w:r>
      <w:r>
        <w:rPr>
          <w:rFonts w:ascii="仿宋" w:hAnsi="仿宋" w:eastAsia="仿宋"/>
          <w:sz w:val="32"/>
          <w:szCs w:val="32"/>
        </w:rPr>
        <w:br w:type="textWrapping"/>
      </w:r>
      <w:r>
        <w:rPr>
          <w:rFonts w:hint="eastAsia" w:ascii="仿宋" w:hAnsi="仿宋" w:eastAsia="仿宋"/>
          <w:sz w:val="32"/>
          <w:szCs w:val="32"/>
        </w:rPr>
        <w:t>　　公用经费1190.2万元，主要包括：办公费1.25万元、水费45.4万元、电费38.85万元、邮电费2.67万元、差旅费1.04万元、维修（护）费58.71万元、会议费0.35万元、培训费0.97万元、专用材料费625.41万元、专用燃料费24.17万元、其他交通费5.65万元、其他商品和服务支出80.47万元、房屋建筑物购置154.37万元、办公设备购置9.18万元、专用设备购置140.04万元、无形资产购置1.69万元。</w:t>
      </w:r>
    </w:p>
    <w:p>
      <w:pPr>
        <w:spacing w:line="600" w:lineRule="exact"/>
        <w:ind w:firstLine="640"/>
        <w:rPr>
          <w:rFonts w:ascii="仿宋" w:hAnsi="仿宋" w:eastAsia="仿宋"/>
          <w:b/>
          <w:sz w:val="32"/>
          <w:szCs w:val="32"/>
        </w:rPr>
      </w:pPr>
    </w:p>
    <w:p>
      <w:pPr>
        <w:spacing w:line="600" w:lineRule="exact"/>
        <w:ind w:firstLine="640"/>
        <w:outlineLvl w:val="1"/>
        <w:rPr>
          <w:rStyle w:val="26"/>
          <w:rFonts w:ascii="黑体" w:hAnsi="黑体" w:eastAsia="黑体"/>
          <w:b w:val="0"/>
        </w:rPr>
      </w:pPr>
      <w:bookmarkStart w:id="37" w:name="_Toc15377215"/>
      <w:bookmarkStart w:id="38" w:name="_Toc15396609"/>
      <w:r>
        <w:rPr>
          <w:rFonts w:hint="eastAsia" w:ascii="黑体" w:eastAsia="黑体"/>
          <w:sz w:val="32"/>
          <w:szCs w:val="32"/>
        </w:rPr>
        <w:t>七、</w:t>
      </w:r>
      <w:r>
        <w:rPr>
          <w:rStyle w:val="26"/>
          <w:rFonts w:hint="eastAsia" w:ascii="黑体" w:hAnsi="黑体" w:eastAsia="黑体"/>
          <w:b w:val="0"/>
        </w:rPr>
        <w:t>财政拨款</w:t>
      </w:r>
      <w:r>
        <w:rPr>
          <w:rStyle w:val="26"/>
          <w:rFonts w:hint="eastAsia" w:ascii="黑体" w:hAnsi="黑体" w:eastAsia="黑体"/>
        </w:rPr>
        <w:t>“</w:t>
      </w:r>
      <w:r>
        <w:rPr>
          <w:rStyle w:val="26"/>
          <w:rFonts w:hint="eastAsia" w:ascii="黑体" w:hAnsi="黑体" w:eastAsia="黑体"/>
          <w:b w:val="0"/>
        </w:rPr>
        <w:t>三公”经费支出决算情况说明</w:t>
      </w:r>
      <w:bookmarkEnd w:id="37"/>
      <w:bookmarkEnd w:id="38"/>
    </w:p>
    <w:p>
      <w:pPr>
        <w:spacing w:line="600" w:lineRule="exact"/>
        <w:ind w:firstLine="640"/>
        <w:outlineLvl w:val="2"/>
        <w:rPr>
          <w:rFonts w:ascii="仿宋" w:hAnsi="仿宋" w:eastAsia="仿宋"/>
          <w:b/>
          <w:sz w:val="32"/>
          <w:szCs w:val="32"/>
        </w:rPr>
      </w:pPr>
      <w:bookmarkStart w:id="39" w:name="_Toc15377216"/>
      <w:r>
        <w:rPr>
          <w:rFonts w:hint="eastAsia" w:ascii="仿宋" w:hAnsi="仿宋" w:eastAsia="仿宋"/>
          <w:b/>
          <w:sz w:val="32"/>
          <w:szCs w:val="32"/>
        </w:rPr>
        <w:t>（一）“三公”经费财政拨款支出决算总体情况说明</w:t>
      </w:r>
      <w:bookmarkEnd w:id="39"/>
    </w:p>
    <w:p>
      <w:pPr>
        <w:pStyle w:val="12"/>
        <w:widowControl w:val="0"/>
        <w:autoSpaceDN w:val="0"/>
        <w:adjustRightInd w:val="0"/>
        <w:snapToGrid w:val="0"/>
        <w:spacing w:beforeAutospacing="0" w:afterAutospacing="0" w:line="600" w:lineRule="exact"/>
        <w:ind w:firstLine="665" w:firstLineChars="208"/>
        <w:jc w:val="both"/>
        <w:outlineLvl w:val="2"/>
        <w:rPr>
          <w:rFonts w:hint="default" w:ascii="仿宋_GB2312" w:hAnsi="Times New Roman" w:eastAsia="仿宋_GB2312"/>
          <w:bCs/>
          <w:color w:val="000000"/>
          <w:sz w:val="32"/>
          <w:szCs w:val="32"/>
        </w:rPr>
      </w:pPr>
      <w:r>
        <w:rPr>
          <w:rFonts w:ascii="仿宋_GB2312" w:hAnsi="仿宋" w:eastAsia="仿宋_GB2312"/>
          <w:sz w:val="32"/>
          <w:szCs w:val="32"/>
        </w:rPr>
        <w:t>2022年“三公”经费财政拨款支出决算为0万元，完成预算0%，</w:t>
      </w:r>
      <w:bookmarkStart w:id="40" w:name="_Toc15377217"/>
      <w:r>
        <w:rPr>
          <w:rFonts w:ascii="仿宋_GB2312" w:hAnsi="Times New Roman" w:eastAsia="仿宋_GB2312"/>
          <w:bCs/>
          <w:color w:val="000000"/>
          <w:sz w:val="32"/>
          <w:szCs w:val="32"/>
        </w:rPr>
        <w:t>决算与2021预算数持平。</w:t>
      </w:r>
    </w:p>
    <w:p>
      <w:pPr>
        <w:spacing w:line="600" w:lineRule="exact"/>
        <w:ind w:firstLine="640"/>
        <w:rPr>
          <w:rFonts w:ascii="仿宋" w:hAnsi="仿宋" w:eastAsia="仿宋"/>
          <w:b/>
          <w:sz w:val="32"/>
          <w:szCs w:val="32"/>
        </w:rPr>
      </w:pPr>
      <w:r>
        <w:rPr>
          <w:rFonts w:hint="eastAsia" w:ascii="仿宋" w:hAnsi="仿宋" w:eastAsia="仿宋"/>
          <w:b/>
          <w:sz w:val="32"/>
          <w:szCs w:val="32"/>
        </w:rPr>
        <w:t>（二）“三公”经费财政拨款支出决算具体情况说明</w:t>
      </w:r>
      <w:bookmarkEnd w:id="4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；公务接待费支出决算0万元，占0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全年安排因公出国（境）团组0次，出国（境）0人。因公出国（境）支出决算与2021年持平。</w:t>
      </w:r>
    </w:p>
    <w:p>
      <w:pPr>
        <w:spacing w:line="600" w:lineRule="exact"/>
        <w:ind w:firstLine="640"/>
        <w:rPr>
          <w:rFonts w:ascii="仿宋_GB2312" w:eastAsia="仿宋_GB2312"/>
          <w:sz w:val="32"/>
          <w:szCs w:val="32"/>
        </w:rPr>
      </w:pPr>
      <w:r>
        <w:rPr>
          <w:rFonts w:ascii="仿宋_GB2312" w:eastAsia="仿宋_GB2312"/>
          <w:b/>
          <w:sz w:val="32"/>
          <w:szCs w:val="32"/>
        </w:rPr>
        <w:t>2.</w:t>
      </w:r>
      <w:r>
        <w:rPr>
          <w:rFonts w:hint="eastAsia" w:ascii="仿宋_GB2312" w:eastAsia="仿宋_GB2312"/>
          <w:b/>
          <w:bCs w:val="0"/>
          <w:sz w:val="32"/>
          <w:szCs w:val="32"/>
        </w:rPr>
        <w:t>公务用车购置及运行维护费支出</w:t>
      </w:r>
      <w:r>
        <w:rPr>
          <w:rFonts w:hint="eastAsia" w:ascii="仿宋_GB2312" w:eastAsia="仿宋_GB2312"/>
          <w:sz w:val="32"/>
          <w:szCs w:val="32"/>
        </w:rPr>
        <w:t>0万元,完成预算0</w:t>
      </w:r>
      <w:r>
        <w:rPr>
          <w:rFonts w:ascii="仿宋_GB2312" w:eastAsia="仿宋_GB2312"/>
          <w:sz w:val="32"/>
          <w:szCs w:val="32"/>
        </w:rPr>
        <w:t>%</w:t>
      </w:r>
      <w:r>
        <w:rPr>
          <w:rFonts w:hint="eastAsia" w:ascii="仿宋_GB2312" w:eastAsia="仿宋_GB2312"/>
          <w:sz w:val="32"/>
          <w:szCs w:val="32"/>
        </w:rPr>
        <w:t>。公务用车购置及运行维护费支出决算与</w:t>
      </w:r>
      <w:r>
        <w:rPr>
          <w:rFonts w:ascii="仿宋_GB2312" w:eastAsia="仿宋_GB2312"/>
          <w:sz w:val="32"/>
          <w:szCs w:val="32"/>
        </w:rPr>
        <w:t>20</w:t>
      </w:r>
      <w:r>
        <w:rPr>
          <w:rFonts w:hint="eastAsia" w:ascii="仿宋_GB2312" w:eastAsia="仿宋_GB2312"/>
          <w:sz w:val="32"/>
          <w:szCs w:val="32"/>
        </w:rPr>
        <w:t>21持平。</w:t>
      </w:r>
    </w:p>
    <w:p>
      <w:pPr>
        <w:spacing w:line="600" w:lineRule="exact"/>
        <w:ind w:firstLine="420" w:firstLineChars="200"/>
        <w:rPr>
          <w:rFonts w:ascii="仿宋_GB2312" w:eastAsia="仿宋_GB2312"/>
          <w:b/>
          <w:sz w:val="32"/>
          <w:szCs w:val="32"/>
        </w:rPr>
      </w:pPr>
      <w:r>
        <w:rPr>
          <w:rFonts w:hint="eastAsia"/>
        </w:rPr>
        <w:t xml:space="preserve">  </w:t>
      </w: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w:t>
      </w:r>
      <w:bookmarkStart w:id="68" w:name="_GoBack"/>
      <w:bookmarkEnd w:id="68"/>
      <w:r>
        <w:rPr>
          <w:rFonts w:hint="eastAsia" w:ascii="仿宋_GB2312" w:eastAsia="仿宋_GB2312"/>
          <w:sz w:val="32"/>
          <w:szCs w:val="32"/>
        </w:rPr>
        <w:t>，越野车0辆、金额0万元，载客汽车0辆、金额0万元。截至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sz w:val="32"/>
          <w:szCs w:val="32"/>
        </w:rPr>
        <w:t>公务接待费支出0万元，完成预算0</w:t>
      </w:r>
      <w:r>
        <w:rPr>
          <w:rFonts w:ascii="仿宋_GB2312" w:eastAsia="仿宋_GB2312"/>
          <w:sz w:val="32"/>
          <w:szCs w:val="32"/>
        </w:rPr>
        <w:t>%</w:t>
      </w:r>
      <w:r>
        <w:rPr>
          <w:rFonts w:hint="eastAsia" w:ascii="仿宋_GB2312" w:eastAsia="仿宋_GB2312"/>
          <w:sz w:val="32"/>
          <w:szCs w:val="32"/>
        </w:rPr>
        <w:t>。公务接待费支出决算与</w:t>
      </w:r>
      <w:r>
        <w:rPr>
          <w:rFonts w:ascii="仿宋_GB2312" w:eastAsia="仿宋_GB2312"/>
          <w:sz w:val="32"/>
          <w:szCs w:val="32"/>
        </w:rPr>
        <w:t>20</w:t>
      </w:r>
      <w:r>
        <w:rPr>
          <w:rFonts w:hint="eastAsia" w:ascii="仿宋_GB2312" w:eastAsia="仿宋_GB2312"/>
          <w:sz w:val="32"/>
          <w:szCs w:val="32"/>
        </w:rPr>
        <w:t>21持平。其中：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国内公务接待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spacing w:line="600" w:lineRule="exact"/>
        <w:ind w:firstLine="642"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Style w:val="26"/>
          <w:rFonts w:ascii="黑体" w:hAnsi="黑体" w:eastAsia="黑体"/>
        </w:rPr>
      </w:pPr>
      <w:bookmarkStart w:id="41" w:name="_Toc15396610"/>
      <w:bookmarkStart w:id="42" w:name="_Toc15377218"/>
      <w:r>
        <w:rPr>
          <w:rFonts w:hint="eastAsia" w:ascii="黑体" w:eastAsia="黑体"/>
          <w:sz w:val="32"/>
          <w:szCs w:val="32"/>
        </w:rPr>
        <w:t>八、</w:t>
      </w:r>
      <w:r>
        <w:rPr>
          <w:rStyle w:val="26"/>
          <w:rFonts w:hint="eastAsia" w:ascii="黑体" w:hAnsi="黑体" w:eastAsia="黑体"/>
          <w:b w:val="0"/>
        </w:rPr>
        <w:t>政府性基金预算支出决算情况说明</w:t>
      </w:r>
      <w:bookmarkEnd w:id="41"/>
      <w:bookmarkEnd w:id="42"/>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22年政府性基金预算财政拨款支出0万元，与</w:t>
      </w:r>
      <w:r>
        <w:rPr>
          <w:rFonts w:ascii="仿宋_GB2312" w:eastAsia="仿宋_GB2312"/>
          <w:sz w:val="32"/>
          <w:szCs w:val="32"/>
        </w:rPr>
        <w:t>20</w:t>
      </w:r>
      <w:r>
        <w:rPr>
          <w:rFonts w:hint="eastAsia" w:ascii="仿宋_GB2312" w:eastAsia="仿宋_GB2312"/>
          <w:sz w:val="32"/>
          <w:szCs w:val="32"/>
        </w:rPr>
        <w:t>21持平。</w:t>
      </w:r>
    </w:p>
    <w:p>
      <w:pPr>
        <w:numPr>
          <w:ilvl w:val="0"/>
          <w:numId w:val="2"/>
        </w:numPr>
        <w:spacing w:line="600" w:lineRule="exact"/>
        <w:ind w:firstLine="640"/>
        <w:outlineLvl w:val="1"/>
        <w:rPr>
          <w:rStyle w:val="26"/>
          <w:rFonts w:ascii="黑体" w:hAnsi="黑体" w:eastAsia="黑体"/>
          <w:b w:val="0"/>
        </w:rPr>
      </w:pPr>
      <w:bookmarkStart w:id="43" w:name="_Toc15377219"/>
      <w:bookmarkStart w:id="44" w:name="_Toc15396611"/>
      <w:r>
        <w:rPr>
          <w:rStyle w:val="26"/>
          <w:rFonts w:hint="eastAsia" w:ascii="黑体" w:hAnsi="黑体" w:eastAsia="黑体"/>
          <w:b w:val="0"/>
        </w:rPr>
        <w:t>国有资本经营预算支出决算情况说明</w:t>
      </w:r>
      <w:bookmarkEnd w:id="43"/>
      <w:bookmarkEnd w:id="44"/>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22年国有资本经营预算财政拨款支出0万元，与</w:t>
      </w:r>
      <w:r>
        <w:rPr>
          <w:rFonts w:ascii="仿宋_GB2312" w:eastAsia="仿宋_GB2312"/>
          <w:sz w:val="32"/>
          <w:szCs w:val="32"/>
        </w:rPr>
        <w:t>20</w:t>
      </w:r>
      <w:r>
        <w:rPr>
          <w:rFonts w:hint="eastAsia" w:ascii="仿宋_GB2312" w:eastAsia="仿宋_GB2312"/>
          <w:sz w:val="32"/>
          <w:szCs w:val="32"/>
        </w:rPr>
        <w:t>21持平。</w:t>
      </w:r>
    </w:p>
    <w:p>
      <w:pPr>
        <w:numPr>
          <w:ilvl w:val="0"/>
          <w:numId w:val="2"/>
        </w:numPr>
        <w:spacing w:line="600" w:lineRule="exact"/>
        <w:ind w:firstLine="640"/>
        <w:outlineLvl w:val="1"/>
        <w:rPr>
          <w:rStyle w:val="26"/>
          <w:rFonts w:ascii="黑体" w:hAnsi="黑体" w:eastAsia="黑体"/>
          <w:b w:val="0"/>
        </w:rPr>
      </w:pPr>
      <w:bookmarkStart w:id="45" w:name="_Toc15377221"/>
      <w:bookmarkStart w:id="46" w:name="_Toc15396612"/>
      <w:r>
        <w:rPr>
          <w:rStyle w:val="26"/>
          <w:rFonts w:hint="eastAsia" w:ascii="黑体" w:hAnsi="黑体" w:eastAsia="黑体"/>
          <w:b w:val="0"/>
        </w:rPr>
        <w:t>其他重要事项的情况说明</w:t>
      </w:r>
      <w:bookmarkEnd w:id="45"/>
      <w:bookmarkEnd w:id="46"/>
    </w:p>
    <w:p>
      <w:pPr>
        <w:spacing w:line="600" w:lineRule="exact"/>
        <w:ind w:firstLine="642" w:firstLineChars="200"/>
        <w:outlineLvl w:val="2"/>
        <w:rPr>
          <w:rFonts w:ascii="仿宋" w:hAnsi="仿宋" w:eastAsia="仿宋"/>
          <w:sz w:val="32"/>
          <w:szCs w:val="32"/>
        </w:rPr>
      </w:pPr>
      <w:bookmarkStart w:id="47" w:name="_Toc15377222"/>
      <w:r>
        <w:rPr>
          <w:rFonts w:hint="eastAsia" w:ascii="仿宋" w:hAnsi="仿宋" w:eastAsia="仿宋"/>
          <w:b/>
          <w:sz w:val="32"/>
          <w:szCs w:val="32"/>
        </w:rPr>
        <w:t>（一）机关运行经费支出情况</w:t>
      </w:r>
      <w:bookmarkEnd w:id="47"/>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22年，攀枝花市第四人民医院机关运行经费支出0万元，</w:t>
      </w:r>
      <w:bookmarkStart w:id="48" w:name="_Toc15377223"/>
      <w:r>
        <w:rPr>
          <w:rFonts w:hint="eastAsia" w:ascii="仿宋_GB2312" w:eastAsia="仿宋_GB2312"/>
          <w:sz w:val="32"/>
          <w:szCs w:val="32"/>
        </w:rPr>
        <w:t>与</w:t>
      </w:r>
      <w:r>
        <w:rPr>
          <w:rFonts w:ascii="仿宋_GB2312" w:eastAsia="仿宋_GB2312"/>
          <w:sz w:val="32"/>
          <w:szCs w:val="32"/>
        </w:rPr>
        <w:t>20</w:t>
      </w:r>
      <w:r>
        <w:rPr>
          <w:rFonts w:hint="eastAsia" w:ascii="仿宋_GB2312" w:eastAsia="仿宋_GB2312"/>
          <w:sz w:val="32"/>
          <w:szCs w:val="32"/>
        </w:rPr>
        <w:t>21持平</w:t>
      </w:r>
      <w:r>
        <w:rPr>
          <w:rFonts w:hint="eastAsia" w:ascii="仿宋_GB2312" w:eastAsia="仿宋_GB2312"/>
          <w:sz w:val="32"/>
          <w:szCs w:val="32"/>
          <w:lang w:eastAsia="zh-CN"/>
        </w:rPr>
        <w:t>。</w:t>
      </w:r>
    </w:p>
    <w:p>
      <w:pPr>
        <w:spacing w:line="600" w:lineRule="exact"/>
        <w:ind w:firstLine="642" w:firstLineChars="200"/>
        <w:rPr>
          <w:rFonts w:ascii="仿宋" w:hAnsi="仿宋" w:eastAsia="仿宋"/>
          <w:b/>
          <w:sz w:val="32"/>
          <w:szCs w:val="32"/>
        </w:rPr>
      </w:pPr>
      <w:r>
        <w:rPr>
          <w:rFonts w:hint="eastAsia" w:ascii="仿宋" w:hAnsi="仿宋" w:eastAsia="仿宋"/>
          <w:b/>
          <w:sz w:val="32"/>
          <w:szCs w:val="32"/>
        </w:rPr>
        <w:t>（二）政府采购支出情况</w:t>
      </w:r>
      <w:bookmarkEnd w:id="48"/>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22年，攀枝花市第四人民医院政府采购支出总额0万元，其中：政府采购货物支出0万元、政府采购工程支出0万元、政府采购服务支出0万元。主要用于</w:t>
      </w:r>
      <w:r>
        <w:rPr>
          <w:rFonts w:ascii="仿宋_GB2312" w:eastAsia="仿宋_GB2312"/>
          <w:sz w:val="32"/>
          <w:szCs w:val="32"/>
        </w:rPr>
        <w:t>…</w:t>
      </w:r>
      <w:r>
        <w:rPr>
          <w:rFonts w:hint="eastAsia" w:ascii="仿宋_GB2312" w:eastAsia="仿宋_GB2312"/>
          <w:sz w:val="32"/>
          <w:szCs w:val="32"/>
        </w:rPr>
        <w:t>（具体工作）。授予中小企业合同金额0万元，占政府采购支出总额的0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9" w:name="_Toc15377224"/>
      <w:r>
        <w:rPr>
          <w:rFonts w:hint="eastAsia" w:ascii="仿宋" w:hAnsi="仿宋" w:eastAsia="仿宋"/>
          <w:b/>
          <w:sz w:val="32"/>
          <w:szCs w:val="32"/>
        </w:rPr>
        <w:t>（三）国有资产占有使用情况</w:t>
      </w:r>
      <w:bookmarkEnd w:id="49"/>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日，攀枝花市第四人民医院共有车辆11辆，其中：主要领导干部用车0辆、机要通信用车0辆、应急保障用车0辆、特种专用技术用车4辆、其他用车7辆，其他用车主要是用于日常业务及公务出行。单价</w:t>
      </w:r>
      <w:r>
        <w:rPr>
          <w:rFonts w:ascii="仿宋_GB2312" w:eastAsia="仿宋_GB2312"/>
          <w:sz w:val="32"/>
          <w:szCs w:val="32"/>
        </w:rPr>
        <w:t>100</w:t>
      </w:r>
      <w:r>
        <w:rPr>
          <w:rFonts w:hint="eastAsia" w:ascii="仿宋_GB2312" w:eastAsia="仿宋_GB2312"/>
          <w:sz w:val="32"/>
          <w:szCs w:val="32"/>
        </w:rPr>
        <w:t>万元以上专用设备6台（套）。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2022年基本养老保险项目（项目名称）等17个项目开展了预算事前绩效评估，对17个项目编制了绩效目标，预算执行过程中，选取17个项目开展绩效监控，组织对17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50" w:name="_Toc15377225"/>
      <w:bookmarkStart w:id="51" w:name="_Toc15396613"/>
      <w:r>
        <w:rPr>
          <w:rFonts w:hint="eastAsia" w:ascii="黑体" w:hAnsi="黑体" w:eastAsia="黑体"/>
          <w:sz w:val="44"/>
          <w:szCs w:val="44"/>
        </w:rPr>
        <w:t>名</w:t>
      </w:r>
      <w:r>
        <w:rPr>
          <w:rStyle w:val="25"/>
          <w:rFonts w:hint="eastAsia" w:ascii="黑体" w:hAnsi="黑体" w:eastAsia="黑体"/>
          <w:b w:val="0"/>
        </w:rPr>
        <w:t>词解释</w:t>
      </w:r>
      <w:bookmarkEnd w:id="50"/>
      <w:bookmarkEnd w:id="51"/>
    </w:p>
    <w:p>
      <w:pPr>
        <w:spacing w:line="600" w:lineRule="exact"/>
        <w:jc w:val="left"/>
        <w:rPr>
          <w:rFonts w:ascii="宋体"/>
          <w:b/>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其他收入：指单位取得的除上述收入以外的各项收入。主要是洗涤中心、财产物资盘盈收入等。</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人力资源事务（款）其他人力资源事务支出（项）：指反映除行政运行、一般行政管理事务、机关服务、政府特殊津贴、资助留学回国人员、博士后日常经费、引进人才费用、事业运行以外的其他人力资源事务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一般公共服务（类）组织事务（款）其他组织事务支出（项）：指除行政运行、一般行政管理事务、机关服务、公务员事务、事业运行外的用于中国共产党组织部门的事务支出。</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社会保障和就业（类）行政事业单位养老支出（款）事业单位离退休（项）：指实行归口管理的事业单位开支的离退休经费。</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社会保障和就业（类）抚恤（款）死亡抚恤（项）：指按规定用于烈士和牺牲、病故人员家属的一次性和定期抚恤金以及丧葬补助费。</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社会保障和就业（类）其他社会保障和就业支出（款）其他社会保障和就业支出（项）：指除人力资源和社会保障管理事务、民政管理事务、补充全国社会保障基金、行政事业单位离退休、企业改革补助、就业补助、抚恤、退役安置、社会福利、残疾人事业、红十字事业、最低生活保障、临时救助、特困人员救助供养、补充道路交通事故社会救助基金、其他生活救助、财政对基本养老保险基金的补助、财政对其他社会保险基金、退役军人管理事务外的用于社会保障和就业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卫生健康支出（类）公立医院（款）传染病（项）：指反映卫生健康部门所属传染病医院的支出</w:t>
      </w:r>
      <w:r>
        <w:rPr>
          <w:rFonts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卫生健康支出（类）公共卫生（款）基本公共卫生服务（项）：指反映基本公共卫生支出</w:t>
      </w:r>
      <w:r>
        <w:rPr>
          <w:rFonts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卫生健康支出（类）公共卫生（款）重大公共卫生服务（项）：指反映重大疾病预防控制等重大公共卫生服务项目支出</w:t>
      </w:r>
      <w:r>
        <w:rPr>
          <w:rFonts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卫生健康支出（类）公共卫生（款）突发公共卫生事件应急处理（项）：指反映用于突发公共卫生事件应急处理支出</w:t>
      </w:r>
      <w:r>
        <w:rPr>
          <w:rFonts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卫生健康支出（类）其他卫生健康支出（款）其他卫生健康支出（项）：指除卫生健康管理事务、公立医院、基层医疗卫生机构、公共卫生、中医药、计划生育事务、行政事业单位医疗、财政对基本医疗保险基金的补助、医疗救助、优抚对象医疗、医疗保障管理事务、行政运行、老龄卫生健康事务以外的其他用于卫生健康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城乡社区（类）国有土地使用权出让收入安排的支出（款）土地开发支出（项）：反映新疆生产建设兵团和地方政府用于前期土地开发性支出以及前期土地开发相关费用的支出。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sz w:val="32"/>
          <w:szCs w:val="32"/>
        </w:rPr>
        <w:t>28.</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29.</w:t>
      </w:r>
      <w:r>
        <w:rPr>
          <w:rFonts w:hint="eastAsia" w:ascii="仿宋_GB2312" w:eastAsia="仿宋_GB2312"/>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30.</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31.</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bookmarkStart w:id="52" w:name="_Toc15377226"/>
      <w:r>
        <w:rPr>
          <w:rFonts w:ascii="宋体"/>
          <w:b/>
          <w:sz w:val="44"/>
          <w:szCs w:val="44"/>
        </w:rPr>
        <w:br w:type="page"/>
      </w:r>
      <w:bookmarkStart w:id="53" w:name="_Toc15396614"/>
      <w:r>
        <w:rPr>
          <w:rFonts w:hint="eastAsia" w:ascii="黑体" w:hAnsi="黑体" w:eastAsia="黑体"/>
          <w:sz w:val="44"/>
          <w:szCs w:val="44"/>
        </w:rPr>
        <w:t>第</w:t>
      </w:r>
      <w:r>
        <w:rPr>
          <w:rStyle w:val="25"/>
          <w:rFonts w:hint="eastAsia" w:ascii="黑体" w:hAnsi="黑体" w:eastAsia="黑体"/>
          <w:b w:val="0"/>
        </w:rPr>
        <w:t>四部分 附件</w:t>
      </w:r>
      <w:bookmarkEnd w:id="53"/>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ascii="宋体" w:hAnsi="宋体" w:cs="宋体"/>
          <w:kern w:val="0"/>
          <w:sz w:val="32"/>
          <w:szCs w:val="32"/>
        </w:rPr>
      </w:pPr>
      <w:bookmarkStart w:id="54" w:name="_Toc15396618"/>
      <w:r>
        <w:rPr>
          <w:rFonts w:hint="eastAsia" w:ascii="宋体" w:hAnsi="宋体" w:cs="宋体"/>
          <w:kern w:val="0"/>
          <w:sz w:val="32"/>
          <w:szCs w:val="32"/>
        </w:rPr>
        <w:t>部门预算项目支出绩效自评表（2022年度）见附件1</w:t>
      </w: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numPr>
          <w:ilvl w:val="0"/>
          <w:numId w:val="0"/>
        </w:numPr>
        <w:spacing w:line="600" w:lineRule="exact"/>
        <w:jc w:val="center"/>
        <w:outlineLvl w:val="0"/>
        <w:rPr>
          <w:rFonts w:hint="eastAsia" w:ascii="仿宋" w:hAnsi="仿宋" w:eastAsia="仿宋"/>
          <w:b w:val="0"/>
          <w:sz w:val="32"/>
          <w:szCs w:val="32"/>
          <w:lang w:eastAsia="zh-CN"/>
        </w:rPr>
      </w:pPr>
      <w:r>
        <w:rPr>
          <w:rStyle w:val="25"/>
          <w:rFonts w:hint="eastAsia" w:ascii="黑体" w:hAnsi="黑体" w:eastAsia="黑体"/>
          <w:b w:val="0"/>
          <w:lang w:eastAsia="zh-CN"/>
        </w:rPr>
        <w:t>第五部分</w:t>
      </w:r>
      <w:r>
        <w:rPr>
          <w:rStyle w:val="25"/>
          <w:rFonts w:hint="eastAsia" w:ascii="黑体" w:hAnsi="黑体" w:eastAsia="黑体"/>
          <w:b w:val="0"/>
          <w:lang w:val="en-US" w:eastAsia="zh-CN"/>
        </w:rPr>
        <w:t xml:space="preserve"> </w:t>
      </w:r>
      <w:r>
        <w:rPr>
          <w:rStyle w:val="25"/>
          <w:rFonts w:hint="eastAsia" w:ascii="黑体" w:hAnsi="黑体" w:eastAsia="黑体"/>
          <w:b w:val="0"/>
        </w:rPr>
        <w:t>附表</w:t>
      </w:r>
      <w:bookmarkEnd w:id="52"/>
      <w:bookmarkEnd w:id="54"/>
      <w:bookmarkStart w:id="55" w:name="_Toc15396619"/>
    </w:p>
    <w:p>
      <w:pPr>
        <w:pageBreakBefore w:val="0"/>
        <w:widowControl w:val="0"/>
        <w:numPr>
          <w:ilvl w:val="0"/>
          <w:numId w:val="0"/>
        </w:numPr>
        <w:kinsoku/>
        <w:wordWrap/>
        <w:overflowPunct/>
        <w:topLinePunct w:val="0"/>
        <w:autoSpaceDE/>
        <w:autoSpaceDN/>
        <w:bidi w:val="0"/>
        <w:adjustRightInd/>
        <w:snapToGrid/>
        <w:spacing w:before="313" w:beforeLines="100" w:after="313" w:afterLines="100" w:line="600" w:lineRule="exact"/>
        <w:jc w:val="both"/>
        <w:textAlignment w:val="auto"/>
        <w:outlineLvl w:val="0"/>
        <w:rPr>
          <w:rStyle w:val="26"/>
          <w:rFonts w:hint="eastAsia" w:ascii="仿宋" w:hAnsi="仿宋" w:eastAsia="仿宋"/>
          <w:b w:val="0"/>
          <w:bCs w:val="0"/>
          <w:sz w:val="32"/>
          <w:szCs w:val="32"/>
        </w:rPr>
      </w:pPr>
      <w:r>
        <w:rPr>
          <w:rFonts w:hint="eastAsia" w:ascii="仿宋" w:hAnsi="仿宋" w:eastAsia="仿宋"/>
          <w:b w:val="0"/>
          <w:sz w:val="32"/>
          <w:szCs w:val="32"/>
          <w:lang w:eastAsia="zh-CN"/>
        </w:rPr>
        <w:t>一、</w:t>
      </w:r>
      <w:r>
        <w:rPr>
          <w:rFonts w:hint="eastAsia" w:ascii="仿宋" w:hAnsi="仿宋" w:eastAsia="仿宋"/>
          <w:b w:val="0"/>
          <w:sz w:val="32"/>
          <w:szCs w:val="32"/>
        </w:rPr>
        <w:t>收</w:t>
      </w:r>
      <w:r>
        <w:rPr>
          <w:rStyle w:val="26"/>
          <w:rFonts w:hint="eastAsia" w:ascii="仿宋" w:hAnsi="仿宋" w:eastAsia="仿宋"/>
          <w:b w:val="0"/>
          <w:bCs w:val="0"/>
          <w:sz w:val="32"/>
          <w:szCs w:val="32"/>
        </w:rPr>
        <w:t>入支出决算总表</w:t>
      </w:r>
      <w:bookmarkEnd w:id="55"/>
      <w:bookmarkStart w:id="56" w:name="_Toc15396620"/>
    </w:p>
    <w:p>
      <w:pPr>
        <w:pageBreakBefore w:val="0"/>
        <w:widowControl w:val="0"/>
        <w:numPr>
          <w:ilvl w:val="0"/>
          <w:numId w:val="0"/>
        </w:numPr>
        <w:kinsoku/>
        <w:wordWrap/>
        <w:overflowPunct/>
        <w:topLinePunct w:val="0"/>
        <w:autoSpaceDE/>
        <w:autoSpaceDN/>
        <w:bidi w:val="0"/>
        <w:adjustRightInd/>
        <w:snapToGrid/>
        <w:spacing w:before="313" w:beforeLines="100" w:after="313" w:afterLines="100" w:line="600" w:lineRule="exact"/>
        <w:jc w:val="both"/>
        <w:textAlignment w:val="auto"/>
        <w:outlineLvl w:val="0"/>
        <w:rPr>
          <w:rFonts w:ascii="仿宋" w:hAnsi="仿宋" w:eastAsia="仿宋"/>
          <w:sz w:val="32"/>
          <w:szCs w:val="32"/>
        </w:rPr>
      </w:pPr>
      <w:r>
        <w:rPr>
          <w:rFonts w:hint="eastAsia" w:ascii="仿宋" w:hAnsi="仿宋" w:eastAsia="仿宋"/>
          <w:b w:val="0"/>
          <w:sz w:val="32"/>
          <w:szCs w:val="32"/>
        </w:rPr>
        <w:t>二、收</w:t>
      </w:r>
      <w:r>
        <w:rPr>
          <w:rStyle w:val="26"/>
          <w:rFonts w:hint="eastAsia" w:ascii="仿宋" w:hAnsi="仿宋" w:eastAsia="仿宋"/>
          <w:b w:val="0"/>
          <w:bCs w:val="0"/>
          <w:sz w:val="32"/>
          <w:szCs w:val="32"/>
        </w:rPr>
        <w:t>入决算表</w:t>
      </w:r>
      <w:bookmarkEnd w:id="56"/>
    </w:p>
    <w:p>
      <w:pPr>
        <w:pStyle w:val="4"/>
        <w:pageBreakBefore w:val="0"/>
        <w:widowControl w:val="0"/>
        <w:kinsoku/>
        <w:wordWrap/>
        <w:overflowPunct/>
        <w:topLinePunct w:val="0"/>
        <w:autoSpaceDE/>
        <w:autoSpaceDN/>
        <w:bidi w:val="0"/>
        <w:adjustRightInd/>
        <w:snapToGrid/>
        <w:spacing w:before="313" w:beforeLines="100" w:after="313" w:afterLines="100" w:line="600" w:lineRule="exact"/>
        <w:textAlignment w:val="auto"/>
        <w:rPr>
          <w:rFonts w:ascii="仿宋" w:hAnsi="仿宋" w:eastAsia="仿宋"/>
          <w:sz w:val="32"/>
          <w:szCs w:val="32"/>
        </w:rPr>
      </w:pPr>
      <w:bookmarkStart w:id="57" w:name="_Toc15396621"/>
      <w:r>
        <w:rPr>
          <w:rStyle w:val="26"/>
          <w:rFonts w:hint="eastAsia" w:ascii="仿宋" w:hAnsi="仿宋" w:eastAsia="仿宋"/>
          <w:b w:val="0"/>
          <w:bCs w:val="0"/>
          <w:sz w:val="32"/>
          <w:szCs w:val="32"/>
        </w:rPr>
        <w:t>三、</w:t>
      </w:r>
      <w:r>
        <w:rPr>
          <w:rFonts w:hint="eastAsia" w:ascii="仿宋" w:hAnsi="仿宋" w:eastAsia="仿宋"/>
          <w:b w:val="0"/>
          <w:sz w:val="32"/>
          <w:szCs w:val="32"/>
        </w:rPr>
        <w:t>支</w:t>
      </w:r>
      <w:r>
        <w:rPr>
          <w:rStyle w:val="26"/>
          <w:rFonts w:hint="eastAsia" w:ascii="仿宋" w:hAnsi="仿宋" w:eastAsia="仿宋"/>
          <w:b w:val="0"/>
          <w:bCs w:val="0"/>
          <w:sz w:val="32"/>
          <w:szCs w:val="32"/>
        </w:rPr>
        <w:t>出决算表</w:t>
      </w:r>
      <w:bookmarkEnd w:id="57"/>
    </w:p>
    <w:p>
      <w:pPr>
        <w:pStyle w:val="4"/>
        <w:pageBreakBefore w:val="0"/>
        <w:widowControl w:val="0"/>
        <w:kinsoku/>
        <w:wordWrap/>
        <w:overflowPunct/>
        <w:topLinePunct w:val="0"/>
        <w:autoSpaceDE/>
        <w:autoSpaceDN/>
        <w:bidi w:val="0"/>
        <w:adjustRightInd/>
        <w:snapToGrid/>
        <w:spacing w:before="313" w:beforeLines="100" w:after="313" w:afterLines="100" w:line="600" w:lineRule="exact"/>
        <w:textAlignment w:val="auto"/>
        <w:rPr>
          <w:rFonts w:ascii="仿宋" w:hAnsi="仿宋" w:eastAsia="仿宋"/>
          <w:b w:val="0"/>
          <w:sz w:val="32"/>
          <w:szCs w:val="32"/>
        </w:rPr>
      </w:pPr>
      <w:bookmarkStart w:id="58" w:name="_Toc15396622"/>
      <w:r>
        <w:rPr>
          <w:rStyle w:val="26"/>
          <w:rFonts w:hint="eastAsia" w:ascii="仿宋" w:hAnsi="仿宋" w:eastAsia="仿宋"/>
          <w:b w:val="0"/>
          <w:bCs w:val="0"/>
          <w:sz w:val="32"/>
          <w:szCs w:val="32"/>
        </w:rPr>
        <w:t>四、</w:t>
      </w:r>
      <w:r>
        <w:rPr>
          <w:rFonts w:hint="eastAsia" w:ascii="仿宋" w:hAnsi="仿宋" w:eastAsia="仿宋"/>
          <w:b w:val="0"/>
          <w:sz w:val="32"/>
          <w:szCs w:val="32"/>
        </w:rPr>
        <w:t>财</w:t>
      </w:r>
      <w:r>
        <w:rPr>
          <w:rStyle w:val="26"/>
          <w:rFonts w:hint="eastAsia" w:ascii="仿宋" w:hAnsi="仿宋" w:eastAsia="仿宋"/>
          <w:b w:val="0"/>
          <w:bCs w:val="0"/>
          <w:sz w:val="32"/>
          <w:szCs w:val="32"/>
        </w:rPr>
        <w:t>政拨款收入支出决算总表</w:t>
      </w:r>
      <w:bookmarkEnd w:id="58"/>
    </w:p>
    <w:p>
      <w:pPr>
        <w:pStyle w:val="4"/>
        <w:pageBreakBefore w:val="0"/>
        <w:widowControl w:val="0"/>
        <w:kinsoku/>
        <w:wordWrap/>
        <w:overflowPunct/>
        <w:topLinePunct w:val="0"/>
        <w:autoSpaceDE/>
        <w:autoSpaceDN/>
        <w:bidi w:val="0"/>
        <w:adjustRightInd/>
        <w:snapToGrid/>
        <w:spacing w:before="313" w:beforeLines="100" w:after="313" w:afterLines="100" w:line="600" w:lineRule="exact"/>
        <w:textAlignment w:val="auto"/>
        <w:rPr>
          <w:rStyle w:val="26"/>
          <w:rFonts w:ascii="仿宋" w:hAnsi="仿宋" w:eastAsia="仿宋"/>
          <w:b w:val="0"/>
          <w:bCs w:val="0"/>
        </w:rPr>
      </w:pPr>
      <w:bookmarkStart w:id="59"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59"/>
      <w:bookmarkStart w:id="60" w:name="_Toc15396624"/>
    </w:p>
    <w:p>
      <w:pPr>
        <w:pStyle w:val="4"/>
        <w:pageBreakBefore w:val="0"/>
        <w:widowControl w:val="0"/>
        <w:kinsoku/>
        <w:wordWrap/>
        <w:overflowPunct/>
        <w:topLinePunct w:val="0"/>
        <w:autoSpaceDE/>
        <w:autoSpaceDN/>
        <w:bidi w:val="0"/>
        <w:adjustRightInd/>
        <w:snapToGrid/>
        <w:spacing w:before="313" w:beforeLines="100" w:after="313" w:afterLines="100" w:line="600" w:lineRule="exact"/>
        <w:textAlignment w:val="auto"/>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0"/>
    </w:p>
    <w:p>
      <w:pPr>
        <w:pStyle w:val="4"/>
        <w:pageBreakBefore w:val="0"/>
        <w:widowControl w:val="0"/>
        <w:kinsoku/>
        <w:wordWrap/>
        <w:overflowPunct/>
        <w:topLinePunct w:val="0"/>
        <w:autoSpaceDE/>
        <w:autoSpaceDN/>
        <w:bidi w:val="0"/>
        <w:adjustRightInd/>
        <w:snapToGrid/>
        <w:spacing w:before="313" w:beforeLines="100" w:after="313" w:afterLines="100" w:line="600" w:lineRule="exact"/>
        <w:textAlignment w:val="auto"/>
        <w:rPr>
          <w:rFonts w:ascii="仿宋" w:hAnsi="仿宋" w:eastAsia="仿宋"/>
        </w:rPr>
      </w:pPr>
      <w:bookmarkStart w:id="61"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1"/>
    </w:p>
    <w:p>
      <w:pPr>
        <w:pStyle w:val="4"/>
        <w:pageBreakBefore w:val="0"/>
        <w:widowControl w:val="0"/>
        <w:kinsoku/>
        <w:wordWrap/>
        <w:overflowPunct/>
        <w:topLinePunct w:val="0"/>
        <w:autoSpaceDE/>
        <w:autoSpaceDN/>
        <w:bidi w:val="0"/>
        <w:adjustRightInd/>
        <w:snapToGrid/>
        <w:spacing w:before="313" w:beforeLines="100" w:after="313" w:afterLines="100" w:line="600" w:lineRule="exact"/>
        <w:textAlignment w:val="auto"/>
        <w:rPr>
          <w:rFonts w:ascii="仿宋" w:hAnsi="仿宋" w:eastAsia="仿宋"/>
        </w:rPr>
      </w:pPr>
      <w:bookmarkStart w:id="62"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2"/>
    </w:p>
    <w:p>
      <w:pPr>
        <w:pStyle w:val="4"/>
        <w:pageBreakBefore w:val="0"/>
        <w:widowControl w:val="0"/>
        <w:kinsoku/>
        <w:wordWrap/>
        <w:overflowPunct/>
        <w:topLinePunct w:val="0"/>
        <w:autoSpaceDE/>
        <w:autoSpaceDN/>
        <w:bidi w:val="0"/>
        <w:adjustRightInd/>
        <w:snapToGrid/>
        <w:spacing w:before="313" w:beforeLines="100" w:after="313" w:afterLines="100" w:line="600" w:lineRule="exact"/>
        <w:textAlignment w:val="auto"/>
        <w:rPr>
          <w:rFonts w:ascii="仿宋" w:hAnsi="仿宋" w:eastAsia="仿宋"/>
        </w:rPr>
      </w:pPr>
      <w:bookmarkStart w:id="63"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3"/>
    </w:p>
    <w:p>
      <w:pPr>
        <w:pStyle w:val="4"/>
        <w:pageBreakBefore w:val="0"/>
        <w:widowControl w:val="0"/>
        <w:kinsoku/>
        <w:wordWrap/>
        <w:overflowPunct/>
        <w:topLinePunct w:val="0"/>
        <w:autoSpaceDE/>
        <w:autoSpaceDN/>
        <w:bidi w:val="0"/>
        <w:adjustRightInd/>
        <w:snapToGrid/>
        <w:spacing w:before="313" w:beforeLines="100" w:after="313" w:afterLines="100" w:line="600" w:lineRule="exact"/>
        <w:textAlignment w:val="auto"/>
        <w:rPr>
          <w:rFonts w:ascii="仿宋" w:hAnsi="仿宋" w:eastAsia="仿宋"/>
        </w:rPr>
      </w:pPr>
      <w:bookmarkStart w:id="64" w:name="_Toc15396628"/>
      <w:r>
        <w:rPr>
          <w:rStyle w:val="26"/>
          <w:rFonts w:hint="eastAsia" w:ascii="仿宋" w:hAnsi="仿宋" w:eastAsia="仿宋"/>
          <w:b w:val="0"/>
          <w:bCs w:val="0"/>
        </w:rPr>
        <w:t>十、</w:t>
      </w:r>
      <w:bookmarkEnd w:id="64"/>
      <w:r>
        <w:rPr>
          <w:rFonts w:hint="eastAsia" w:ascii="仿宋" w:hAnsi="仿宋" w:eastAsia="仿宋"/>
          <w:b w:val="0"/>
        </w:rPr>
        <w:t>政</w:t>
      </w:r>
      <w:r>
        <w:rPr>
          <w:rStyle w:val="26"/>
          <w:rFonts w:hint="eastAsia" w:ascii="仿宋" w:hAnsi="仿宋" w:eastAsia="仿宋"/>
          <w:b w:val="0"/>
          <w:bCs w:val="0"/>
        </w:rPr>
        <w:t>府性基金预算财政拨款收入支出决算表（此表无数据）</w:t>
      </w:r>
    </w:p>
    <w:p>
      <w:pPr>
        <w:pStyle w:val="4"/>
        <w:pageBreakBefore w:val="0"/>
        <w:widowControl w:val="0"/>
        <w:kinsoku/>
        <w:wordWrap/>
        <w:overflowPunct/>
        <w:topLinePunct w:val="0"/>
        <w:autoSpaceDE/>
        <w:autoSpaceDN/>
        <w:bidi w:val="0"/>
        <w:adjustRightInd/>
        <w:snapToGrid/>
        <w:spacing w:before="313" w:beforeLines="100" w:after="313" w:afterLines="100" w:line="600" w:lineRule="exact"/>
        <w:textAlignment w:val="auto"/>
        <w:rPr>
          <w:rFonts w:ascii="仿宋" w:hAnsi="仿宋" w:eastAsia="仿宋"/>
        </w:rPr>
      </w:pPr>
      <w:bookmarkStart w:id="65" w:name="_Toc15396629"/>
      <w:r>
        <w:rPr>
          <w:rStyle w:val="26"/>
          <w:rFonts w:hint="eastAsia" w:ascii="仿宋" w:hAnsi="仿宋" w:eastAsia="仿宋"/>
          <w:b w:val="0"/>
          <w:bCs w:val="0"/>
        </w:rPr>
        <w:t>十一、</w:t>
      </w:r>
      <w:bookmarkEnd w:id="65"/>
      <w:r>
        <w:rPr>
          <w:rFonts w:hint="eastAsia" w:ascii="仿宋" w:hAnsi="仿宋" w:eastAsia="仿宋"/>
          <w:b w:val="0"/>
        </w:rPr>
        <w:t>国</w:t>
      </w:r>
      <w:r>
        <w:rPr>
          <w:rStyle w:val="26"/>
          <w:rFonts w:hint="eastAsia" w:ascii="仿宋" w:hAnsi="仿宋" w:eastAsia="仿宋"/>
          <w:b w:val="0"/>
          <w:bCs w:val="0"/>
        </w:rPr>
        <w:t>有资本经营预算财政拨款收入支出决算表（此表无数据）</w:t>
      </w:r>
    </w:p>
    <w:p>
      <w:pPr>
        <w:pStyle w:val="4"/>
        <w:pageBreakBefore w:val="0"/>
        <w:widowControl w:val="0"/>
        <w:kinsoku/>
        <w:wordWrap/>
        <w:overflowPunct/>
        <w:topLinePunct w:val="0"/>
        <w:autoSpaceDE/>
        <w:autoSpaceDN/>
        <w:bidi w:val="0"/>
        <w:adjustRightInd/>
        <w:snapToGrid/>
        <w:spacing w:before="313" w:beforeLines="100" w:after="313" w:afterLines="100" w:line="600" w:lineRule="exact"/>
        <w:textAlignment w:val="auto"/>
        <w:rPr>
          <w:rFonts w:ascii="仿宋" w:hAnsi="仿宋" w:eastAsia="仿宋"/>
        </w:rPr>
      </w:pPr>
      <w:bookmarkStart w:id="66" w:name="_Toc15396630"/>
      <w:r>
        <w:rPr>
          <w:rStyle w:val="26"/>
          <w:rFonts w:hint="eastAsia" w:ascii="仿宋" w:hAnsi="仿宋" w:eastAsia="仿宋"/>
          <w:b w:val="0"/>
          <w:bCs w:val="0"/>
        </w:rPr>
        <w:t>十二、</w:t>
      </w:r>
      <w:bookmarkEnd w:id="66"/>
      <w:r>
        <w:rPr>
          <w:rStyle w:val="26"/>
          <w:rFonts w:hint="eastAsia" w:ascii="仿宋" w:hAnsi="仿宋" w:eastAsia="仿宋"/>
          <w:b w:val="0"/>
          <w:bCs w:val="0"/>
        </w:rPr>
        <w:t>国有资本经营预算财政拨款支出决算表（此表无数据）</w:t>
      </w:r>
    </w:p>
    <w:p>
      <w:pPr>
        <w:pStyle w:val="4"/>
        <w:pageBreakBefore w:val="0"/>
        <w:widowControl w:val="0"/>
        <w:kinsoku/>
        <w:wordWrap/>
        <w:overflowPunct/>
        <w:topLinePunct w:val="0"/>
        <w:autoSpaceDE/>
        <w:autoSpaceDN/>
        <w:bidi w:val="0"/>
        <w:adjustRightInd/>
        <w:snapToGrid/>
        <w:spacing w:before="313" w:beforeLines="100" w:after="313" w:afterLines="100" w:line="600" w:lineRule="exact"/>
        <w:textAlignment w:val="auto"/>
        <w:rPr>
          <w:rFonts w:eastAsia="仿宋"/>
        </w:rPr>
      </w:pPr>
      <w:bookmarkStart w:id="67" w:name="_Toc15396631"/>
      <w:r>
        <w:rPr>
          <w:rStyle w:val="26"/>
          <w:rFonts w:hint="eastAsia" w:ascii="仿宋" w:hAnsi="仿宋" w:eastAsia="仿宋"/>
          <w:b w:val="0"/>
          <w:bCs w:val="0"/>
        </w:rPr>
        <w:t>十三、</w:t>
      </w:r>
      <w:bookmarkEnd w:id="67"/>
      <w:r>
        <w:rPr>
          <w:rStyle w:val="26"/>
          <w:rFonts w:hint="eastAsia" w:ascii="仿宋" w:hAnsi="仿宋" w:eastAsia="仿宋"/>
          <w:b w:val="0"/>
          <w:bCs w:val="0"/>
        </w:rPr>
        <w:t>财政拨款“三公”经费支出决算表（此表无数据）</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59AA"/>
    <w:rsid w:val="00012E5A"/>
    <w:rsid w:val="000222C6"/>
    <w:rsid w:val="0002549F"/>
    <w:rsid w:val="00042B00"/>
    <w:rsid w:val="000468DB"/>
    <w:rsid w:val="0006487A"/>
    <w:rsid w:val="00065F8F"/>
    <w:rsid w:val="00070A43"/>
    <w:rsid w:val="00071D2A"/>
    <w:rsid w:val="000768F2"/>
    <w:rsid w:val="0009184B"/>
    <w:rsid w:val="00094236"/>
    <w:rsid w:val="0009593C"/>
    <w:rsid w:val="0009691E"/>
    <w:rsid w:val="00097322"/>
    <w:rsid w:val="000A6A92"/>
    <w:rsid w:val="000B047F"/>
    <w:rsid w:val="000B5923"/>
    <w:rsid w:val="000B5A48"/>
    <w:rsid w:val="000B6FF3"/>
    <w:rsid w:val="000C3467"/>
    <w:rsid w:val="000C3CA6"/>
    <w:rsid w:val="000C6635"/>
    <w:rsid w:val="000D1267"/>
    <w:rsid w:val="000D1D50"/>
    <w:rsid w:val="000D5782"/>
    <w:rsid w:val="000E6613"/>
    <w:rsid w:val="000E7119"/>
    <w:rsid w:val="000F194C"/>
    <w:rsid w:val="000F3D30"/>
    <w:rsid w:val="00114E9B"/>
    <w:rsid w:val="00123991"/>
    <w:rsid w:val="00142216"/>
    <w:rsid w:val="00144D6A"/>
    <w:rsid w:val="0014729F"/>
    <w:rsid w:val="001538B0"/>
    <w:rsid w:val="0015757F"/>
    <w:rsid w:val="00157BAB"/>
    <w:rsid w:val="001654D1"/>
    <w:rsid w:val="00166E95"/>
    <w:rsid w:val="00174518"/>
    <w:rsid w:val="0018106D"/>
    <w:rsid w:val="001877A7"/>
    <w:rsid w:val="00191536"/>
    <w:rsid w:val="00196687"/>
    <w:rsid w:val="001A12E8"/>
    <w:rsid w:val="001C0962"/>
    <w:rsid w:val="001C36F6"/>
    <w:rsid w:val="001D7531"/>
    <w:rsid w:val="001E737D"/>
    <w:rsid w:val="001F0592"/>
    <w:rsid w:val="001F62DE"/>
    <w:rsid w:val="001F7506"/>
    <w:rsid w:val="002006CD"/>
    <w:rsid w:val="00202B36"/>
    <w:rsid w:val="00204B7A"/>
    <w:rsid w:val="00204CDE"/>
    <w:rsid w:val="002067C4"/>
    <w:rsid w:val="0020681F"/>
    <w:rsid w:val="0021101A"/>
    <w:rsid w:val="00220536"/>
    <w:rsid w:val="002236B8"/>
    <w:rsid w:val="00224667"/>
    <w:rsid w:val="00235629"/>
    <w:rsid w:val="00252052"/>
    <w:rsid w:val="00260950"/>
    <w:rsid w:val="00260C38"/>
    <w:rsid w:val="00260C9E"/>
    <w:rsid w:val="002616C0"/>
    <w:rsid w:val="00265372"/>
    <w:rsid w:val="002662AA"/>
    <w:rsid w:val="00280496"/>
    <w:rsid w:val="00294DC9"/>
    <w:rsid w:val="00295495"/>
    <w:rsid w:val="002A31DE"/>
    <w:rsid w:val="002B2613"/>
    <w:rsid w:val="002C7E11"/>
    <w:rsid w:val="002D6D05"/>
    <w:rsid w:val="002F1818"/>
    <w:rsid w:val="002F2D0A"/>
    <w:rsid w:val="002F567B"/>
    <w:rsid w:val="003108B3"/>
    <w:rsid w:val="00314F60"/>
    <w:rsid w:val="003216A9"/>
    <w:rsid w:val="00335A74"/>
    <w:rsid w:val="0036561B"/>
    <w:rsid w:val="0037013F"/>
    <w:rsid w:val="003729D7"/>
    <w:rsid w:val="003735C0"/>
    <w:rsid w:val="00380C92"/>
    <w:rsid w:val="003848E7"/>
    <w:rsid w:val="00393043"/>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225DA"/>
    <w:rsid w:val="00434489"/>
    <w:rsid w:val="00437085"/>
    <w:rsid w:val="004437F4"/>
    <w:rsid w:val="00443880"/>
    <w:rsid w:val="004451A5"/>
    <w:rsid w:val="004464F4"/>
    <w:rsid w:val="0045547F"/>
    <w:rsid w:val="00464B39"/>
    <w:rsid w:val="00471401"/>
    <w:rsid w:val="00473F31"/>
    <w:rsid w:val="0048263A"/>
    <w:rsid w:val="00485945"/>
    <w:rsid w:val="00487E5D"/>
    <w:rsid w:val="004A711F"/>
    <w:rsid w:val="004B199D"/>
    <w:rsid w:val="004B4690"/>
    <w:rsid w:val="004D45F2"/>
    <w:rsid w:val="004E0A2D"/>
    <w:rsid w:val="004E206B"/>
    <w:rsid w:val="004E6DF7"/>
    <w:rsid w:val="004F0FBD"/>
    <w:rsid w:val="00505A47"/>
    <w:rsid w:val="00512FDA"/>
    <w:rsid w:val="00516EA9"/>
    <w:rsid w:val="00520DA0"/>
    <w:rsid w:val="00531097"/>
    <w:rsid w:val="005664BB"/>
    <w:rsid w:val="00566FFA"/>
    <w:rsid w:val="005722CB"/>
    <w:rsid w:val="0057481D"/>
    <w:rsid w:val="005760F4"/>
    <w:rsid w:val="0058486E"/>
    <w:rsid w:val="00585B33"/>
    <w:rsid w:val="00587FFB"/>
    <w:rsid w:val="0059014D"/>
    <w:rsid w:val="005A049A"/>
    <w:rsid w:val="005B06F6"/>
    <w:rsid w:val="005B4C95"/>
    <w:rsid w:val="005B5C64"/>
    <w:rsid w:val="005B657C"/>
    <w:rsid w:val="005C5337"/>
    <w:rsid w:val="005C6BD0"/>
    <w:rsid w:val="005D1C8B"/>
    <w:rsid w:val="005D468D"/>
    <w:rsid w:val="005D5CED"/>
    <w:rsid w:val="005F1A4C"/>
    <w:rsid w:val="00605688"/>
    <w:rsid w:val="006070AF"/>
    <w:rsid w:val="00607E6C"/>
    <w:rsid w:val="006101B1"/>
    <w:rsid w:val="00614E44"/>
    <w:rsid w:val="006173C1"/>
    <w:rsid w:val="0062270A"/>
    <w:rsid w:val="00622830"/>
    <w:rsid w:val="00622849"/>
    <w:rsid w:val="00623DA0"/>
    <w:rsid w:val="00630AEF"/>
    <w:rsid w:val="006325F8"/>
    <w:rsid w:val="00633463"/>
    <w:rsid w:val="00634C9A"/>
    <w:rsid w:val="006440E4"/>
    <w:rsid w:val="00660AF3"/>
    <w:rsid w:val="0066343B"/>
    <w:rsid w:val="00663D9E"/>
    <w:rsid w:val="00664777"/>
    <w:rsid w:val="006748A4"/>
    <w:rsid w:val="00681A31"/>
    <w:rsid w:val="00683E73"/>
    <w:rsid w:val="006A3141"/>
    <w:rsid w:val="006A5E34"/>
    <w:rsid w:val="006B2422"/>
    <w:rsid w:val="006B2B9A"/>
    <w:rsid w:val="006C1937"/>
    <w:rsid w:val="006D344D"/>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A3713"/>
    <w:rsid w:val="007B6A14"/>
    <w:rsid w:val="007D1682"/>
    <w:rsid w:val="007D19A7"/>
    <w:rsid w:val="007D312A"/>
    <w:rsid w:val="007D3F19"/>
    <w:rsid w:val="007D481F"/>
    <w:rsid w:val="007E23B0"/>
    <w:rsid w:val="007E23E5"/>
    <w:rsid w:val="007F1991"/>
    <w:rsid w:val="007F2C2F"/>
    <w:rsid w:val="007F55FC"/>
    <w:rsid w:val="007F5665"/>
    <w:rsid w:val="00800112"/>
    <w:rsid w:val="00813348"/>
    <w:rsid w:val="008253BB"/>
    <w:rsid w:val="00833CA2"/>
    <w:rsid w:val="0083706E"/>
    <w:rsid w:val="008408F6"/>
    <w:rsid w:val="008423A5"/>
    <w:rsid w:val="008460DF"/>
    <w:rsid w:val="00850625"/>
    <w:rsid w:val="00853718"/>
    <w:rsid w:val="00855221"/>
    <w:rsid w:val="00860645"/>
    <w:rsid w:val="00871F71"/>
    <w:rsid w:val="00872FD8"/>
    <w:rsid w:val="00885AF4"/>
    <w:rsid w:val="008939CD"/>
    <w:rsid w:val="008B15FE"/>
    <w:rsid w:val="008B3CF4"/>
    <w:rsid w:val="008B768C"/>
    <w:rsid w:val="008C302D"/>
    <w:rsid w:val="008C4DB1"/>
    <w:rsid w:val="008C4EAF"/>
    <w:rsid w:val="008C5176"/>
    <w:rsid w:val="008C7FD0"/>
    <w:rsid w:val="008D6DE4"/>
    <w:rsid w:val="008E1238"/>
    <w:rsid w:val="008E1DE7"/>
    <w:rsid w:val="008E707C"/>
    <w:rsid w:val="008F26B8"/>
    <w:rsid w:val="00900B08"/>
    <w:rsid w:val="00902155"/>
    <w:rsid w:val="00902FA3"/>
    <w:rsid w:val="00903E04"/>
    <w:rsid w:val="00916FE2"/>
    <w:rsid w:val="00923564"/>
    <w:rsid w:val="0092392E"/>
    <w:rsid w:val="009315F9"/>
    <w:rsid w:val="00933499"/>
    <w:rsid w:val="00935C98"/>
    <w:rsid w:val="00945716"/>
    <w:rsid w:val="00946945"/>
    <w:rsid w:val="00951248"/>
    <w:rsid w:val="0095152F"/>
    <w:rsid w:val="00954C49"/>
    <w:rsid w:val="00955E37"/>
    <w:rsid w:val="009641D5"/>
    <w:rsid w:val="0097099F"/>
    <w:rsid w:val="00971997"/>
    <w:rsid w:val="00971FFC"/>
    <w:rsid w:val="0097347C"/>
    <w:rsid w:val="00980214"/>
    <w:rsid w:val="0098660A"/>
    <w:rsid w:val="009931C3"/>
    <w:rsid w:val="009B2C43"/>
    <w:rsid w:val="009B4EAE"/>
    <w:rsid w:val="009B7573"/>
    <w:rsid w:val="009C22F4"/>
    <w:rsid w:val="009C2A4B"/>
    <w:rsid w:val="009C2E98"/>
    <w:rsid w:val="009D1B75"/>
    <w:rsid w:val="009D3447"/>
    <w:rsid w:val="009D4711"/>
    <w:rsid w:val="009E3FE0"/>
    <w:rsid w:val="009F1185"/>
    <w:rsid w:val="009F18CD"/>
    <w:rsid w:val="009F2A13"/>
    <w:rsid w:val="009F7527"/>
    <w:rsid w:val="00A04EB0"/>
    <w:rsid w:val="00A13CC1"/>
    <w:rsid w:val="00A1430E"/>
    <w:rsid w:val="00A16847"/>
    <w:rsid w:val="00A237D8"/>
    <w:rsid w:val="00A268C4"/>
    <w:rsid w:val="00A301C3"/>
    <w:rsid w:val="00A307CD"/>
    <w:rsid w:val="00A331C8"/>
    <w:rsid w:val="00A35860"/>
    <w:rsid w:val="00A40A00"/>
    <w:rsid w:val="00A4142F"/>
    <w:rsid w:val="00A422EB"/>
    <w:rsid w:val="00A44A2E"/>
    <w:rsid w:val="00A45BB7"/>
    <w:rsid w:val="00A56DF2"/>
    <w:rsid w:val="00A56E6E"/>
    <w:rsid w:val="00A66594"/>
    <w:rsid w:val="00A67AB5"/>
    <w:rsid w:val="00A70565"/>
    <w:rsid w:val="00A733B2"/>
    <w:rsid w:val="00A741C2"/>
    <w:rsid w:val="00A902EE"/>
    <w:rsid w:val="00A91760"/>
    <w:rsid w:val="00A93B00"/>
    <w:rsid w:val="00A93C21"/>
    <w:rsid w:val="00AA6EE6"/>
    <w:rsid w:val="00AB64C9"/>
    <w:rsid w:val="00AC3C6A"/>
    <w:rsid w:val="00AD54C1"/>
    <w:rsid w:val="00AD5620"/>
    <w:rsid w:val="00AD656B"/>
    <w:rsid w:val="00AD7B01"/>
    <w:rsid w:val="00AD7C1B"/>
    <w:rsid w:val="00AE16BA"/>
    <w:rsid w:val="00AE1EBE"/>
    <w:rsid w:val="00B03C9D"/>
    <w:rsid w:val="00B060AE"/>
    <w:rsid w:val="00B10517"/>
    <w:rsid w:val="00B14E76"/>
    <w:rsid w:val="00B161B8"/>
    <w:rsid w:val="00B2048C"/>
    <w:rsid w:val="00B261A0"/>
    <w:rsid w:val="00B310B9"/>
    <w:rsid w:val="00B35F3F"/>
    <w:rsid w:val="00B36CBB"/>
    <w:rsid w:val="00B425E0"/>
    <w:rsid w:val="00B440AA"/>
    <w:rsid w:val="00B44B70"/>
    <w:rsid w:val="00B53C56"/>
    <w:rsid w:val="00B57C4A"/>
    <w:rsid w:val="00B57DAF"/>
    <w:rsid w:val="00B77EA6"/>
    <w:rsid w:val="00B81598"/>
    <w:rsid w:val="00B841F1"/>
    <w:rsid w:val="00B944D6"/>
    <w:rsid w:val="00B95724"/>
    <w:rsid w:val="00BB4DF0"/>
    <w:rsid w:val="00BC289F"/>
    <w:rsid w:val="00BC2D50"/>
    <w:rsid w:val="00BC5361"/>
    <w:rsid w:val="00BC5460"/>
    <w:rsid w:val="00BC6B50"/>
    <w:rsid w:val="00BD0E25"/>
    <w:rsid w:val="00BF4345"/>
    <w:rsid w:val="00BF5BD6"/>
    <w:rsid w:val="00C03E31"/>
    <w:rsid w:val="00C33E72"/>
    <w:rsid w:val="00C354B2"/>
    <w:rsid w:val="00C35554"/>
    <w:rsid w:val="00C368BD"/>
    <w:rsid w:val="00C42709"/>
    <w:rsid w:val="00C45523"/>
    <w:rsid w:val="00C533CC"/>
    <w:rsid w:val="00C5751C"/>
    <w:rsid w:val="00C61BFC"/>
    <w:rsid w:val="00C62B85"/>
    <w:rsid w:val="00C65438"/>
    <w:rsid w:val="00C7524A"/>
    <w:rsid w:val="00C87FD8"/>
    <w:rsid w:val="00C91381"/>
    <w:rsid w:val="00C91CBB"/>
    <w:rsid w:val="00CB4E70"/>
    <w:rsid w:val="00CC09B6"/>
    <w:rsid w:val="00CC666F"/>
    <w:rsid w:val="00CD1303"/>
    <w:rsid w:val="00CD1E3F"/>
    <w:rsid w:val="00CD36D0"/>
    <w:rsid w:val="00CE44F6"/>
    <w:rsid w:val="00CE49DA"/>
    <w:rsid w:val="00CE7B61"/>
    <w:rsid w:val="00D00095"/>
    <w:rsid w:val="00D114F0"/>
    <w:rsid w:val="00D20620"/>
    <w:rsid w:val="00D235FB"/>
    <w:rsid w:val="00D254F7"/>
    <w:rsid w:val="00D26091"/>
    <w:rsid w:val="00D2685C"/>
    <w:rsid w:val="00D34E7C"/>
    <w:rsid w:val="00D35489"/>
    <w:rsid w:val="00D36AFE"/>
    <w:rsid w:val="00D51276"/>
    <w:rsid w:val="00D7035F"/>
    <w:rsid w:val="00D73449"/>
    <w:rsid w:val="00DA5D82"/>
    <w:rsid w:val="00DA634F"/>
    <w:rsid w:val="00DA65AC"/>
    <w:rsid w:val="00DB1913"/>
    <w:rsid w:val="00DB5C71"/>
    <w:rsid w:val="00DC410D"/>
    <w:rsid w:val="00DC5A81"/>
    <w:rsid w:val="00DC68CA"/>
    <w:rsid w:val="00DC7CBA"/>
    <w:rsid w:val="00DD73B7"/>
    <w:rsid w:val="00DE0D6A"/>
    <w:rsid w:val="00DF28BC"/>
    <w:rsid w:val="00DF34B9"/>
    <w:rsid w:val="00E01053"/>
    <w:rsid w:val="00E07ACF"/>
    <w:rsid w:val="00E331A1"/>
    <w:rsid w:val="00E33202"/>
    <w:rsid w:val="00E336A9"/>
    <w:rsid w:val="00E472B1"/>
    <w:rsid w:val="00E50624"/>
    <w:rsid w:val="00E568DF"/>
    <w:rsid w:val="00E64269"/>
    <w:rsid w:val="00E7688C"/>
    <w:rsid w:val="00E82267"/>
    <w:rsid w:val="00E853CE"/>
    <w:rsid w:val="00E867B6"/>
    <w:rsid w:val="00EA010F"/>
    <w:rsid w:val="00EB6ED7"/>
    <w:rsid w:val="00ED1B63"/>
    <w:rsid w:val="00ED3C1F"/>
    <w:rsid w:val="00ED4085"/>
    <w:rsid w:val="00ED420E"/>
    <w:rsid w:val="00ED6FBE"/>
    <w:rsid w:val="00EE2F57"/>
    <w:rsid w:val="00EF4C34"/>
    <w:rsid w:val="00EF77C6"/>
    <w:rsid w:val="00F03D43"/>
    <w:rsid w:val="00F05438"/>
    <w:rsid w:val="00F1361C"/>
    <w:rsid w:val="00F156F0"/>
    <w:rsid w:val="00F160C7"/>
    <w:rsid w:val="00F2408F"/>
    <w:rsid w:val="00F240E9"/>
    <w:rsid w:val="00F36D8F"/>
    <w:rsid w:val="00F417B1"/>
    <w:rsid w:val="00F45853"/>
    <w:rsid w:val="00F602DF"/>
    <w:rsid w:val="00F64DFF"/>
    <w:rsid w:val="00F754A1"/>
    <w:rsid w:val="00F760DF"/>
    <w:rsid w:val="00F81FD9"/>
    <w:rsid w:val="00F841AA"/>
    <w:rsid w:val="00F84A94"/>
    <w:rsid w:val="00F87E96"/>
    <w:rsid w:val="00FA23E8"/>
    <w:rsid w:val="00FD3CC1"/>
    <w:rsid w:val="00FE6C39"/>
    <w:rsid w:val="00FF1E02"/>
    <w:rsid w:val="00FF30B4"/>
    <w:rsid w:val="053A62B5"/>
    <w:rsid w:val="0A2032A3"/>
    <w:rsid w:val="0B8A37D8"/>
    <w:rsid w:val="10C055FF"/>
    <w:rsid w:val="118107EC"/>
    <w:rsid w:val="11DD6519"/>
    <w:rsid w:val="16BB723D"/>
    <w:rsid w:val="18015F3F"/>
    <w:rsid w:val="1BE8440E"/>
    <w:rsid w:val="1D0F469D"/>
    <w:rsid w:val="1D155CEE"/>
    <w:rsid w:val="20F57F95"/>
    <w:rsid w:val="240371BF"/>
    <w:rsid w:val="25711CC6"/>
    <w:rsid w:val="25C741E6"/>
    <w:rsid w:val="27842671"/>
    <w:rsid w:val="29FD04D3"/>
    <w:rsid w:val="2ABE7A3E"/>
    <w:rsid w:val="2CA234A8"/>
    <w:rsid w:val="2D7E334B"/>
    <w:rsid w:val="2DBC0EF9"/>
    <w:rsid w:val="2EFA178C"/>
    <w:rsid w:val="2FFF02C7"/>
    <w:rsid w:val="30B46D73"/>
    <w:rsid w:val="319F7F4E"/>
    <w:rsid w:val="383D272C"/>
    <w:rsid w:val="39AE70AB"/>
    <w:rsid w:val="3C0C0783"/>
    <w:rsid w:val="3EFE0A70"/>
    <w:rsid w:val="3F9F3A96"/>
    <w:rsid w:val="48BF60AB"/>
    <w:rsid w:val="493C27E9"/>
    <w:rsid w:val="496F39ED"/>
    <w:rsid w:val="49FF41D3"/>
    <w:rsid w:val="4BE068DB"/>
    <w:rsid w:val="4BF6002B"/>
    <w:rsid w:val="4ECE2238"/>
    <w:rsid w:val="51DB4B86"/>
    <w:rsid w:val="55333C3E"/>
    <w:rsid w:val="63B317F3"/>
    <w:rsid w:val="64CA39A1"/>
    <w:rsid w:val="69630ADE"/>
    <w:rsid w:val="6C4A05C8"/>
    <w:rsid w:val="6D3B1A89"/>
    <w:rsid w:val="71BF4EC2"/>
    <w:rsid w:val="72734D90"/>
    <w:rsid w:val="7412278C"/>
    <w:rsid w:val="79E7B28D"/>
    <w:rsid w:val="7F7D7A88"/>
    <w:rsid w:val="7F9F20EE"/>
    <w:rsid w:val="9E3A10E2"/>
    <w:rsid w:val="DED864CF"/>
    <w:rsid w:val="F2E1F9D4"/>
    <w:rsid w:val="F7880819"/>
    <w:rsid w:val="FA7F35B1"/>
    <w:rsid w:val="FAB57BB7"/>
    <w:rsid w:val="FCF579B9"/>
    <w:rsid w:val="FFB7E74C"/>
    <w:rsid w:val="FFBD0A8D"/>
    <w:rsid w:val="FFBF7D2B"/>
    <w:rsid w:val="FFEFC9B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pPr>
      <w:widowControl/>
      <w:spacing w:beforeAutospacing="1" w:afterAutospacing="1"/>
      <w:jc w:val="left"/>
    </w:pPr>
    <w:rPr>
      <w:rFonts w:hint="eastAsia" w:ascii="宋体" w:hAnsi="宋体"/>
      <w:kern w:val="0"/>
      <w:sz w:val="24"/>
      <w:szCs w:val="21"/>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正文 + 行距: 固定值 30 磅"/>
    <w:basedOn w:val="1"/>
    <w:qFormat/>
    <w:uiPriority w:val="0"/>
    <w:pPr>
      <w:spacing w:line="600" w:lineRule="exact"/>
      <w:ind w:firstLine="200" w:firstLineChars="200"/>
    </w:pPr>
    <w:rPr>
      <w:rFonts w:ascii="仿宋_GB2312"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981459200000009"/>
          <c:y val="0.1697507"/>
          <c:w val="0.700895850000006"/>
          <c:h val="0.7094901"/>
        </c:manualLayout>
      </c:layout>
      <c:barChart>
        <c:barDir val="col"/>
        <c:grouping val="clustered"/>
        <c:varyColors val="false"/>
        <c:ser>
          <c:idx val="0"/>
          <c:order val="0"/>
          <c:tx>
            <c:strRef>
              <c:f>Sheet1!$B$1</c:f>
              <c:strCache>
                <c:ptCount val="1"/>
                <c:pt idx="0">
                  <c:v>2021年</c:v>
                </c:pt>
              </c:strCache>
            </c:strRef>
          </c:tx>
          <c:spPr>
            <a:solidFill>
              <a:srgbClr val="5B9BD5"/>
            </a:solidFill>
            <a:ln>
              <a:noFill/>
            </a:ln>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总收入</c:v>
                </c:pt>
                <c:pt idx="1">
                  <c:v>总支出</c:v>
                </c:pt>
              </c:strCache>
            </c:strRef>
          </c:cat>
          <c:val>
            <c:numRef>
              <c:f>Sheet1!$B$2:$B$3</c:f>
              <c:numCache>
                <c:formatCode>General</c:formatCode>
                <c:ptCount val="2"/>
                <c:pt idx="0">
                  <c:v>7487.24</c:v>
                </c:pt>
                <c:pt idx="1">
                  <c:v>7487.24</c:v>
                </c:pt>
              </c:numCache>
            </c:numRef>
          </c:val>
        </c:ser>
        <c:ser>
          <c:idx val="1"/>
          <c:order val="1"/>
          <c:tx>
            <c:strRef>
              <c:f>Sheet1!$C$1</c:f>
              <c:strCache>
                <c:ptCount val="1"/>
                <c:pt idx="0">
                  <c:v>2022年</c:v>
                </c:pt>
              </c:strCache>
            </c:strRef>
          </c:tx>
          <c:spPr>
            <a:solidFill>
              <a:srgbClr val="ED7D31"/>
            </a:solidFill>
            <a:ln>
              <a:noFill/>
            </a:ln>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总收入</c:v>
                </c:pt>
                <c:pt idx="1">
                  <c:v>总支出</c:v>
                </c:pt>
              </c:strCache>
            </c:strRef>
          </c:cat>
          <c:val>
            <c:numRef>
              <c:f>Sheet1!$C$2:$C$3</c:f>
              <c:numCache>
                <c:formatCode>General</c:formatCode>
                <c:ptCount val="2"/>
                <c:pt idx="0">
                  <c:v>6015.95</c:v>
                </c:pt>
                <c:pt idx="1">
                  <c:v>6015.95</c:v>
                </c:pt>
              </c:numCache>
            </c:numRef>
          </c:val>
        </c:ser>
        <c:dLbls>
          <c:showLegendKey val="false"/>
          <c:showVal val="true"/>
          <c:showCatName val="false"/>
          <c:showSerName val="false"/>
          <c:showPercent val="false"/>
          <c:showBubbleSize val="false"/>
        </c:dLbls>
        <c:gapWidth val="150"/>
        <c:axId val="144094336"/>
        <c:axId val="144244736"/>
      </c:barChart>
      <c:catAx>
        <c:axId val="144094336"/>
        <c:scaling>
          <c:orientation val="minMax"/>
        </c:scaling>
        <c:delete val="false"/>
        <c:axPos val="b"/>
        <c:numFmt formatCode="General" sourceLinked="false"/>
        <c:majorTickMark val="out"/>
        <c:minorTickMark val="none"/>
        <c:tickLblPos val="nextTo"/>
        <c:txPr>
          <a:bodyPr rot="-60000000" spcFirstLastPara="0" vertOverflow="ellipsis" vert="horz" wrap="square"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crossAx val="144244736"/>
        <c:crosses val="autoZero"/>
        <c:auto val="true"/>
        <c:lblAlgn val="ctr"/>
        <c:lblOffset val="100"/>
        <c:noMultiLvlLbl val="false"/>
      </c:catAx>
      <c:valAx>
        <c:axId val="144244736"/>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crossAx val="144094336"/>
        <c:crossesAt val="1"/>
        <c:crossBetween val="between"/>
      </c:valAx>
      <c:spPr>
        <a:solidFill>
          <a:srgbClr val="FFFFFF"/>
        </a:solidFill>
      </c:spPr>
    </c:plotArea>
    <c:legend>
      <c:legendPos val="r"/>
      <c:layout>
        <c:manualLayout>
          <c:xMode val="edge"/>
          <c:yMode val="edge"/>
          <c:x val="0.8520155"/>
          <c:y val="0.422582270000003"/>
          <c:w val="0.111866005"/>
          <c:h val="0.166063590000001"/>
        </c:manualLayout>
      </c:layout>
      <c:overlay val="false"/>
      <c:spPr>
        <a:noFill/>
        <a:ln>
          <a:noFill/>
        </a:ln>
      </c:spPr>
      <c:txPr>
        <a:bodyPr rot="0" spcFirstLastPara="0" vertOverflow="ellipsis" vert="horz" wrap="square"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true"/>
    <c:dispBlanksAs val="gap"/>
    <c:showDLblsOverMax val="false"/>
  </c:chart>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收入决算结构图</a:t>
            </a:r>
            <a:endParaRPr lang="zh-CN"/>
          </a:p>
        </c:rich>
      </c:tx>
      <c:layout/>
      <c:overlay val="false"/>
      <c:spPr>
        <a:ln>
          <a:noFill/>
        </a:ln>
      </c:spPr>
    </c:title>
    <c:autoTitleDeleted val="false"/>
    <c:plotArea>
      <c:layout/>
      <c:pieChart>
        <c:varyColors val="true"/>
        <c:ser>
          <c:idx val="0"/>
          <c:order val="0"/>
          <c:tx>
            <c:strRef>
              <c:f>'Sheet1 (2)'!$B$1</c:f>
              <c:strCache>
                <c:ptCount val="1"/>
                <c:pt idx="0">
                  <c:v>收入决算结构图</c:v>
                </c:pt>
              </c:strCache>
            </c:strRef>
          </c:tx>
          <c:spPr>
            <a:ln>
              <a:noFill/>
            </a:ln>
          </c:spPr>
          <c:explosion val="0"/>
          <c:dPt>
            <c:idx val="0"/>
            <c:bubble3D val="false"/>
            <c:spPr>
              <a:solidFill>
                <a:srgbClr val="C9C9C9"/>
              </a:solidFill>
            </c:spPr>
          </c:dPt>
          <c:dPt>
            <c:idx val="1"/>
            <c:bubble3D val="false"/>
            <c:spPr>
              <a:solidFill>
                <a:srgbClr val="C0504D"/>
              </a:solidFill>
            </c:spPr>
          </c:dPt>
          <c:dPt>
            <c:idx val="2"/>
            <c:bubble3D val="false"/>
            <c:spPr>
              <a:solidFill>
                <a:srgbClr val="2E75B6"/>
              </a:solidFill>
            </c:spPr>
          </c:dPt>
          <c:dPt>
            <c:idx val="3"/>
            <c:bubble3D val="false"/>
            <c:spPr>
              <a:solidFill>
                <a:srgbClr val="8064A2"/>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 (2)'!$A$2:$A$5</c:f>
              <c:strCache>
                <c:ptCount val="4"/>
                <c:pt idx="0">
                  <c:v>一般公共预算财政拨款收入</c:v>
                </c:pt>
                <c:pt idx="1">
                  <c:v>政府性基金预算财政拨款收入</c:v>
                </c:pt>
                <c:pt idx="2">
                  <c:v>事业收入</c:v>
                </c:pt>
                <c:pt idx="3">
                  <c:v>其他收入</c:v>
                </c:pt>
              </c:strCache>
            </c:strRef>
          </c:cat>
          <c:val>
            <c:numRef>
              <c:f>'Sheet1 (2)'!$B$2:$B$5</c:f>
              <c:numCache>
                <c:formatCode>General</c:formatCode>
                <c:ptCount val="4"/>
                <c:pt idx="0">
                  <c:v>1299.38</c:v>
                </c:pt>
                <c:pt idx="1">
                  <c:v>0</c:v>
                </c:pt>
                <c:pt idx="2">
                  <c:v>1729.34</c:v>
                </c:pt>
                <c:pt idx="3">
                  <c:v>810.31</c:v>
                </c:pt>
              </c:numCache>
            </c:numRef>
          </c:val>
        </c:ser>
        <c:dLbls>
          <c:showLegendKey val="false"/>
          <c:showVal val="true"/>
          <c:showCatName val="false"/>
          <c:showSerName val="false"/>
          <c:showPercent val="false"/>
          <c:showBubbleSize val="false"/>
          <c:showLeaderLines val="true"/>
        </c:dLbls>
        <c:firstSliceAng val="0"/>
      </c:pieChart>
      <c:spPr>
        <a:noFill/>
      </c:spPr>
    </c:plotArea>
    <c:legend>
      <c:legendPos val="r"/>
      <c:layout/>
      <c:overlay val="false"/>
      <c:spPr>
        <a:noFill/>
        <a:ln>
          <a:noFill/>
        </a:ln>
      </c:spPr>
      <c:txPr>
        <a:bodyPr rot="0" spcFirstLastPara="0" vertOverflow="ellipsis" vert="horz" wrap="square"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true"/>
    <c:dispBlanksAs val="zero"/>
    <c:showDLblsOverMax val="false"/>
  </c:chart>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支出决算结构图</a:t>
            </a:r>
            <a:endParaRPr lang="zh-CN"/>
          </a:p>
        </c:rich>
      </c:tx>
      <c:layout/>
      <c:overlay val="false"/>
      <c:spPr>
        <a:ln>
          <a:noFill/>
        </a:ln>
      </c:spPr>
    </c:title>
    <c:autoTitleDeleted val="false"/>
    <c:plotArea>
      <c:layout/>
      <c:pieChart>
        <c:varyColors val="true"/>
        <c:ser>
          <c:idx val="0"/>
          <c:order val="0"/>
          <c:tx>
            <c:strRef>
              <c:f>'Sheet1 (3)'!$B$1</c:f>
              <c:strCache>
                <c:ptCount val="1"/>
                <c:pt idx="0">
                  <c:v>支出决算结构图</c:v>
                </c:pt>
              </c:strCache>
            </c:strRef>
          </c:tx>
          <c:spPr>
            <a:ln>
              <a:noFill/>
            </a:ln>
          </c:spPr>
          <c:explosion val="0"/>
          <c:dPt>
            <c:idx val="0"/>
            <c:bubble3D val="false"/>
            <c:spPr>
              <a:solidFill>
                <a:srgbClr val="5B9BD5"/>
              </a:solidFill>
            </c:spPr>
          </c:dPt>
          <c:dPt>
            <c:idx val="1"/>
            <c:bubble3D val="false"/>
            <c:spPr>
              <a:solidFill>
                <a:srgbClr val="ED7D31"/>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 (3)'!$A$2:$A$3</c:f>
              <c:strCache>
                <c:ptCount val="2"/>
                <c:pt idx="0">
                  <c:v>基本支出</c:v>
                </c:pt>
                <c:pt idx="1">
                  <c:v>项目支出</c:v>
                </c:pt>
              </c:strCache>
            </c:strRef>
          </c:cat>
          <c:val>
            <c:numRef>
              <c:f>'Sheet1 (3)'!$B$2:$B$3</c:f>
              <c:numCache>
                <c:formatCode>General</c:formatCode>
                <c:ptCount val="2"/>
                <c:pt idx="0">
                  <c:v>4847.04</c:v>
                </c:pt>
                <c:pt idx="1">
                  <c:v>1168.92</c:v>
                </c:pt>
              </c:numCache>
            </c:numRef>
          </c:val>
        </c:ser>
        <c:dLbls>
          <c:showLegendKey val="false"/>
          <c:showVal val="true"/>
          <c:showCatName val="false"/>
          <c:showSerName val="false"/>
          <c:showPercent val="false"/>
          <c:showBubbleSize val="false"/>
          <c:showLeaderLines val="true"/>
        </c:dLbls>
        <c:firstSliceAng val="0"/>
      </c:pieChart>
      <c:spPr>
        <a:noFill/>
      </c:spPr>
    </c:plotArea>
    <c:legend>
      <c:legendPos val="r"/>
      <c:layout/>
      <c:overlay val="false"/>
      <c:spPr>
        <a:noFill/>
        <a:ln>
          <a:noFill/>
        </a:ln>
      </c:spPr>
      <c:txPr>
        <a:bodyPr rot="0" spcFirstLastPara="0" vertOverflow="ellipsis" vert="horz" wrap="square"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true"/>
    <c:dispBlanksAs val="zero"/>
    <c:showDLblsOverMax val="false"/>
  </c:chart>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 (4)'!$B$1</c:f>
              <c:strCache>
                <c:ptCount val="1"/>
                <c:pt idx="0">
                  <c:v>2021年</c:v>
                </c:pt>
              </c:strCache>
            </c:strRef>
          </c:tx>
          <c:spPr>
            <a:solidFill>
              <a:srgbClr val="5B9BD5"/>
            </a:solidFill>
            <a:ln>
              <a:noFill/>
            </a:ln>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 (4)'!$A$2:$A$3</c:f>
              <c:strCache>
                <c:ptCount val="2"/>
                <c:pt idx="0">
                  <c:v>财政拨款收入</c:v>
                </c:pt>
                <c:pt idx="1">
                  <c:v>财政拨款支出</c:v>
                </c:pt>
              </c:strCache>
            </c:strRef>
          </c:cat>
          <c:val>
            <c:numRef>
              <c:f>'Sheet1 (4)'!$B$2:$B$3</c:f>
              <c:numCache>
                <c:formatCode>General</c:formatCode>
                <c:ptCount val="2"/>
                <c:pt idx="0">
                  <c:v>3077.12</c:v>
                </c:pt>
                <c:pt idx="1">
                  <c:v>3077.12</c:v>
                </c:pt>
              </c:numCache>
            </c:numRef>
          </c:val>
        </c:ser>
        <c:ser>
          <c:idx val="1"/>
          <c:order val="1"/>
          <c:tx>
            <c:strRef>
              <c:f>'Sheet1 (4)'!$C$1</c:f>
              <c:strCache>
                <c:ptCount val="1"/>
                <c:pt idx="0">
                  <c:v>2022年</c:v>
                </c:pt>
              </c:strCache>
            </c:strRef>
          </c:tx>
          <c:spPr>
            <a:solidFill>
              <a:srgbClr val="ED7D31"/>
            </a:solidFill>
            <a:ln>
              <a:noFill/>
            </a:ln>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 (4)'!$A$2:$A$3</c:f>
              <c:strCache>
                <c:ptCount val="2"/>
                <c:pt idx="0">
                  <c:v>财政拨款收入</c:v>
                </c:pt>
                <c:pt idx="1">
                  <c:v>财政拨款支出</c:v>
                </c:pt>
              </c:strCache>
            </c:strRef>
          </c:cat>
          <c:val>
            <c:numRef>
              <c:f>'Sheet1 (4)'!$C$2:$C$3</c:f>
              <c:numCache>
                <c:formatCode>General</c:formatCode>
                <c:ptCount val="2"/>
                <c:pt idx="0">
                  <c:v>2042.03</c:v>
                </c:pt>
                <c:pt idx="1">
                  <c:v>2042.03</c:v>
                </c:pt>
              </c:numCache>
            </c:numRef>
          </c:val>
        </c:ser>
        <c:dLbls>
          <c:showLegendKey val="false"/>
          <c:showVal val="true"/>
          <c:showCatName val="false"/>
          <c:showSerName val="false"/>
          <c:showPercent val="false"/>
          <c:showBubbleSize val="false"/>
        </c:dLbls>
        <c:gapWidth val="150"/>
        <c:axId val="234506880"/>
        <c:axId val="234516864"/>
      </c:barChart>
      <c:catAx>
        <c:axId val="234506880"/>
        <c:scaling>
          <c:orientation val="minMax"/>
        </c:scaling>
        <c:delete val="false"/>
        <c:axPos val="b"/>
        <c:numFmt formatCode="General" sourceLinked="false"/>
        <c:majorTickMark val="out"/>
        <c:minorTickMark val="none"/>
        <c:tickLblPos val="nextTo"/>
        <c:txPr>
          <a:bodyPr rot="-60000000" spcFirstLastPara="0" vertOverflow="ellipsis" vert="horz" wrap="square"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crossAx val="234516864"/>
        <c:crosses val="autoZero"/>
        <c:auto val="true"/>
        <c:lblAlgn val="ctr"/>
        <c:lblOffset val="100"/>
        <c:noMultiLvlLbl val="false"/>
      </c:catAx>
      <c:valAx>
        <c:axId val="234516864"/>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crossAx val="234506880"/>
        <c:crossesAt val="1"/>
        <c:crossBetween val="between"/>
      </c:valAx>
      <c:spPr>
        <a:solidFill>
          <a:srgbClr val="FFFFFF"/>
        </a:solidFill>
      </c:spPr>
    </c:plotArea>
    <c:legend>
      <c:legendPos val="r"/>
      <c:layout/>
      <c:overlay val="false"/>
      <c:spPr>
        <a:noFill/>
        <a:ln>
          <a:noFill/>
        </a:ln>
      </c:spPr>
      <c:txPr>
        <a:bodyPr rot="0" spcFirstLastPara="0" vertOverflow="ellipsis" vert="horz" wrap="square"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true"/>
    <c:dispBlanksAs val="gap"/>
    <c:showDLblsOverMax val="false"/>
  </c:chart>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2021</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一般公共预算财政拨款支出</c:v>
                </c:pt>
              </c:strCache>
            </c:strRef>
          </c:cat>
          <c:val>
            <c:numRef>
              <c:f>Sheet1!$B$2</c:f>
              <c:numCache>
                <c:formatCode>General</c:formatCode>
                <c:ptCount val="1"/>
                <c:pt idx="0">
                  <c:v>2156.69</c:v>
                </c:pt>
              </c:numCache>
            </c:numRef>
          </c:val>
        </c:ser>
        <c:ser>
          <c:idx val="1"/>
          <c:order val="1"/>
          <c:tx>
            <c:strRef>
              <c:f>Sheet1!$C$1</c:f>
              <c:strCache>
                <c:ptCount val="1"/>
                <c:pt idx="0">
                  <c:v>2022</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一般公共预算财政拨款支出</c:v>
                </c:pt>
              </c:strCache>
            </c:strRef>
          </c:cat>
          <c:val>
            <c:numRef>
              <c:f>Sheet1!$C$2</c:f>
              <c:numCache>
                <c:formatCode>General</c:formatCode>
                <c:ptCount val="1"/>
                <c:pt idx="0">
                  <c:v>2042.03</c:v>
                </c:pt>
              </c:numCache>
            </c:numRef>
          </c:val>
        </c:ser>
        <c:dLbls>
          <c:showLegendKey val="false"/>
          <c:showVal val="true"/>
          <c:showCatName val="false"/>
          <c:showSerName val="false"/>
          <c:showPercent val="false"/>
          <c:showBubbleSize val="false"/>
        </c:dLbls>
        <c:gapWidth val="150"/>
        <c:axId val="234905600"/>
        <c:axId val="234907136"/>
      </c:barChart>
      <c:catAx>
        <c:axId val="234905600"/>
        <c:scaling>
          <c:orientation val="minMax"/>
        </c:scaling>
        <c:delete val="false"/>
        <c:axPos val="b"/>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34907136"/>
        <c:crosses val="autoZero"/>
        <c:auto val="true"/>
        <c:lblAlgn val="ctr"/>
        <c:lblOffset val="100"/>
        <c:noMultiLvlLbl val="false"/>
      </c:catAx>
      <c:valAx>
        <c:axId val="234907136"/>
        <c:scaling>
          <c:orientation val="minMax"/>
        </c:scaling>
        <c:delete val="false"/>
        <c:axPos val="l"/>
        <c:majorGridlines/>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34905600"/>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202</a:t>
            </a:r>
            <a:r>
              <a:rPr lang="en-US" altLang="zh-CN"/>
              <a:t>2</a:t>
            </a:r>
            <a:r>
              <a:rPr lang="zh-CN"/>
              <a:t>年一般公共预算财政拨款支出结构</a:t>
            </a:r>
            <a:endParaRPr lang="zh-CN"/>
          </a:p>
        </c:rich>
      </c:tx>
      <c:layout/>
      <c:overlay val="false"/>
      <c:spPr>
        <a:ln>
          <a:noFill/>
        </a:ln>
      </c:spPr>
    </c:title>
    <c:autoTitleDeleted val="false"/>
    <c:plotArea>
      <c:layout/>
      <c:pieChart>
        <c:varyColors val="true"/>
        <c:ser>
          <c:idx val="0"/>
          <c:order val="0"/>
          <c:tx>
            <c:strRef>
              <c:f>'Sheet1 (6)'!$B$1</c:f>
              <c:strCache>
                <c:ptCount val="1"/>
                <c:pt idx="0">
                  <c:v>2021年一般公共预算财政拨款支出结构</c:v>
                </c:pt>
              </c:strCache>
            </c:strRef>
          </c:tx>
          <c:spPr>
            <a:ln>
              <a:noFill/>
            </a:ln>
          </c:spPr>
          <c:explosion val="0"/>
          <c:dPt>
            <c:idx val="0"/>
            <c:bubble3D val="false"/>
            <c:spPr>
              <a:solidFill>
                <a:srgbClr val="5B9BD5"/>
              </a:solidFill>
            </c:spPr>
          </c:dPt>
          <c:dPt>
            <c:idx val="1"/>
            <c:bubble3D val="false"/>
            <c:spPr>
              <a:solidFill>
                <a:srgbClr val="ED7D31"/>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 (6)'!$A$2:$A$3</c:f>
              <c:strCache>
                <c:ptCount val="2"/>
                <c:pt idx="0">
                  <c:v>社会保障和就业支出</c:v>
                </c:pt>
                <c:pt idx="1">
                  <c:v>卫生健康支出</c:v>
                </c:pt>
              </c:strCache>
            </c:strRef>
          </c:cat>
          <c:val>
            <c:numRef>
              <c:f>'Sheet1 (6)'!$B$2:$B$3</c:f>
              <c:numCache>
                <c:formatCode>General</c:formatCode>
                <c:ptCount val="2"/>
                <c:pt idx="0">
                  <c:v>851.829999999999</c:v>
                </c:pt>
                <c:pt idx="1">
                  <c:v>1190.2</c:v>
                </c:pt>
              </c:numCache>
            </c:numRef>
          </c:val>
        </c:ser>
        <c:dLbls>
          <c:showLegendKey val="false"/>
          <c:showVal val="true"/>
          <c:showCatName val="false"/>
          <c:showSerName val="false"/>
          <c:showPercent val="false"/>
          <c:showBubbleSize val="false"/>
          <c:showLeaderLines val="true"/>
        </c:dLbls>
        <c:firstSliceAng val="0"/>
      </c:pieChart>
      <c:spPr>
        <a:noFill/>
      </c:spPr>
    </c:plotArea>
    <c:legend>
      <c:legendPos val="r"/>
      <c:layout/>
      <c:overlay val="false"/>
      <c:spPr>
        <a:noFill/>
        <a:ln>
          <a:noFill/>
        </a:ln>
      </c:spPr>
      <c:txPr>
        <a:bodyPr rot="0" spcFirstLastPara="0" vertOverflow="ellipsis" vert="horz" wrap="square"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true"/>
    <c:dispBlanksAs val="zero"/>
    <c:showDLblsOverMax val="false"/>
  </c:chart>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23</Pages>
  <Words>908</Words>
  <Characters>5177</Characters>
  <Lines>43</Lines>
  <Paragraphs>12</Paragraphs>
  <TotalTime>0</TotalTime>
  <ScaleCrop>false</ScaleCrop>
  <LinksUpToDate>false</LinksUpToDate>
  <CharactersWithSpaces>6073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2023-08-31T18:50:00Z</dcterms:created>
  <dc:creator>曹颖</dc:creator>
  <cp:lastModifiedBy>user</cp:lastModifiedBy>
  <cp:lastPrinted>2023-08-31T19:59:00Z</cp:lastPrinted>
  <dcterms:modified xsi:type="dcterms:W3CDTF">2023-09-14T08:47:08Z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