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8441"/>
      <w:bookmarkStart w:id="3" w:name="_Toc15396475"/>
      <w:bookmarkStart w:id="4" w:name="_Toc15377193"/>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598"/>
      <w:bookmarkStart w:id="8" w:name="_Toc15377194"/>
      <w:bookmarkStart w:id="9" w:name="_Toc15378442"/>
      <w:bookmarkStart w:id="10" w:name="_Toc15396476"/>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中心血站决算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eastAsia"/>
          <w:lang w:val="en-US" w:eastAsia="zh-CN"/>
        </w:rPr>
        <w:t>4</w:t>
      </w:r>
      <w:bookmarkStart w:id="66" w:name="_GoBack"/>
      <w:bookmarkEnd w:id="66"/>
      <w:r>
        <w:rPr>
          <w:rFonts w:hint="eastAsia"/>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rPr>
        <w:tab/>
      </w:r>
      <w:r>
        <w:rPr>
          <w:rFonts w:hint="eastAsia" w:cstheme="minorBidi"/>
          <w:sz w:val="24"/>
          <w:lang w:val="en-US" w:eastAsia="zh-CN"/>
        </w:rPr>
        <w:t>4</w:t>
      </w:r>
    </w:p>
    <w:p>
      <w:pPr>
        <w:pStyle w:val="10"/>
        <w:adjustRightInd w:val="0"/>
        <w:snapToGrid w:val="0"/>
        <w:spacing w:before="0" w:line="440" w:lineRule="exact"/>
        <w:jc w:val="left"/>
        <w:rPr>
          <w:rFonts w:hint="eastAsia" w:eastAsia="仿宋"/>
          <w:sz w:val="24"/>
          <w:szCs w:val="24"/>
          <w:lang w:val="en-US" w:eastAsia="zh-CN"/>
        </w:rPr>
      </w:pPr>
      <w:r>
        <w:rPr>
          <w:rFonts w:hint="eastAsia"/>
          <w:sz w:val="24"/>
        </w:rPr>
        <w:t>第二部分 2022年度单位决算情况说明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第三部分名词解释</w:t>
      </w:r>
      <w:r>
        <w:rPr>
          <w:rFonts w:cstheme="minorBidi"/>
          <w:sz w:val="24"/>
        </w:rPr>
        <w:tab/>
      </w:r>
      <w:r>
        <w:rPr>
          <w:rFonts w:hint="eastAsia" w:cstheme="minorBidi"/>
          <w:sz w:val="24"/>
          <w:lang w:val="en-US" w:eastAsia="zh-CN"/>
        </w:rPr>
        <w:t>15</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第四部分附件</w:t>
      </w:r>
      <w:r>
        <w:rPr>
          <w:rFonts w:cstheme="minorBidi"/>
          <w:sz w:val="24"/>
        </w:rPr>
        <w:tab/>
      </w:r>
      <w:r>
        <w:rPr>
          <w:rFonts w:hint="eastAsia" w:cstheme="minorBidi"/>
          <w:sz w:val="24"/>
          <w:lang w:val="en-US" w:eastAsia="zh-CN"/>
        </w:rPr>
        <w:t>17</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第五部分附表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eastAsia" w:eastAsia="宋体"/>
          <w:sz w:val="24"/>
          <w:lang w:val="en-US" w:eastAsia="zh-CN"/>
        </w:rPr>
      </w:pPr>
      <w:r>
        <w:rPr>
          <w:rFonts w:hint="eastAsia"/>
          <w:sz w:val="24"/>
        </w:rPr>
        <w:t>三、支出决算表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lang w:val="en-US" w:eastAsia="zh-CN"/>
        </w:rPr>
        <w:t>18</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主要职责</w:t>
      </w:r>
    </w:p>
    <w:p>
      <w:pPr>
        <w:numPr>
          <w:ilvl w:val="255"/>
          <w:numId w:val="0"/>
        </w:numPr>
        <w:ind w:firstLine="640" w:firstLineChars="200"/>
      </w:pPr>
      <w:r>
        <w:rPr>
          <w:rFonts w:hint="eastAsia" w:ascii="仿宋" w:hAnsi="仿宋" w:eastAsia="仿宋"/>
          <w:sz w:val="32"/>
          <w:szCs w:val="32"/>
        </w:rPr>
        <w:t>攀枝花市中心血站为全市唯一一家采供血机构，负责在全市范围内开展无偿献血者的招募、血液的采集与制备、血液检测、临床用血供应以及医疗用血的业务指导等工作。</w:t>
      </w:r>
    </w:p>
    <w:p/>
    <w:p>
      <w:pPr>
        <w:pStyle w:val="4"/>
        <w:rPr>
          <w:rFonts w:ascii="黑体" w:hAnsi="黑体" w:eastAsia="黑体"/>
          <w:b w:val="0"/>
        </w:rPr>
      </w:pPr>
      <w:r>
        <w:rPr>
          <w:rFonts w:hint="eastAsia" w:ascii="黑体" w:hAnsi="黑体" w:eastAsia="黑体"/>
          <w:b w:val="0"/>
        </w:rPr>
        <w:t>二、机构设置</w:t>
      </w:r>
    </w:p>
    <w:bookmarkEnd w:id="14"/>
    <w:bookmarkEnd w:id="15"/>
    <w:p>
      <w:pPr>
        <w:widowControl/>
        <w:ind w:firstLine="640" w:firstLineChars="200"/>
        <w:jc w:val="left"/>
        <w:rPr>
          <w:rFonts w:ascii="仿宋" w:hAnsi="仿宋" w:eastAsia="仿宋"/>
          <w:kern w:val="0"/>
          <w:sz w:val="32"/>
          <w:szCs w:val="32"/>
        </w:rPr>
      </w:pPr>
      <w:r>
        <w:rPr>
          <w:rFonts w:hint="eastAsia" w:ascii="仿宋" w:hAnsi="仿宋" w:eastAsia="仿宋"/>
          <w:sz w:val="32"/>
          <w:szCs w:val="32"/>
        </w:rPr>
        <w:t>血站核定领导职数3名，2022年12月，实配领导班子成员3名，血站党支部书记（站长）1名（副县级）、副站长2名（正科级）；核定内设科室6个，分别为：办公室、体采科、检验科、成分供血科、质量管理科、综合业务科；配备内设科室领导职数7名（4名正科级，3名副科级）。</w:t>
      </w: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2022年度收、支总计3719.96万元。与2021年相比，收、支总计各增加81.27万元，增长了4.57</w:t>
      </w:r>
      <w:r>
        <w:rPr>
          <w:rFonts w:ascii="仿宋" w:hAnsi="仿宋" w:eastAsia="仿宋"/>
          <w:sz w:val="32"/>
          <w:szCs w:val="32"/>
        </w:rPr>
        <w:t>%</w:t>
      </w:r>
      <w:r>
        <w:rPr>
          <w:rFonts w:hint="eastAsia" w:ascii="仿宋" w:hAnsi="仿宋" w:eastAsia="仿宋"/>
          <w:sz w:val="32"/>
          <w:szCs w:val="32"/>
        </w:rPr>
        <w:t>。主要变动原因是人员经费略有增长。</w:t>
      </w:r>
    </w:p>
    <w:p>
      <w:pPr>
        <w:pStyle w:val="2"/>
        <w:spacing w:before="93"/>
        <w:rPr>
          <w:rFonts w:ascii="仿宋" w:hAnsi="仿宋" w:eastAsia="仿宋"/>
          <w:sz w:val="32"/>
          <w:szCs w:val="32"/>
        </w:rPr>
      </w:pPr>
      <w:r>
        <w:rPr>
          <w:rFonts w:hint="eastAsia"/>
        </w:rPr>
        <w:drawing>
          <wp:inline distT="0" distB="0" distL="114300" distR="114300">
            <wp:extent cx="5574665" cy="3448685"/>
            <wp:effectExtent l="0" t="0" r="6985" b="184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22年本年收入合计1605.4万元，其中：一般公共预算财政拨款收入1605.4万元，占100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22年本年支出合计1859.98万元，其中：基本支出1809.37万元，占97.28</w:t>
      </w:r>
      <w:r>
        <w:rPr>
          <w:rFonts w:ascii="仿宋" w:hAnsi="仿宋" w:eastAsia="仿宋"/>
          <w:sz w:val="32"/>
          <w:szCs w:val="32"/>
        </w:rPr>
        <w:t>%</w:t>
      </w:r>
      <w:r>
        <w:rPr>
          <w:rFonts w:hint="eastAsia" w:ascii="仿宋" w:hAnsi="仿宋" w:eastAsia="仿宋"/>
          <w:sz w:val="32"/>
          <w:szCs w:val="32"/>
        </w:rPr>
        <w:t>；项目支出50.61万元，占2.72</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inline distT="0" distB="0" distL="114300" distR="114300">
            <wp:extent cx="4239260" cy="1943735"/>
            <wp:effectExtent l="4445" t="4445" r="23495" b="1397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spacing w:line="600" w:lineRule="exact"/>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22年财政拨款收、支总计3719.96万元。与</w:t>
      </w:r>
      <w:r>
        <w:rPr>
          <w:rFonts w:ascii="仿宋" w:hAnsi="仿宋" w:eastAsia="仿宋"/>
          <w:sz w:val="32"/>
          <w:szCs w:val="32"/>
        </w:rPr>
        <w:t>20</w:t>
      </w:r>
      <w:r>
        <w:rPr>
          <w:rFonts w:hint="eastAsia" w:ascii="仿宋" w:hAnsi="仿宋" w:eastAsia="仿宋"/>
          <w:sz w:val="32"/>
          <w:szCs w:val="32"/>
        </w:rPr>
        <w:t>21年相比，财政拨款收、支总计各增加81.27万元，增长4.57</w:t>
      </w:r>
      <w:r>
        <w:rPr>
          <w:rFonts w:ascii="仿宋" w:hAnsi="仿宋" w:eastAsia="仿宋"/>
          <w:sz w:val="32"/>
          <w:szCs w:val="32"/>
        </w:rPr>
        <w:t>%</w:t>
      </w:r>
      <w:r>
        <w:rPr>
          <w:rFonts w:hint="eastAsia" w:ascii="仿宋" w:hAnsi="仿宋" w:eastAsia="仿宋"/>
          <w:sz w:val="32"/>
          <w:szCs w:val="32"/>
        </w:rPr>
        <w:t>。主要变动原因是人员经费略有增长。</w:t>
      </w:r>
    </w:p>
    <w:p>
      <w:pPr>
        <w:pStyle w:val="2"/>
        <w:spacing w:before="93"/>
        <w:rPr>
          <w:rFonts w:ascii="仿宋" w:hAnsi="仿宋" w:eastAsia="仿宋"/>
          <w:sz w:val="32"/>
          <w:szCs w:val="32"/>
        </w:rPr>
      </w:pPr>
      <w:r>
        <w:rPr>
          <w:rFonts w:hint="eastAsia"/>
        </w:rPr>
        <w:drawing>
          <wp:inline distT="0" distB="0" distL="114300" distR="114300">
            <wp:extent cx="5574665" cy="3448685"/>
            <wp:effectExtent l="0" t="0" r="6985"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22年一般公共预算财政拨款支出1859.98万元，占本年支出合计的100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21年相比，一般公共预算财政拨款支出增加81.27万元，增长4.57</w:t>
      </w:r>
      <w:r>
        <w:rPr>
          <w:rFonts w:ascii="仿宋" w:hAnsi="仿宋" w:eastAsia="仿宋"/>
          <w:sz w:val="32"/>
          <w:szCs w:val="32"/>
        </w:rPr>
        <w:t>%</w:t>
      </w:r>
      <w:r>
        <w:rPr>
          <w:rFonts w:hint="eastAsia" w:ascii="仿宋" w:hAnsi="仿宋" w:eastAsia="仿宋"/>
          <w:sz w:val="32"/>
          <w:szCs w:val="32"/>
        </w:rPr>
        <w:t>。主要变动原因是人员经费略有增长。</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137150" cy="3610610"/>
            <wp:effectExtent l="4445" t="4445" r="20955" b="234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w:t>
      </w:r>
    </w:p>
    <w:p>
      <w:pPr>
        <w:pStyle w:val="2"/>
      </w:pP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22年一般公共预算财政拨款支出1859.98万元，主要用于以下方面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206.14万元，占11.08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1580.13万元，占84.96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73.71万元，占3.96</w:t>
      </w:r>
      <w:r>
        <w:rPr>
          <w:rFonts w:ascii="仿宋" w:hAnsi="仿宋" w:eastAsia="仿宋"/>
          <w:sz w:val="32"/>
          <w:szCs w:val="32"/>
        </w:rPr>
        <w:t>%</w:t>
      </w:r>
      <w:r>
        <w:rPr>
          <w:rFonts w:hint="eastAsia" w:ascii="仿宋" w:hAnsi="仿宋" w:eastAsia="仿宋"/>
          <w:sz w:val="32"/>
          <w:szCs w:val="32"/>
        </w:rPr>
        <w:t>。</w:t>
      </w:r>
    </w:p>
    <w:p>
      <w:pPr>
        <w:pStyle w:val="2"/>
        <w:spacing w:before="93"/>
        <w:rPr>
          <w:rFonts w:hint="eastAsia"/>
          <w:lang w:val="en-US" w:eastAsia="zh-CN"/>
        </w:rPr>
      </w:pPr>
      <w:r>
        <w:rPr>
          <w:rFonts w:hint="eastAsia"/>
          <w:lang w:val="en-US" w:eastAsia="zh-CN"/>
        </w:rPr>
        <w:t xml:space="preserve">    </w:t>
      </w:r>
    </w:p>
    <w:p>
      <w:pPr>
        <w:pStyle w:val="2"/>
        <w:spacing w:before="93"/>
        <w:rPr>
          <w:rFonts w:hint="eastAsia"/>
          <w:lang w:val="en-US" w:eastAsia="zh-CN"/>
        </w:rPr>
      </w:pPr>
    </w:p>
    <w:p>
      <w:pPr>
        <w:pStyle w:val="2"/>
        <w:spacing w:before="93"/>
        <w:rPr>
          <w:rFonts w:hint="eastAsia"/>
          <w:lang w:val="en-US" w:eastAsia="zh-CN"/>
        </w:rPr>
      </w:pPr>
    </w:p>
    <w:p>
      <w:pPr>
        <w:pStyle w:val="2"/>
        <w:spacing w:before="93"/>
        <w:rPr>
          <w:rFonts w:hint="eastAsia"/>
          <w:lang w:val="en-US" w:eastAsia="zh-CN"/>
        </w:rP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（图6：一般公共预算财政拨款支出决算结构）</w:t>
      </w:r>
    </w:p>
    <w:p>
      <w:pPr>
        <w:pStyle w:val="2"/>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2022年一般公共预算支出决算数为1859.98</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2" w:firstLineChars="200"/>
        <w:rPr>
          <w:rStyle w:val="15"/>
          <w:rFonts w:ascii="仿宋" w:hAnsi="仿宋" w:eastAsia="仿宋"/>
          <w:b w:val="0"/>
          <w:bCs/>
          <w:sz w:val="32"/>
          <w:szCs w:val="32"/>
        </w:rPr>
      </w:pPr>
      <w:r>
        <w:rPr>
          <w:rStyle w:val="15"/>
          <w:rFonts w:hint="eastAsia" w:ascii="仿宋" w:hAnsi="仿宋" w:eastAsia="仿宋"/>
          <w:bCs/>
          <w:sz w:val="32"/>
          <w:szCs w:val="32"/>
        </w:rPr>
        <w:t>1.社会保障和就业支出（类）行政事业单位养老支出（款）事业单位离退休（项）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Style w:val="15"/>
          <w:rFonts w:hint="eastAsia" w:ascii="仿宋" w:hAnsi="仿宋" w:eastAsia="仿宋" w:cstheme="minorBidi"/>
          <w:b w:val="0"/>
          <w:bCs/>
          <w:sz w:val="32"/>
          <w:szCs w:val="32"/>
        </w:rPr>
        <w:t>为141.16万元</w:t>
      </w:r>
      <w:r>
        <w:rPr>
          <w:rStyle w:val="15"/>
          <w:rFonts w:hint="eastAsia" w:ascii="仿宋" w:hAnsi="仿宋" w:eastAsia="仿宋"/>
          <w:bCs/>
          <w:sz w:val="32"/>
          <w:szCs w:val="32"/>
        </w:rPr>
        <w:t>，</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spacing w:before="93"/>
        <w:ind w:firstLine="642" w:firstLineChars="200"/>
        <w:rPr>
          <w:rFonts w:eastAsia="仿宋"/>
        </w:rPr>
      </w:pPr>
      <w:r>
        <w:rPr>
          <w:rStyle w:val="15"/>
          <w:rFonts w:hint="eastAsia" w:ascii="仿宋" w:hAnsi="仿宋" w:eastAsia="仿宋"/>
          <w:bCs/>
          <w:sz w:val="32"/>
          <w:szCs w:val="32"/>
        </w:rPr>
        <w:t>2.社会保障和就业支出（类）行政事业单位养老支出（款）机关事业单位基本养老保险缴费支出（项）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Style w:val="15"/>
          <w:rFonts w:hint="eastAsia" w:ascii="仿宋" w:hAnsi="仿宋" w:eastAsia="仿宋" w:cstheme="minorBidi"/>
          <w:b w:val="0"/>
          <w:bCs/>
          <w:sz w:val="32"/>
          <w:szCs w:val="32"/>
        </w:rPr>
        <w:t>为</w:t>
      </w:r>
      <w:r>
        <w:rPr>
          <w:rStyle w:val="15"/>
          <w:rFonts w:hint="eastAsia" w:ascii="仿宋" w:hAnsi="仿宋" w:eastAsia="仿宋"/>
          <w:bCs/>
          <w:sz w:val="32"/>
          <w:szCs w:val="32"/>
        </w:rPr>
        <w:t>64.97万元，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255"/>
          <w:numId w:val="0"/>
        </w:numPr>
        <w:spacing w:before="93"/>
        <w:ind w:firstLine="642" w:firstLineChars="200"/>
        <w:rPr>
          <w:rStyle w:val="15"/>
          <w:rFonts w:ascii="仿宋" w:hAnsi="仿宋" w:eastAsia="仿宋" w:cstheme="minorBidi"/>
          <w:b w:val="0"/>
          <w:bCs/>
          <w:sz w:val="32"/>
          <w:szCs w:val="32"/>
        </w:rPr>
      </w:pPr>
      <w:r>
        <w:rPr>
          <w:rStyle w:val="15"/>
          <w:rFonts w:ascii="仿宋" w:hAnsi="仿宋" w:eastAsia="仿宋"/>
          <w:bCs/>
          <w:sz w:val="32"/>
          <w:szCs w:val="32"/>
        </w:rPr>
        <w:t>3.</w:t>
      </w:r>
      <w:r>
        <w:rPr>
          <w:rFonts w:hint="eastAsia" w:ascii="仿宋" w:hAnsi="仿宋" w:eastAsia="仿宋"/>
          <w:b/>
          <w:bCs/>
          <w:sz w:val="32"/>
          <w:szCs w:val="32"/>
        </w:rPr>
        <w:t>卫生健康支出</w:t>
      </w:r>
      <w:r>
        <w:rPr>
          <w:rStyle w:val="15"/>
          <w:rFonts w:hint="eastAsia" w:ascii="仿宋" w:hAnsi="仿宋" w:eastAsia="仿宋"/>
          <w:bCs/>
          <w:sz w:val="32"/>
          <w:szCs w:val="32"/>
        </w:rPr>
        <w:t>（类）公共卫生（款）采供血机构（项）</w:t>
      </w:r>
      <w:r>
        <w:rPr>
          <w:rStyle w:val="15"/>
          <w:rFonts w:ascii="仿宋" w:hAnsi="仿宋" w:eastAsia="仿宋"/>
          <w:bCs/>
          <w:sz w:val="32"/>
          <w:szCs w:val="32"/>
        </w:rPr>
        <w:t>:</w:t>
      </w:r>
      <w:r>
        <w:rPr>
          <w:rStyle w:val="15"/>
          <w:rFonts w:hint="eastAsia" w:ascii="仿宋" w:hAnsi="仿宋" w:eastAsia="仿宋"/>
          <w:b w:val="0"/>
          <w:bCs/>
          <w:sz w:val="32"/>
          <w:szCs w:val="32"/>
        </w:rPr>
        <w:t>支出决算为1529.52万元，完成预算100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255"/>
          <w:numId w:val="0"/>
        </w:numPr>
        <w:spacing w:before="93"/>
        <w:ind w:firstLine="642" w:firstLineChars="200"/>
        <w:rPr>
          <w:rStyle w:val="15"/>
          <w:rFonts w:ascii="仿宋" w:hAnsi="仿宋" w:eastAsia="仿宋"/>
          <w:b w:val="0"/>
          <w:bCs/>
          <w:sz w:val="32"/>
          <w:szCs w:val="32"/>
        </w:rPr>
      </w:pPr>
      <w:r>
        <w:rPr>
          <w:rStyle w:val="15"/>
          <w:rFonts w:hint="eastAsia" w:ascii="仿宋" w:hAnsi="仿宋" w:eastAsia="仿宋"/>
          <w:bCs/>
          <w:sz w:val="32"/>
          <w:szCs w:val="32"/>
        </w:rPr>
        <w:t>4.</w:t>
      </w:r>
      <w:r>
        <w:rPr>
          <w:rFonts w:hint="eastAsia" w:ascii="仿宋" w:hAnsi="仿宋" w:eastAsia="仿宋"/>
          <w:b/>
          <w:bCs/>
          <w:sz w:val="32"/>
          <w:szCs w:val="32"/>
        </w:rPr>
        <w:t>卫生健康支出</w:t>
      </w:r>
      <w:r>
        <w:rPr>
          <w:rStyle w:val="15"/>
          <w:rFonts w:hint="eastAsia" w:ascii="仿宋" w:hAnsi="仿宋" w:eastAsia="仿宋"/>
          <w:bCs/>
          <w:sz w:val="32"/>
          <w:szCs w:val="32"/>
        </w:rPr>
        <w:t>（类）公共卫生（款）重大公共卫生服务（项）</w:t>
      </w:r>
      <w:r>
        <w:rPr>
          <w:rStyle w:val="15"/>
          <w:rFonts w:ascii="仿宋" w:hAnsi="仿宋" w:eastAsia="仿宋"/>
          <w:bCs/>
          <w:sz w:val="32"/>
          <w:szCs w:val="32"/>
        </w:rPr>
        <w:t>:</w:t>
      </w:r>
      <w:r>
        <w:rPr>
          <w:rStyle w:val="15"/>
          <w:rFonts w:hint="eastAsia" w:ascii="仿宋" w:hAnsi="仿宋" w:eastAsia="仿宋"/>
          <w:b w:val="0"/>
          <w:bCs/>
          <w:sz w:val="32"/>
          <w:szCs w:val="32"/>
        </w:rPr>
        <w:t>支出决算为50.61万元，完成预算100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spacing w:before="93" w:line="600" w:lineRule="exact"/>
        <w:ind w:firstLine="642" w:firstLineChars="200"/>
        <w:rPr>
          <w:rFonts w:ascii="仿宋" w:hAnsi="仿宋" w:eastAsia="仿宋"/>
          <w:b/>
          <w:sz w:val="32"/>
          <w:szCs w:val="32"/>
        </w:rPr>
      </w:pPr>
      <w:r>
        <w:rPr>
          <w:rFonts w:hint="eastAsia" w:ascii="仿宋" w:hAnsi="仿宋" w:eastAsia="仿宋"/>
          <w:b/>
          <w:bCs/>
          <w:sz w:val="32"/>
          <w:szCs w:val="32"/>
        </w:rPr>
        <w:t>5.住房保障支出（类）住房改革支出（款）住房公积金（项）：</w:t>
      </w:r>
      <w:r>
        <w:rPr>
          <w:rStyle w:val="15"/>
          <w:rFonts w:hint="eastAsia" w:ascii="仿宋" w:hAnsi="仿宋" w:eastAsia="仿宋"/>
          <w:b w:val="0"/>
          <w:bCs/>
          <w:sz w:val="32"/>
          <w:szCs w:val="32"/>
        </w:rPr>
        <w:t>支出决算为73.71万元，完成预算100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22年一般公共预算财政拨款基本支出1859.98万元，其中：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1064.87万元，主要包括：基本工资213.98万元、津贴补贴67.71万元、奖金1.2万元、绩效工资384.05万元、机关事业单位基本养老保险缴费64.97万元、职工基本医疗保险缴费60.31万元、公务员医疗补助缴费24.24万元、其他社会保障缴费5.41、住房公积金73.71万元、其他工资福利支出28.39万元、离休费36.92万元、生活补助103.98万元。</w:t>
      </w:r>
      <w:r>
        <w:rPr>
          <w:rFonts w:ascii="仿宋" w:hAnsi="仿宋" w:eastAsia="仿宋"/>
          <w:sz w:val="32"/>
          <w:szCs w:val="32"/>
        </w:rPr>
        <w:br w:type="textWrapping"/>
      </w:r>
      <w:r>
        <w:rPr>
          <w:rFonts w:hint="eastAsia" w:ascii="仿宋" w:hAnsi="仿宋" w:eastAsia="仿宋"/>
          <w:sz w:val="32"/>
          <w:szCs w:val="32"/>
        </w:rPr>
        <w:t>　　公用经费744.5万元，主要包括：办公费12.49万元、水费1.27万元、电费3.29万元、邮电费1.49万元、物业管理费20.07万元、差旅费20.48万元、维修（护）费66.51、会议费0.27、公务接待费0.14万元、专用材料费466.78万元、劳务费119.42万元、工会经费11.86万元、福利费1.5万元、公务用车运行维护费6.45万元、其他交通费9.48万元、其他商品和服务支出3万元。</w:t>
      </w:r>
    </w:p>
    <w:p>
      <w:pPr>
        <w:pStyle w:val="2"/>
        <w:spacing w:before="93"/>
      </w:pP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22年“三公”经费财政拨款支出决算为6.59万元，完成预算100</w:t>
      </w:r>
      <w:r>
        <w:rPr>
          <w:rFonts w:ascii="仿宋" w:hAnsi="仿宋" w:eastAsia="仿宋"/>
          <w:sz w:val="32"/>
          <w:szCs w:val="32"/>
        </w:rPr>
        <w:t>%</w:t>
      </w:r>
      <w:r>
        <w:rPr>
          <w:rFonts w:hint="eastAsia" w:ascii="仿宋" w:hAnsi="仿宋" w:eastAsia="仿宋"/>
          <w:sz w:val="32"/>
          <w:szCs w:val="32"/>
        </w:rPr>
        <w:t>，较上年减少38.99万元，下降86%。</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；公务用车购置及运行维护费支出决算6.45万元，占98</w:t>
      </w:r>
      <w:r>
        <w:rPr>
          <w:rFonts w:ascii="仿宋" w:hAnsi="仿宋" w:eastAsia="仿宋"/>
          <w:sz w:val="32"/>
          <w:szCs w:val="32"/>
        </w:rPr>
        <w:t>%</w:t>
      </w:r>
      <w:r>
        <w:rPr>
          <w:rFonts w:hint="eastAsia" w:ascii="仿宋" w:hAnsi="仿宋" w:eastAsia="仿宋"/>
          <w:sz w:val="32"/>
          <w:szCs w:val="32"/>
        </w:rPr>
        <w:t>；公务接待费支出决算0.14万元，占2</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rPr>
      </w:pPr>
      <w:r>
        <w:drawing>
          <wp:inline distT="0" distB="0" distL="114300" distR="114300">
            <wp:extent cx="4572000" cy="2743200"/>
            <wp:effectExtent l="4445" t="4445" r="14605" b="14605"/>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6.45万元,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21年减少39万元，增长86</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 w:eastAsia="仿宋_GB2312" w:cs="仿宋"/>
          <w:color w:val="000000"/>
          <w:sz w:val="32"/>
          <w:szCs w:val="32"/>
        </w:rPr>
        <w:t>2021年新购置血液冷链车一辆</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月底，单位共有公务用车7辆，其中：小型轿车1辆、小型普通客车2辆、小型专用客车1辆、大型非载货专项作业车2辆、轻型封闭式货车1辆 。</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6.45万元。主要用于采供血工作等所需的公务用车燃料费、维修费、过路过桥费、保险费等支出。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0.14万元，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21年基本持平。</w:t>
      </w:r>
    </w:p>
    <w:p>
      <w:pPr>
        <w:spacing w:line="600" w:lineRule="exact"/>
        <w:ind w:firstLine="640"/>
        <w:rPr>
          <w:rFonts w:ascii="仿宋" w:hAnsi="仿宋" w:eastAsia="仿宋_GB2312"/>
          <w:b/>
          <w:sz w:val="32"/>
          <w:szCs w:val="32"/>
        </w:rPr>
      </w:pPr>
      <w:r>
        <w:rPr>
          <w:rFonts w:hint="eastAsia" w:ascii="仿宋" w:hAnsi="仿宋" w:eastAsia="仿宋"/>
          <w:b/>
          <w:sz w:val="32"/>
          <w:szCs w:val="32"/>
        </w:rPr>
        <w:t>国内公务接待支出</w:t>
      </w:r>
      <w:r>
        <w:rPr>
          <w:rFonts w:hint="eastAsia" w:ascii="仿宋" w:hAnsi="仿宋" w:eastAsia="仿宋"/>
          <w:sz w:val="32"/>
          <w:szCs w:val="32"/>
        </w:rPr>
        <w:t>0.14</w:t>
      </w:r>
      <w:r>
        <w:rPr>
          <w:rFonts w:hint="eastAsia" w:ascii="仿宋_GB2312" w:eastAsia="仿宋_GB2312"/>
          <w:sz w:val="32"/>
          <w:szCs w:val="32"/>
        </w:rPr>
        <w:t>万元，主要用于接待四川省血液安全管理中心相关人员交流及雅安市血站调剂送血人员公务接待等工作用餐费。国内公务接待2批次，10人次（不包括陪同人员），共计支出0.14万元，具体内容包括：接待四川省血液安全管理中心相关人员交流费用0.11万元，雅安市血站调剂送血人员公务接待费用0.03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numPr>
          <w:ilvl w:val="0"/>
          <w:numId w:val="4"/>
        </w:numPr>
        <w:spacing w:line="600" w:lineRule="exact"/>
        <w:ind w:firstLine="642" w:firstLineChars="200"/>
        <w:rPr>
          <w:rFonts w:ascii="仿宋" w:hAnsi="仿宋" w:eastAsia="仿宋"/>
          <w:b/>
          <w:sz w:val="32"/>
          <w:szCs w:val="32"/>
        </w:rPr>
      </w:pPr>
      <w:r>
        <w:rPr>
          <w:rFonts w:hint="eastAsia" w:ascii="仿宋" w:hAnsi="仿宋" w:eastAsia="仿宋"/>
          <w:b/>
          <w:sz w:val="32"/>
          <w:szCs w:val="32"/>
        </w:rPr>
        <w:t>机关运行经费支出情况</w:t>
      </w:r>
    </w:p>
    <w:p>
      <w:pPr>
        <w:pStyle w:val="2"/>
        <w:spacing w:before="93"/>
        <w:ind w:firstLine="640" w:firstLineChars="200"/>
        <w:rPr>
          <w:kern w:val="2"/>
          <w:sz w:val="32"/>
          <w:szCs w:val="32"/>
        </w:rPr>
      </w:pPr>
      <w:r>
        <w:rPr>
          <w:kern w:val="2"/>
          <w:sz w:val="32"/>
          <w:szCs w:val="32"/>
        </w:rPr>
        <w:t>2022年，攀枝花市</w:t>
      </w:r>
      <w:r>
        <w:rPr>
          <w:rFonts w:hint="eastAsia"/>
          <w:kern w:val="2"/>
          <w:sz w:val="32"/>
          <w:szCs w:val="32"/>
        </w:rPr>
        <w:t>中心血站</w:t>
      </w:r>
      <w:r>
        <w:rPr>
          <w:kern w:val="2"/>
          <w:sz w:val="32"/>
          <w:szCs w:val="32"/>
        </w:rPr>
        <w:t>机关运行经费支出0万元，与2021年决算数持平。主要原因是市</w:t>
      </w:r>
      <w:r>
        <w:rPr>
          <w:rFonts w:hint="eastAsia"/>
          <w:kern w:val="2"/>
          <w:sz w:val="32"/>
          <w:szCs w:val="32"/>
        </w:rPr>
        <w:t>血站</w:t>
      </w:r>
      <w:r>
        <w:rPr>
          <w:kern w:val="2"/>
          <w:sz w:val="32"/>
          <w:szCs w:val="32"/>
        </w:rPr>
        <w:t>为事业单位，按规定未使用机关运行的相关科目。</w:t>
      </w:r>
    </w:p>
    <w:p>
      <w:pPr>
        <w:spacing w:line="600" w:lineRule="exact"/>
        <w:ind w:firstLine="642" w:firstLineChars="200"/>
        <w:rPr>
          <w:rFonts w:ascii="仿宋" w:hAnsi="仿宋" w:eastAsia="仿宋"/>
          <w:b/>
          <w:sz w:val="32"/>
          <w:szCs w:val="32"/>
        </w:rPr>
      </w:pPr>
      <w:bookmarkStart w:id="46" w:name="_Toc15377224"/>
      <w:r>
        <w:rPr>
          <w:rFonts w:hint="eastAsia" w:ascii="仿宋" w:hAnsi="仿宋" w:eastAsia="仿宋"/>
          <w:b/>
          <w:sz w:val="32"/>
          <w:szCs w:val="32"/>
        </w:rPr>
        <w:t>（二）</w:t>
      </w:r>
      <w:bookmarkStart w:id="47" w:name="_Toc15377223"/>
      <w:r>
        <w:rPr>
          <w:rFonts w:hint="eastAsia" w:ascii="仿宋" w:hAnsi="仿宋" w:eastAsia="仿宋"/>
          <w:b/>
          <w:sz w:val="32"/>
          <w:szCs w:val="32"/>
        </w:rPr>
        <w:t>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22年，政府采购支出总额401.98万元，其中：政府采购货物支出401.98万元。主要用于主要用于</w:t>
      </w:r>
      <w:r>
        <w:rPr>
          <w:rFonts w:hint="eastAsia" w:ascii="仿宋_GB2312" w:eastAsia="仿宋_GB2312"/>
          <w:color w:val="000000"/>
          <w:sz w:val="32"/>
          <w:szCs w:val="32"/>
        </w:rPr>
        <w:t>采供血试剂耗材的采购</w:t>
      </w:r>
      <w:r>
        <w:rPr>
          <w:rFonts w:hint="eastAsia" w:ascii="仿宋_GB2312" w:eastAsia="仿宋_GB2312"/>
          <w:sz w:val="32"/>
          <w:szCs w:val="32"/>
        </w:rPr>
        <w:t>。授予中小企业合同金额401.98万元，占政府采购支出总额的100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。其中：授予小微企业合同金额401.98万元，占政府采购支出总额的100</w:t>
      </w:r>
      <w:r>
        <w:rPr>
          <w:rFonts w:ascii="仿宋_GB2312" w:eastAsia="仿宋_GB2312"/>
          <w:sz w:val="32"/>
          <w:szCs w:val="32"/>
        </w:rPr>
        <w:t>%</w:t>
      </w:r>
      <w:r>
        <w:rPr>
          <w:rFonts w:hint="eastAsia" w:ascii="仿宋_GB2312" w:eastAsia="仿宋_GB2312"/>
          <w:sz w:val="32"/>
          <w:szCs w:val="32"/>
        </w:rPr>
        <w:t>。</w:t>
      </w:r>
    </w:p>
    <w:bookmarkEnd w:id="46"/>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日，共有车辆7辆，其中：</w:t>
      </w:r>
      <w:r>
        <w:rPr>
          <w:rFonts w:hint="eastAsia" w:ascii="仿宋_GB2312" w:eastAsia="仿宋_GB2312"/>
          <w:color w:val="000000"/>
          <w:sz w:val="32"/>
          <w:szCs w:val="32"/>
        </w:rPr>
        <w:t>特种专业技术用车5辆、其他用车2辆，</w:t>
      </w:r>
      <w:r>
        <w:rPr>
          <w:rFonts w:hint="eastAsia" w:ascii="仿宋_GB2312" w:eastAsia="仿宋_GB2312"/>
          <w:sz w:val="32"/>
          <w:szCs w:val="32"/>
        </w:rPr>
        <w:t>其他用车主要是用于公务出行。单价</w:t>
      </w:r>
      <w:r>
        <w:rPr>
          <w:rFonts w:ascii="仿宋_GB2312" w:eastAsia="仿宋_GB2312"/>
          <w:sz w:val="32"/>
          <w:szCs w:val="32"/>
        </w:rPr>
        <w:t>100</w:t>
      </w:r>
      <w:r>
        <w:rPr>
          <w:rFonts w:hint="eastAsia" w:ascii="仿宋_GB2312" w:eastAsia="仿宋_GB2312"/>
          <w:sz w:val="32"/>
          <w:szCs w:val="32"/>
        </w:rPr>
        <w:t>万元以上专用设备7台（套）。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带薪年休假经费、聘用人员住房公积金等20个项目开展了预算事前绩效评估，对20个项目编制了绩效目标，预算执行过程中，选取20个项目开展绩效监控，组织对20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48" w:name="_Toc15377225"/>
      <w:bookmarkStart w:id="49" w:name="_Toc15396613"/>
      <w:r>
        <w:rPr>
          <w:rFonts w:hint="eastAsia" w:ascii="黑体" w:hAnsi="黑体" w:eastAsia="黑体"/>
          <w:sz w:val="44"/>
          <w:szCs w:val="44"/>
        </w:rPr>
        <w:t>名</w:t>
      </w:r>
      <w:r>
        <w:rPr>
          <w:rStyle w:val="25"/>
          <w:rFonts w:hint="eastAsia" w:ascii="黑体" w:hAnsi="黑体" w:eastAsia="黑体"/>
          <w:b w:val="0"/>
        </w:rPr>
        <w:t>词解释</w:t>
      </w:r>
      <w:bookmarkEnd w:id="48"/>
      <w:bookmarkEnd w:id="49"/>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12"/>
        <w:autoSpaceDE w:val="0"/>
        <w:autoSpaceDN w:val="0"/>
        <w:adjustRightInd w:val="0"/>
        <w:spacing w:line="560" w:lineRule="exact"/>
        <w:ind w:firstLine="640" w:firstLineChars="200"/>
        <w:jc w:val="left"/>
        <w:rPr>
          <w:rFonts w:ascii="仿宋_GB2312" w:hAnsi="Calibri" w:eastAsia="仿宋_GB2312" w:cs="仿宋"/>
          <w:color w:val="000000"/>
          <w:sz w:val="32"/>
          <w:szCs w:val="32"/>
        </w:rPr>
      </w:pPr>
      <w:r>
        <w:rPr>
          <w:rFonts w:hint="eastAsia" w:ascii="仿宋_GB2312" w:eastAsia="仿宋_GB2312"/>
          <w:sz w:val="32"/>
          <w:szCs w:val="32"/>
        </w:rPr>
        <w:t>3</w:t>
      </w:r>
      <w:r>
        <w:rPr>
          <w:rFonts w:ascii="仿宋_GB2312" w:eastAsia="仿宋_GB2312"/>
          <w:sz w:val="32"/>
          <w:szCs w:val="32"/>
        </w:rPr>
        <w:t>.</w:t>
      </w:r>
      <w:r>
        <w:rPr>
          <w:rFonts w:ascii="仿宋_GB2312" w:hAnsi="Calibri" w:eastAsia="仿宋_GB2312" w:cs="仿宋"/>
          <w:color w:val="000000"/>
          <w:sz w:val="32"/>
          <w:szCs w:val="32"/>
        </w:rPr>
        <w:t>社会保障和就业（类）人力资源和社会保障管理事务（款）其他人力资源和社会保障管理事务（项）:反映除上述项目以外其他用于人力资源和社会保障管理事务方面的支出。</w:t>
      </w:r>
    </w:p>
    <w:p>
      <w:pPr>
        <w:pStyle w:val="23"/>
        <w:spacing w:line="560" w:lineRule="exact"/>
        <w:ind w:firstLine="640" w:firstLineChars="200"/>
        <w:rPr>
          <w:rFonts w:ascii="仿宋_GB2312" w:eastAsia="仿宋_GB2312"/>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ascii="仿宋_GB2312" w:eastAsia="仿宋_GB2312"/>
          <w:sz w:val="32"/>
          <w:szCs w:val="32"/>
        </w:rPr>
        <w:t>社会保障和就业（类）行政事业单位养老支出（款）事业单位离退休（项）:</w:t>
      </w:r>
      <w:r>
        <w:rPr>
          <w:rFonts w:ascii="仿宋_GB2312" w:eastAsia="仿宋_GB2312"/>
          <w:kern w:val="2"/>
          <w:sz w:val="32"/>
          <w:szCs w:val="32"/>
        </w:rPr>
        <w:t>反映事业单位开支的离退休经费。</w:t>
      </w:r>
    </w:p>
    <w:p>
      <w:pPr>
        <w:pStyle w:val="12"/>
        <w:autoSpaceDE w:val="0"/>
        <w:autoSpaceDN w:val="0"/>
        <w:adjustRightInd w:val="0"/>
        <w:spacing w:line="560" w:lineRule="exact"/>
        <w:ind w:firstLine="640" w:firstLineChars="200"/>
        <w:jc w:val="left"/>
        <w:rPr>
          <w:rFonts w:ascii="仿宋_GB2312" w:hAnsi="Calibri" w:eastAsia="仿宋_GB2312" w:cs="仿宋"/>
          <w:color w:val="000000"/>
          <w:sz w:val="32"/>
          <w:szCs w:val="32"/>
        </w:rPr>
      </w:pPr>
      <w:r>
        <w:rPr>
          <w:rFonts w:hint="eastAsia" w:ascii="仿宋_GB2312" w:hAnsi="Calibri" w:eastAsia="仿宋_GB2312" w:cs="仿宋"/>
          <w:color w:val="000000"/>
          <w:sz w:val="32"/>
          <w:szCs w:val="32"/>
        </w:rPr>
        <w:t>5</w:t>
      </w:r>
      <w:r>
        <w:rPr>
          <w:rFonts w:ascii="仿宋_GB2312" w:hAnsi="Calibri" w:eastAsia="仿宋_GB2312" w:cs="仿宋"/>
          <w:color w:val="000000"/>
          <w:sz w:val="32"/>
          <w:szCs w:val="32"/>
        </w:rPr>
        <w:t>.社会保障和就业（类）行政事业单位养老支出（款）机关事业单位基本养老保险缴费支出（项）:反映机关事业单位实施养老保险制度由单位缴纳的基本养老保险费支出。</w:t>
      </w:r>
    </w:p>
    <w:p>
      <w:pPr>
        <w:pStyle w:val="12"/>
        <w:numPr>
          <w:ilvl w:val="255"/>
          <w:numId w:val="0"/>
        </w:numPr>
        <w:autoSpaceDE w:val="0"/>
        <w:autoSpaceDN w:val="0"/>
        <w:adjustRightInd w:val="0"/>
        <w:spacing w:line="560" w:lineRule="exact"/>
        <w:ind w:firstLine="640" w:firstLineChars="200"/>
        <w:jc w:val="left"/>
        <w:rPr>
          <w:rFonts w:ascii="仿宋_GB2312" w:hAnsi="Calibri" w:eastAsia="仿宋_GB2312" w:cs="仿宋"/>
          <w:color w:val="000000"/>
          <w:sz w:val="32"/>
          <w:szCs w:val="32"/>
        </w:rPr>
      </w:pPr>
      <w:r>
        <w:rPr>
          <w:rFonts w:hint="eastAsia" w:ascii="仿宋_GB2312" w:hAnsi="Calibri" w:eastAsia="仿宋_GB2312" w:cs="仿宋"/>
          <w:color w:val="000000"/>
          <w:sz w:val="32"/>
          <w:szCs w:val="32"/>
        </w:rPr>
        <w:t>6</w:t>
      </w:r>
      <w:r>
        <w:rPr>
          <w:rFonts w:ascii="仿宋_GB2312" w:hAnsi="Calibri" w:eastAsia="仿宋_GB2312" w:cs="仿宋"/>
          <w:color w:val="000000"/>
          <w:sz w:val="32"/>
          <w:szCs w:val="32"/>
        </w:rPr>
        <w:t>.卫生健康支出（类）公共卫生（款）采供血机构（项）:反映卫生健康部门所属采供血机构的支出。</w:t>
      </w:r>
    </w:p>
    <w:p>
      <w:pPr>
        <w:pStyle w:val="12"/>
        <w:numPr>
          <w:ilvl w:val="255"/>
          <w:numId w:val="0"/>
        </w:numPr>
        <w:autoSpaceDE w:val="0"/>
        <w:autoSpaceDN w:val="0"/>
        <w:adjustRightInd w:val="0"/>
        <w:spacing w:line="560" w:lineRule="exact"/>
        <w:ind w:firstLine="640" w:firstLineChars="200"/>
        <w:jc w:val="left"/>
        <w:rPr>
          <w:rFonts w:ascii="仿宋_GB2312" w:hAnsi="Calibri" w:eastAsia="仿宋_GB2312" w:cs="仿宋"/>
          <w:color w:val="000000"/>
          <w:sz w:val="32"/>
          <w:szCs w:val="32"/>
        </w:rPr>
      </w:pPr>
      <w:r>
        <w:rPr>
          <w:rFonts w:hint="eastAsia" w:ascii="仿宋_GB2312" w:hAnsi="Calibri" w:eastAsia="仿宋_GB2312" w:cs="仿宋"/>
          <w:color w:val="000000"/>
          <w:sz w:val="32"/>
          <w:szCs w:val="32"/>
        </w:rPr>
        <w:t>7</w:t>
      </w:r>
      <w:r>
        <w:rPr>
          <w:rFonts w:ascii="仿宋_GB2312" w:hAnsi="Calibri" w:eastAsia="仿宋_GB2312" w:cs="仿宋"/>
          <w:color w:val="000000"/>
          <w:sz w:val="32"/>
          <w:szCs w:val="32"/>
        </w:rPr>
        <w:t>.卫生健康支出（类）公共卫生（款）</w:t>
      </w:r>
      <w:r>
        <w:rPr>
          <w:rFonts w:hint="eastAsia" w:ascii="仿宋_GB2312" w:hAnsi="Calibri" w:eastAsia="仿宋_GB2312" w:cs="仿宋"/>
          <w:color w:val="000000"/>
          <w:sz w:val="32"/>
          <w:szCs w:val="32"/>
        </w:rPr>
        <w:t>重大</w:t>
      </w:r>
      <w:r>
        <w:rPr>
          <w:rFonts w:ascii="仿宋_GB2312" w:hAnsi="Calibri" w:eastAsia="仿宋_GB2312" w:cs="仿宋"/>
          <w:color w:val="000000"/>
          <w:sz w:val="32"/>
          <w:szCs w:val="32"/>
        </w:rPr>
        <w:t>公共卫生服务（项）:反映</w:t>
      </w:r>
      <w:r>
        <w:rPr>
          <w:rFonts w:hint="eastAsia" w:ascii="仿宋_GB2312" w:hAnsi="Calibri" w:eastAsia="仿宋_GB2312" w:cs="仿宋"/>
          <w:color w:val="000000"/>
          <w:sz w:val="32"/>
          <w:szCs w:val="32"/>
        </w:rPr>
        <w:t>重大</w:t>
      </w:r>
      <w:r>
        <w:rPr>
          <w:rFonts w:ascii="仿宋_GB2312" w:hAnsi="Calibri" w:eastAsia="仿宋_GB2312" w:cs="仿宋"/>
          <w:color w:val="000000"/>
          <w:sz w:val="32"/>
          <w:szCs w:val="32"/>
        </w:rPr>
        <w:t>公共卫生服务支出。</w:t>
      </w:r>
    </w:p>
    <w:p>
      <w:pPr>
        <w:pStyle w:val="12"/>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hAnsi="Calibri" w:eastAsia="仿宋_GB2312" w:cs="仿宋"/>
          <w:color w:val="000000"/>
          <w:sz w:val="32"/>
          <w:szCs w:val="32"/>
        </w:rPr>
        <w:t>8</w:t>
      </w:r>
      <w:r>
        <w:rPr>
          <w:rFonts w:ascii="仿宋_GB2312" w:hAnsi="Calibri" w:eastAsia="仿宋_GB2312" w:cs="仿宋"/>
          <w:color w:val="000000"/>
          <w:sz w:val="32"/>
          <w:szCs w:val="32"/>
        </w:rPr>
        <w:t>.住房保障支出（类）住房改革支出（款）住房公积金（项）：反映行政事业单位按人力资源和社会保障部、财政部规定的基本工资和津贴补贴以及规定比例为职工缴纳的住房公积金。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11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p>
    <w:p>
      <w:pPr>
        <w:pStyle w:val="23"/>
        <w:spacing w:line="560" w:lineRule="exact"/>
        <w:ind w:firstLine="640" w:firstLineChars="200"/>
        <w:rPr>
          <w:rFonts w:ascii="仿宋_GB2312" w:eastAsia="仿宋_GB2312"/>
          <w:color w:val="auto"/>
          <w:sz w:val="32"/>
          <w:szCs w:val="32"/>
        </w:rPr>
      </w:pPr>
    </w:p>
    <w:p>
      <w:pPr>
        <w:pStyle w:val="23"/>
        <w:spacing w:line="560" w:lineRule="exact"/>
        <w:ind w:firstLine="640" w:firstLineChars="200"/>
        <w:rPr>
          <w:rFonts w:ascii="仿宋_GB2312" w:eastAsia="仿宋_GB2312"/>
          <w:color w:val="auto"/>
          <w:sz w:val="32"/>
          <w:szCs w:val="32"/>
        </w:rPr>
      </w:pPr>
    </w:p>
    <w:p>
      <w:pPr>
        <w:pStyle w:val="23"/>
        <w:spacing w:line="560" w:lineRule="exact"/>
        <w:ind w:firstLine="640" w:firstLineChars="200"/>
        <w:rPr>
          <w:rFonts w:ascii="仿宋_GB2312" w:eastAsia="仿宋_GB2312"/>
          <w:color w:val="auto"/>
          <w:sz w:val="32"/>
          <w:szCs w:val="32"/>
        </w:rPr>
      </w:pPr>
    </w:p>
    <w:p>
      <w:pPr>
        <w:pStyle w:val="23"/>
        <w:spacing w:line="560" w:lineRule="exact"/>
        <w:ind w:firstLine="640" w:firstLineChars="200"/>
        <w:rPr>
          <w:rFonts w:ascii="仿宋_GB2312" w:eastAsia="仿宋_GB2312"/>
          <w:color w:val="auto"/>
          <w:sz w:val="32"/>
          <w:szCs w:val="32"/>
        </w:rPr>
      </w:pPr>
    </w:p>
    <w:p>
      <w:pPr>
        <w:pStyle w:val="23"/>
        <w:spacing w:line="560" w:lineRule="exact"/>
        <w:ind w:firstLine="640" w:firstLineChars="200"/>
        <w:rPr>
          <w:rFonts w:ascii="仿宋_GB2312" w:eastAsia="仿宋_GB2312"/>
          <w:color w:val="auto"/>
          <w:sz w:val="32"/>
          <w:szCs w:val="32"/>
        </w:rPr>
      </w:pPr>
    </w:p>
    <w:p>
      <w:pPr>
        <w:pStyle w:val="23"/>
        <w:spacing w:line="560" w:lineRule="exact"/>
        <w:ind w:firstLine="640" w:firstLineChars="200"/>
        <w:rPr>
          <w:rFonts w:ascii="仿宋_GB2312" w:eastAsia="仿宋_GB2312"/>
          <w:color w:val="auto"/>
          <w:sz w:val="32"/>
          <w:szCs w:val="32"/>
        </w:rPr>
      </w:pPr>
    </w:p>
    <w:p>
      <w:pPr>
        <w:spacing w:line="600" w:lineRule="exact"/>
        <w:jc w:val="center"/>
        <w:outlineLvl w:val="0"/>
        <w:rPr>
          <w:rStyle w:val="25"/>
          <w:rFonts w:ascii="黑体" w:hAnsi="黑体" w:eastAsia="黑体"/>
          <w:b w:val="0"/>
        </w:rPr>
      </w:pPr>
      <w:bookmarkStart w:id="50" w:name="_Toc15396614"/>
      <w:bookmarkStart w:id="51" w:name="_Toc15377226"/>
      <w:r>
        <w:rPr>
          <w:rFonts w:hint="eastAsia" w:ascii="黑体" w:hAnsi="黑体" w:eastAsia="黑体"/>
          <w:sz w:val="44"/>
          <w:szCs w:val="44"/>
        </w:rPr>
        <w:t>第</w:t>
      </w:r>
      <w:r>
        <w:rPr>
          <w:rStyle w:val="25"/>
          <w:rFonts w:hint="eastAsia" w:ascii="黑体" w:hAnsi="黑体" w:eastAsia="黑体"/>
          <w:b w:val="0"/>
        </w:rPr>
        <w:t>四部分 附件</w:t>
      </w:r>
      <w:bookmarkEnd w:id="50"/>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eastAsia="zh-CN"/>
        </w:rPr>
      </w:pPr>
      <w:bookmarkStart w:id="52"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三</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2"/>
      <w:bookmarkStart w:id="53"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3"/>
    </w:p>
    <w:p>
      <w:pPr>
        <w:pStyle w:val="4"/>
        <w:rPr>
          <w:rFonts w:ascii="仿宋" w:hAnsi="仿宋" w:eastAsia="仿宋"/>
        </w:rPr>
      </w:pPr>
      <w:bookmarkStart w:id="54" w:name="_Toc15396620"/>
      <w:r>
        <w:rPr>
          <w:rFonts w:hint="eastAsia" w:ascii="仿宋" w:hAnsi="仿宋" w:eastAsia="仿宋"/>
          <w:b w:val="0"/>
        </w:rPr>
        <w:t>二、收</w:t>
      </w:r>
      <w:r>
        <w:rPr>
          <w:rStyle w:val="26"/>
          <w:rFonts w:hint="eastAsia" w:ascii="仿宋" w:hAnsi="仿宋" w:eastAsia="仿宋"/>
          <w:b w:val="0"/>
          <w:bCs w:val="0"/>
        </w:rPr>
        <w:t>入决算表</w:t>
      </w:r>
      <w:bookmarkEnd w:id="54"/>
    </w:p>
    <w:p>
      <w:pPr>
        <w:pStyle w:val="4"/>
        <w:rPr>
          <w:rFonts w:ascii="仿宋" w:hAnsi="仿宋" w:eastAsia="仿宋"/>
        </w:rPr>
      </w:pPr>
      <w:bookmarkStart w:id="5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5"/>
    </w:p>
    <w:p>
      <w:pPr>
        <w:pStyle w:val="4"/>
        <w:rPr>
          <w:rFonts w:ascii="仿宋" w:hAnsi="仿宋" w:eastAsia="仿宋"/>
          <w:b w:val="0"/>
        </w:rPr>
      </w:pPr>
      <w:bookmarkStart w:id="5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6"/>
    </w:p>
    <w:p>
      <w:pPr>
        <w:pStyle w:val="4"/>
        <w:rPr>
          <w:rStyle w:val="26"/>
          <w:rFonts w:ascii="仿宋" w:hAnsi="仿宋" w:eastAsia="仿宋"/>
          <w:b w:val="0"/>
          <w:bCs w:val="0"/>
        </w:rPr>
      </w:pPr>
      <w:bookmarkStart w:id="5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7"/>
      <w:bookmarkStart w:id="58"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8"/>
    </w:p>
    <w:p>
      <w:pPr>
        <w:pStyle w:val="4"/>
        <w:rPr>
          <w:rFonts w:ascii="仿宋" w:hAnsi="仿宋" w:eastAsia="仿宋"/>
        </w:rPr>
      </w:pPr>
      <w:bookmarkStart w:id="5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59"/>
    </w:p>
    <w:p>
      <w:pPr>
        <w:pStyle w:val="4"/>
        <w:rPr>
          <w:rFonts w:ascii="仿宋" w:hAnsi="仿宋" w:eastAsia="仿宋"/>
        </w:rPr>
      </w:pPr>
      <w:bookmarkStart w:id="6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0"/>
    </w:p>
    <w:p>
      <w:pPr>
        <w:pStyle w:val="4"/>
        <w:rPr>
          <w:rFonts w:ascii="仿宋" w:hAnsi="仿宋" w:eastAsia="仿宋"/>
        </w:rPr>
      </w:pPr>
      <w:bookmarkStart w:id="6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1"/>
    </w:p>
    <w:p>
      <w:pPr>
        <w:pStyle w:val="4"/>
        <w:rPr>
          <w:rFonts w:hint="eastAsia" w:ascii="仿宋" w:hAnsi="仿宋" w:eastAsia="仿宋"/>
          <w:lang w:eastAsia="zh-CN"/>
        </w:rPr>
      </w:pPr>
      <w:bookmarkStart w:id="62" w:name="_Toc15396628"/>
      <w:r>
        <w:rPr>
          <w:rStyle w:val="26"/>
          <w:rFonts w:hint="eastAsia" w:ascii="仿宋" w:hAnsi="仿宋" w:eastAsia="仿宋"/>
          <w:b w:val="0"/>
          <w:bCs w:val="0"/>
        </w:rPr>
        <w:t>十、</w:t>
      </w:r>
      <w:bookmarkEnd w:id="62"/>
      <w:r>
        <w:rPr>
          <w:rFonts w:hint="eastAsia" w:ascii="仿宋" w:hAnsi="仿宋" w:eastAsia="仿宋"/>
          <w:b w:val="0"/>
        </w:rPr>
        <w:t>政</w:t>
      </w:r>
      <w:r>
        <w:rPr>
          <w:rStyle w:val="26"/>
          <w:rFonts w:hint="eastAsia" w:ascii="仿宋" w:hAnsi="仿宋" w:eastAsia="仿宋"/>
          <w:b w:val="0"/>
          <w:bCs w:val="0"/>
        </w:rPr>
        <w:t>府性基金预算财政拨款收入支出决算表</w:t>
      </w:r>
      <w:r>
        <w:rPr>
          <w:rStyle w:val="26"/>
          <w:rFonts w:hint="eastAsia" w:ascii="仿宋" w:hAnsi="仿宋" w:eastAsia="仿宋"/>
          <w:b w:val="0"/>
          <w:bCs w:val="0"/>
          <w:lang w:eastAsia="zh-CN"/>
        </w:rPr>
        <w:t>（此表无数据）</w:t>
      </w:r>
    </w:p>
    <w:p>
      <w:pPr>
        <w:pStyle w:val="4"/>
        <w:rPr>
          <w:rFonts w:ascii="仿宋" w:hAnsi="仿宋" w:eastAsia="仿宋"/>
        </w:rPr>
      </w:pPr>
      <w:bookmarkStart w:id="63" w:name="_Toc15396629"/>
      <w:r>
        <w:rPr>
          <w:rStyle w:val="26"/>
          <w:rFonts w:hint="eastAsia" w:ascii="仿宋" w:hAnsi="仿宋" w:eastAsia="仿宋"/>
          <w:b w:val="0"/>
          <w:bCs w:val="0"/>
        </w:rPr>
        <w:t>十一、</w:t>
      </w:r>
      <w:bookmarkEnd w:id="63"/>
      <w:r>
        <w:rPr>
          <w:rFonts w:hint="eastAsia" w:ascii="仿宋" w:hAnsi="仿宋" w:eastAsia="仿宋"/>
          <w:b w:val="0"/>
        </w:rPr>
        <w:t>国</w:t>
      </w:r>
      <w:r>
        <w:rPr>
          <w:rStyle w:val="26"/>
          <w:rFonts w:hint="eastAsia" w:ascii="仿宋" w:hAnsi="仿宋" w:eastAsia="仿宋"/>
          <w:b w:val="0"/>
          <w:bCs w:val="0"/>
        </w:rPr>
        <w:t>有资本经营预算财政拨款收入支出决算表</w:t>
      </w:r>
      <w:r>
        <w:rPr>
          <w:rStyle w:val="26"/>
          <w:rFonts w:hint="eastAsia" w:ascii="仿宋" w:hAnsi="仿宋" w:eastAsia="仿宋"/>
          <w:b w:val="0"/>
          <w:bCs w:val="0"/>
          <w:lang w:eastAsia="zh-CN"/>
        </w:rPr>
        <w:t>（此表无数据）</w:t>
      </w:r>
    </w:p>
    <w:p>
      <w:pPr>
        <w:pStyle w:val="4"/>
        <w:rPr>
          <w:rFonts w:ascii="仿宋" w:hAnsi="仿宋" w:eastAsia="仿宋"/>
        </w:rPr>
      </w:pPr>
      <w:bookmarkStart w:id="64" w:name="_Toc15396630"/>
      <w:r>
        <w:rPr>
          <w:rStyle w:val="26"/>
          <w:rFonts w:hint="eastAsia" w:ascii="仿宋" w:hAnsi="仿宋" w:eastAsia="仿宋"/>
          <w:b w:val="0"/>
          <w:bCs w:val="0"/>
        </w:rPr>
        <w:t>十二、</w:t>
      </w:r>
      <w:bookmarkEnd w:id="64"/>
      <w:r>
        <w:rPr>
          <w:rStyle w:val="26"/>
          <w:rFonts w:hint="eastAsia" w:ascii="仿宋" w:hAnsi="仿宋" w:eastAsia="仿宋"/>
          <w:b w:val="0"/>
          <w:bCs w:val="0"/>
        </w:rPr>
        <w:t>国有资本经营预算财政拨款支出决算表</w:t>
      </w:r>
      <w:r>
        <w:rPr>
          <w:rStyle w:val="26"/>
          <w:rFonts w:hint="eastAsia" w:ascii="仿宋" w:hAnsi="仿宋" w:eastAsia="仿宋"/>
          <w:b w:val="0"/>
          <w:bCs w:val="0"/>
          <w:lang w:eastAsia="zh-CN"/>
        </w:rPr>
        <w:t>（此表无数据）</w:t>
      </w:r>
    </w:p>
    <w:p>
      <w:pPr>
        <w:pStyle w:val="4"/>
        <w:rPr>
          <w:rFonts w:eastAsia="仿宋"/>
        </w:rPr>
      </w:pPr>
      <w:bookmarkStart w:id="65" w:name="_Toc15396631"/>
      <w:r>
        <w:rPr>
          <w:rStyle w:val="26"/>
          <w:rFonts w:hint="eastAsia" w:ascii="仿宋" w:hAnsi="仿宋" w:eastAsia="仿宋"/>
          <w:b w:val="0"/>
          <w:bCs w:val="0"/>
        </w:rPr>
        <w:t>十三、</w:t>
      </w:r>
      <w:bookmarkEnd w:id="65"/>
      <w:r>
        <w:rPr>
          <w:rStyle w:val="26"/>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7</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5DA3CBEB"/>
    <w:multiLevelType w:val="singleLevel"/>
    <w:tmpl w:val="5DA3CBEB"/>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1ODlhMmViZDI3ODYxYzU5OTcyMDExYjAxNjc5ZG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2443"/>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34D8"/>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59C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9216B15"/>
    <w:rsid w:val="0A2032A3"/>
    <w:rsid w:val="0B28164F"/>
    <w:rsid w:val="0B8A37D8"/>
    <w:rsid w:val="0F3E7280"/>
    <w:rsid w:val="10493AE8"/>
    <w:rsid w:val="10C055FF"/>
    <w:rsid w:val="118107EC"/>
    <w:rsid w:val="11DD6519"/>
    <w:rsid w:val="124E26CB"/>
    <w:rsid w:val="12E45579"/>
    <w:rsid w:val="15451DDD"/>
    <w:rsid w:val="155106C2"/>
    <w:rsid w:val="16BB723D"/>
    <w:rsid w:val="18015F3F"/>
    <w:rsid w:val="1BE8440E"/>
    <w:rsid w:val="1D155CEE"/>
    <w:rsid w:val="1DEC7D3F"/>
    <w:rsid w:val="20BC13B2"/>
    <w:rsid w:val="20F57F95"/>
    <w:rsid w:val="240371BF"/>
    <w:rsid w:val="24305489"/>
    <w:rsid w:val="24A83D86"/>
    <w:rsid w:val="25711CC6"/>
    <w:rsid w:val="25C741E6"/>
    <w:rsid w:val="27842671"/>
    <w:rsid w:val="29FD04D3"/>
    <w:rsid w:val="2ABE7A3E"/>
    <w:rsid w:val="2CA234A8"/>
    <w:rsid w:val="2CD5073E"/>
    <w:rsid w:val="2EFA178C"/>
    <w:rsid w:val="30B46D73"/>
    <w:rsid w:val="319F7F4E"/>
    <w:rsid w:val="34891F9F"/>
    <w:rsid w:val="383D272C"/>
    <w:rsid w:val="39AE70AB"/>
    <w:rsid w:val="3B6B3A3A"/>
    <w:rsid w:val="3C0C0783"/>
    <w:rsid w:val="3F4D7ACC"/>
    <w:rsid w:val="3F9F3A96"/>
    <w:rsid w:val="48185A39"/>
    <w:rsid w:val="48BF60AB"/>
    <w:rsid w:val="493C27E9"/>
    <w:rsid w:val="496F39ED"/>
    <w:rsid w:val="49FF41D3"/>
    <w:rsid w:val="4BE068DB"/>
    <w:rsid w:val="4BF6002B"/>
    <w:rsid w:val="4DDF66FB"/>
    <w:rsid w:val="4ECE2238"/>
    <w:rsid w:val="51513130"/>
    <w:rsid w:val="51DB4B86"/>
    <w:rsid w:val="55333C3E"/>
    <w:rsid w:val="55F82B46"/>
    <w:rsid w:val="64CA39A1"/>
    <w:rsid w:val="69630ADE"/>
    <w:rsid w:val="6C4A05C8"/>
    <w:rsid w:val="6D3B1A89"/>
    <w:rsid w:val="6F991632"/>
    <w:rsid w:val="71BF4EC2"/>
    <w:rsid w:val="723E07D8"/>
    <w:rsid w:val="72734D90"/>
    <w:rsid w:val="73397A01"/>
    <w:rsid w:val="7412278C"/>
    <w:rsid w:val="79E7B28D"/>
    <w:rsid w:val="7B566C41"/>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39292;&#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39044;&#20915;&#31639;&#22522;&#30784;&#36164;&#26009;\&#39292;&#29366;&#22270;.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39044;&#20915;&#31639;&#22522;&#30784;&#36164;&#26009;\&#39292;&#2936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39044;&#20915;&#31639;&#22522;&#30784;&#36164;&#26009;\&#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4484035168903"/>
          <c:y val="0.144017725258493"/>
          <c:w val="0.860064784821842"/>
          <c:h val="0.769460856720827"/>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2021年收支合计</c:v>
                </c:pt>
                <c:pt idx="1">
                  <c:v>2022年收支合计</c:v>
                </c:pt>
              </c:strCache>
            </c:strRef>
          </c:cat>
          <c:val>
            <c:numRef>
              <c:f>Sheet1!$B$2:$B$3</c:f>
              <c:numCache>
                <c:formatCode>General"万""元"</c:formatCode>
                <c:ptCount val="2"/>
                <c:pt idx="0">
                  <c:v>3557.42</c:v>
                </c:pt>
                <c:pt idx="1">
                  <c:v>3719.96</c:v>
                </c:pt>
              </c:numCache>
            </c:numRef>
          </c:val>
        </c:ser>
        <c:dLbls>
          <c:showLegendKey val="false"/>
          <c:showVal val="true"/>
          <c:showCatName val="false"/>
          <c:showSerName val="false"/>
          <c:showPercent val="false"/>
          <c:showBubbleSize val="false"/>
        </c:dLbls>
        <c:gapWidth val="219"/>
        <c:overlap val="-27"/>
        <c:axId val="124059648"/>
        <c:axId val="124061184"/>
      </c:barChart>
      <c:catAx>
        <c:axId val="124059648"/>
        <c:scaling>
          <c:orientation val="minMax"/>
        </c:scaling>
        <c:delete val="false"/>
        <c:axPos val="b"/>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4061184"/>
        <c:crosses val="autoZero"/>
        <c:auto val="true"/>
        <c:lblAlgn val="ctr"/>
        <c:lblOffset val="100"/>
        <c:noMultiLvlLbl val="false"/>
      </c:catAx>
      <c:valAx>
        <c:axId val="124061184"/>
        <c:scaling>
          <c:orientation val="minMax"/>
        </c:scaling>
        <c:delete val="false"/>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true"/>
              </a:gradFill>
              <a:prstDash val="solid"/>
              <a:round/>
            </a:ln>
            <a:effectLst/>
          </c:spPr>
        </c:majorGridlines>
        <c:numFmt formatCode="General&quot;万&quot;&quot;元&quot;" sourceLinked="true"/>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4059648"/>
        <c:crosses val="autoZero"/>
        <c:crossBetween val="between"/>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1"/>
              <c:delete val="true"/>
            </c:dLbl>
            <c:dLbl>
              <c:idx val="2"/>
              <c:delete val="true"/>
            </c:dLbl>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 (2)'!$A$1:$A$3</c:f>
              <c:strCache>
                <c:ptCount val="3"/>
                <c:pt idx="0">
                  <c:v>一般公共预算财政拨款收入</c:v>
                </c:pt>
              </c:strCache>
            </c:strRef>
          </c:cat>
          <c:val>
            <c:numRef>
              <c:f>'[饼状图.xlsx]饼状图 (2)'!$B$1:$B$3</c:f>
              <c:numCache>
                <c:formatCode>General</c:formatCode>
                <c:ptCount val="3"/>
                <c:pt idx="0">
                  <c:v>1778.71</c:v>
                </c:pt>
              </c:numCache>
            </c:numRef>
          </c:val>
        </c:ser>
        <c:ser>
          <c:idx val="1"/>
          <c:order val="1"/>
          <c:tx>
            <c:strRef>
              <c:f>'[饼状图.xlsx]饼状图 (2)'!$A$1:$A$2</c:f>
              <c:strCache>
                <c:ptCount val="1"/>
                <c:pt idx="0">
                  <c:v>一般公共预算财政拨款收入</c:v>
                </c:pt>
              </c:strCache>
            </c:strRef>
          </c:tx>
          <c:explosion val="0"/>
          <c:dPt>
            <c:idx val="0"/>
            <c:bubble3D val="false"/>
          </c:dPt>
          <c:dLbls>
            <c:delete val="true"/>
          </c:dLbls>
          <c:cat>
            <c:strRef>
              <c:f>'[饼状图.xlsx]饼状图 (2)'!$A$1:$A$2</c:f>
              <c:strCache>
                <c:ptCount val="3"/>
                <c:pt idx="0">
                  <c:v>一般公共预算财政拨款收入</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1"/>
        <c:delete val="true"/>
      </c:legendEntry>
      <c:legendEntry>
        <c:idx val="2"/>
        <c:delete val="true"/>
      </c:legendEntry>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Lbls>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 (2)'!$A$2:$A$3</c:f>
              <c:strCache>
                <c:ptCount val="2"/>
                <c:pt idx="0">
                  <c:v>基本支出</c:v>
                </c:pt>
                <c:pt idx="1">
                  <c:v>项目支出</c:v>
                </c:pt>
              </c:strCache>
            </c:strRef>
          </c:cat>
          <c:val>
            <c:numRef>
              <c:f>'[饼状图.xlsx]饼状图 (2)'!$B$2:$B$3</c:f>
              <c:numCache>
                <c:formatCode>General</c:formatCode>
                <c:ptCount val="2"/>
                <c:pt idx="0">
                  <c:v>1809.37</c:v>
                </c:pt>
                <c:pt idx="1">
                  <c:v>50.61</c:v>
                </c:pt>
              </c:numCache>
            </c:numRef>
          </c:val>
        </c:ser>
        <c:ser>
          <c:idx val="1"/>
          <c:order val="1"/>
          <c:tx>
            <c:strRef>
              <c:f>'[饼状图.xlsx]饼状图 (2)'!$A$1:$A$2</c:f>
              <c:strCache>
                <c:ptCount val="1"/>
                <c:pt idx="0">
                  <c:v/>
                </c:pt>
              </c:strCache>
            </c:strRef>
          </c:tx>
          <c:explosion val="0"/>
          <c:dPt>
            <c:idx val="0"/>
            <c:bubble3D val="false"/>
          </c:dPt>
          <c:dLbls>
            <c:delete val="true"/>
          </c:dLbls>
          <c:cat>
            <c:strRef>
              <c:f>'[饼状图.xlsx]饼状图 (2)'!$A$1:$A$2</c:f>
              <c:strCache>
                <c:ptCount val="2"/>
                <c:pt idx="0">
                  <c:v>基本支出</c:v>
                </c:pt>
                <c:pt idx="1">
                  <c:v>项目支出</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4484035168903"/>
          <c:y val="0.144017725258493"/>
          <c:w val="0.860064784821842"/>
          <c:h val="0.769460856720827"/>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2021年收支合计</c:v>
                </c:pt>
                <c:pt idx="1">
                  <c:v>2022年收支合计</c:v>
                </c:pt>
              </c:strCache>
            </c:strRef>
          </c:cat>
          <c:val>
            <c:numRef>
              <c:f>Sheet1!$B$2:$B$3</c:f>
              <c:numCache>
                <c:formatCode>General"万""元"</c:formatCode>
                <c:ptCount val="2"/>
                <c:pt idx="0">
                  <c:v>3557.42</c:v>
                </c:pt>
                <c:pt idx="1">
                  <c:v>3719.96</c:v>
                </c:pt>
              </c:numCache>
            </c:numRef>
          </c:val>
        </c:ser>
        <c:dLbls>
          <c:showLegendKey val="false"/>
          <c:showVal val="true"/>
          <c:showCatName val="false"/>
          <c:showSerName val="false"/>
          <c:showPercent val="false"/>
          <c:showBubbleSize val="false"/>
        </c:dLbls>
        <c:gapWidth val="219"/>
        <c:overlap val="-27"/>
        <c:axId val="119278592"/>
        <c:axId val="119288576"/>
      </c:barChart>
      <c:catAx>
        <c:axId val="119278592"/>
        <c:scaling>
          <c:orientation val="minMax"/>
        </c:scaling>
        <c:delete val="false"/>
        <c:axPos val="b"/>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9288576"/>
        <c:crosses val="autoZero"/>
        <c:auto val="true"/>
        <c:lblAlgn val="ctr"/>
        <c:lblOffset val="100"/>
        <c:noMultiLvlLbl val="false"/>
      </c:catAx>
      <c:valAx>
        <c:axId val="119288576"/>
        <c:scaling>
          <c:orientation val="minMax"/>
        </c:scaling>
        <c:delete val="false"/>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true"/>
              </a:gradFill>
              <a:prstDash val="solid"/>
              <a:round/>
            </a:ln>
            <a:effectLst/>
          </c:spPr>
        </c:majorGridlines>
        <c:numFmt formatCode="General&quot;万&quot;&quot;元&quot;" sourceLinked="true"/>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9278592"/>
        <c:crosses val="autoZero"/>
        <c:crossBetween val="between"/>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dLbl>
              <c:idx val="0"/>
              <c:layout/>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2021年一般公共预算财政拨款支出</c:v>
                </c:pt>
                <c:pt idx="1">
                  <c:v>2022年一般公共预算财政拨款支出</c:v>
                </c:pt>
              </c:strCache>
            </c:strRef>
          </c:cat>
          <c:val>
            <c:numRef>
              <c:f>Sheet1!$B$2:$B$3</c:f>
              <c:numCache>
                <c:formatCode>General"万""元"</c:formatCode>
                <c:ptCount val="2"/>
                <c:pt idx="0">
                  <c:v>1778.71</c:v>
                </c:pt>
                <c:pt idx="1">
                  <c:v>1859.98</c:v>
                </c:pt>
              </c:numCache>
            </c:numRef>
          </c:val>
        </c:ser>
        <c:dLbls>
          <c:showLegendKey val="false"/>
          <c:showVal val="false"/>
          <c:showCatName val="false"/>
          <c:showSerName val="false"/>
          <c:showPercent val="false"/>
          <c:showBubbleSize val="false"/>
        </c:dLbls>
        <c:gapWidth val="219"/>
        <c:overlap val="-27"/>
        <c:axId val="119353344"/>
        <c:axId val="119354880"/>
      </c:barChart>
      <c:catAx>
        <c:axId val="11935334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9354880"/>
        <c:crosses val="autoZero"/>
        <c:auto val="true"/>
        <c:lblAlgn val="ctr"/>
        <c:lblOffset val="100"/>
        <c:noMultiLvlLbl val="false"/>
      </c:catAx>
      <c:valAx>
        <c:axId val="11935488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quot;万&quot;&quot;元&quot;"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935334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[饼状图.xlsx]饼状图!$A$1:$A$3</c:f>
              <c:strCache>
                <c:ptCount val="3"/>
                <c:pt idx="0">
                  <c:v>社会保障和就业支出</c:v>
                </c:pt>
                <c:pt idx="1">
                  <c:v>卫生健康支出</c:v>
                </c:pt>
                <c:pt idx="2">
                  <c:v>住房保障支出</c:v>
                </c:pt>
              </c:strCache>
            </c:strRef>
          </c:cat>
          <c:val>
            <c:numRef>
              <c:f>[饼状图.xlsx]饼状图!$B$1:$B$3</c:f>
              <c:numCache>
                <c:formatCode>General</c:formatCode>
                <c:ptCount val="3"/>
                <c:pt idx="0">
                  <c:v>206.14</c:v>
                </c:pt>
                <c:pt idx="1">
                  <c:v>1580.13</c:v>
                </c:pt>
                <c:pt idx="2">
                  <c:v>73.71</c:v>
                </c:pt>
              </c:numCache>
            </c:numRef>
          </c:val>
        </c:ser>
        <c:ser>
          <c:idx val="1"/>
          <c:order val="1"/>
          <c:tx>
            <c:strRef>
              <c:f>[饼状图.xlsx]饼状图!$A$1:$A$2</c:f>
              <c:strCache>
                <c:ptCount val="1"/>
                <c:pt idx="0">
                  <c:v>社会保障和就业支出 卫生健康支出</c:v>
                </c:pt>
              </c:strCache>
            </c:strRef>
          </c:tx>
          <c:explosion val="0"/>
          <c:dPt>
            <c:idx val="0"/>
            <c:bubble3D val="false"/>
          </c:dPt>
          <c:dLbls>
            <c:delete val="true"/>
          </c:dLbls>
          <c:cat>
            <c:strRef>
              <c:f>[饼状图.xlsx]饼状图!$A$1:$A$2</c:f>
              <c:strCache>
                <c:ptCount val="3"/>
                <c:pt idx="0">
                  <c:v>社会保障和就业支出</c:v>
                </c:pt>
                <c:pt idx="1">
                  <c:v>卫生健康支出</c:v>
                </c:pt>
                <c:pt idx="2">
                  <c:v>住房保障支出</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Lbls>
            <c:dLbl>
              <c:idx val="2"/>
              <c:delete val="true"/>
            </c:dLbl>
            <c:numFmt formatCode="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[饼状图.xlsx]饼状图!$A$1:$A$3</c:f>
              <c:strCache>
                <c:ptCount val="3"/>
                <c:pt idx="0">
                  <c:v>公务用车购置及运行维护费支出</c:v>
                </c:pt>
                <c:pt idx="1">
                  <c:v>公务接待费支出</c:v>
                </c:pt>
              </c:strCache>
            </c:strRef>
          </c:cat>
          <c:val>
            <c:numRef>
              <c:f>[饼状图.xlsx]饼状图!$B$1:$B$3</c:f>
              <c:numCache>
                <c:formatCode>General</c:formatCode>
                <c:ptCount val="3"/>
                <c:pt idx="0">
                  <c:v>6.45</c:v>
                </c:pt>
                <c:pt idx="1">
                  <c:v>0.14</c:v>
                </c:pt>
              </c:numCache>
            </c:numRef>
          </c:val>
        </c:ser>
        <c:ser>
          <c:idx val="1"/>
          <c:order val="1"/>
          <c:tx>
            <c:strRef>
              <c:f>[饼状图.xlsx]饼状图!$A$1:$A$2</c:f>
              <c:strCache>
                <c:ptCount val="1"/>
                <c:pt idx="0">
                  <c:v>公务用车购置及运行维护费支出 公务接待费支出</c:v>
                </c:pt>
              </c:strCache>
            </c:strRef>
          </c:tx>
          <c:explosion val="0"/>
          <c:dPt>
            <c:idx val="0"/>
            <c:bubble3D val="false"/>
          </c:dPt>
          <c:dLbls>
            <c:delete val="true"/>
          </c:dLbls>
          <c:cat>
            <c:strRef>
              <c:f>[饼状图.xlsx]饼状图!$A$1:$A$2</c:f>
              <c:strCache>
                <c:ptCount val="3"/>
                <c:pt idx="0">
                  <c:v>公务用车购置及运行维护费支出</c:v>
                </c:pt>
                <c:pt idx="1">
                  <c:v>公务接待费支出</c:v>
                </c:pt>
              </c:strCache>
            </c:strRef>
          </c:cat>
          <c:val>
            <c:numRef>
              <c:f>{1}</c:f>
              <c:numCache>
                <c:formatCode>General</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2"/>
        <c:delete val="true"/>
      </c:legendEntry>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4337</Words>
  <Characters>4853</Characters>
  <Lines>35</Lines>
  <Paragraphs>10</Paragraphs>
  <TotalTime>0</TotalTime>
  <ScaleCrop>false</ScaleCrop>
  <LinksUpToDate>false</LinksUpToDate>
  <CharactersWithSpaces>4972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2023-09-13T18:32:20Z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8E0C95CC96F7453F97E3567DBDB55A97_13</vt:lpwstr>
  </property>
</Properties>
</file>