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bookmarkStart w:id="1" w:name="_Toc15396597"/>
      <w:bookmarkStart w:id="2" w:name="_Toc15378441"/>
      <w:bookmarkStart w:id="3" w:name="_Toc15377425"/>
      <w:bookmarkStart w:id="4" w:name="_Toc15396475"/>
      <w:bookmarkStart w:id="5" w:name="_Toc15377193"/>
      <w:r>
        <w:rPr>
          <w:rFonts w:ascii="方正小标宋简体" w:hAnsi="方正小标宋简体" w:eastAsia="方正小标宋简体" w:cs="方正小标宋简体"/>
          <w:sz w:val="72"/>
          <w:szCs w:val="72"/>
        </w:rPr>
        <w:t>2022</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sz w:val="72"/>
          <w:szCs w:val="72"/>
        </w:rPr>
      </w:pPr>
      <w:bookmarkStart w:id="6" w:name="_Toc15377426"/>
      <w:bookmarkStart w:id="7" w:name="_Toc15396598"/>
      <w:bookmarkStart w:id="8" w:name="_Toc15396476"/>
      <w:bookmarkStart w:id="9" w:name="_Toc15377194"/>
      <w:bookmarkStart w:id="10" w:name="_Toc15378442"/>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rPr>
        <w:t>健康促进和卫生大数据中心单位决算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pStyle w:val="10"/>
        <w:adjustRightInd/>
        <w:snapToGrid/>
        <w:spacing w:before="93" w:line="240" w:lineRule="auto"/>
        <w:rPr>
          <w:rFonts w:ascii="黑体" w:hAnsi="黑体" w:eastAsia="黑体" w:cs="Times New Roman"/>
          <w:sz w:val="28"/>
          <w:szCs w:val="28"/>
        </w:rPr>
      </w:pPr>
    </w:p>
    <w:p>
      <w:pPr>
        <w:pStyle w:val="10"/>
        <w:adjustRightInd/>
        <w:snapToGrid/>
        <w:spacing w:before="93" w:line="240" w:lineRule="auto"/>
        <w:jc w:val="center"/>
        <w:rPr>
          <w:rFonts w:cs="Times New Roman"/>
          <w:sz w:val="28"/>
          <w:szCs w:val="28"/>
        </w:rPr>
      </w:pPr>
      <w:r>
        <w:rPr>
          <w:rFonts w:hint="eastAsia" w:cs="Times New Roman"/>
          <w:sz w:val="28"/>
          <w:szCs w:val="28"/>
        </w:rPr>
        <w:t>公开时间：2023年9月</w:t>
      </w:r>
      <w:r>
        <w:rPr>
          <w:rFonts w:cs="Times New Roman"/>
          <w:sz w:val="28"/>
          <w:szCs w:val="28"/>
        </w:rPr>
        <w:t>1</w:t>
      </w:r>
      <w:r>
        <w:rPr>
          <w:rFonts w:hint="eastAsia" w:cs="Times New Roman"/>
          <w:sz w:val="28"/>
          <w:szCs w:val="28"/>
          <w:lang w:val="en-US" w:eastAsia="zh-CN"/>
        </w:rPr>
        <w:t>4</w:t>
      </w:r>
      <w:bookmarkStart w:id="67" w:name="_GoBack"/>
      <w:bookmarkEnd w:id="67"/>
      <w:r>
        <w:rPr>
          <w:rFonts w:hint="eastAsia" w:cs="Times New Roman"/>
          <w:sz w:val="28"/>
          <w:szCs w:val="28"/>
        </w:rPr>
        <w:t>日</w:t>
      </w:r>
    </w:p>
    <w:p/>
    <w:p>
      <w:pPr>
        <w:pStyle w:val="10"/>
        <w:rPr>
          <w:rFonts w:cstheme="minorBidi"/>
        </w:rPr>
      </w:pPr>
      <w:r>
        <w:rPr>
          <w:rFonts w:hint="eastAsia"/>
        </w:rPr>
        <w:t>第一部分单位概况</w:t>
      </w:r>
      <w:r>
        <w:rPr>
          <w:rFonts w:cstheme="minorBidi"/>
        </w:rPr>
        <w:tab/>
      </w:r>
      <w:r>
        <w:rPr>
          <w:rFonts w:hint="eastAsia" w:cstheme="minorBidi"/>
        </w:rPr>
        <w:t>4</w:t>
      </w:r>
    </w:p>
    <w:p>
      <w:pPr>
        <w:pStyle w:val="11"/>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1"/>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4</w:t>
      </w:r>
    </w:p>
    <w:p>
      <w:pPr>
        <w:pStyle w:val="10"/>
      </w:pPr>
      <w:r>
        <w:rPr>
          <w:rFonts w:hint="eastAsia"/>
        </w:rPr>
        <w:t>第二部分 2022年度单位决算情况说明</w:t>
      </w:r>
      <w:r>
        <w:rPr>
          <w:rFonts w:cstheme="minorBidi"/>
        </w:rPr>
        <w:tab/>
      </w:r>
      <w:r>
        <w:rPr>
          <w:rFonts w:hint="eastAsia" w:cstheme="minorBidi"/>
        </w:rPr>
        <w:t>5</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5</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5</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6</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7</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10</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11</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13</w:t>
      </w:r>
    </w:p>
    <w:p>
      <w:pPr>
        <w:pStyle w:val="11"/>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cstheme="minorBidi"/>
          <w:sz w:val="24"/>
        </w:rPr>
        <w:t>13</w:t>
      </w:r>
    </w:p>
    <w:p>
      <w:pPr>
        <w:pStyle w:val="11"/>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13</w:t>
      </w:r>
    </w:p>
    <w:p>
      <w:pPr>
        <w:pStyle w:val="10"/>
        <w:rPr>
          <w:rFonts w:cstheme="minorBidi"/>
        </w:rPr>
      </w:pPr>
      <w:r>
        <w:rPr>
          <w:rFonts w:hint="eastAsia"/>
        </w:rPr>
        <w:t>第三部分名词解释</w:t>
      </w:r>
      <w:r>
        <w:rPr>
          <w:rFonts w:cstheme="minorBidi"/>
        </w:rPr>
        <w:tab/>
      </w:r>
      <w:r>
        <w:rPr>
          <w:rFonts w:hint="eastAsia" w:cstheme="minorBidi"/>
        </w:rPr>
        <w:t>15</w:t>
      </w:r>
    </w:p>
    <w:p>
      <w:pPr>
        <w:pStyle w:val="10"/>
        <w:rPr>
          <w:rFonts w:cstheme="minorBidi"/>
        </w:rPr>
      </w:pPr>
      <w:r>
        <w:rPr>
          <w:rFonts w:hint="eastAsia"/>
        </w:rPr>
        <w:t>第四部分附件</w:t>
      </w:r>
      <w:r>
        <w:rPr>
          <w:rFonts w:cstheme="minorBidi"/>
        </w:rPr>
        <w:tab/>
      </w:r>
      <w:r>
        <w:rPr>
          <w:rFonts w:hint="eastAsia" w:cstheme="minorBidi"/>
        </w:rPr>
        <w:t>17</w:t>
      </w:r>
    </w:p>
    <w:p>
      <w:pPr>
        <w:pStyle w:val="10"/>
        <w:rPr>
          <w:rFonts w:cstheme="minorBidi"/>
        </w:rPr>
      </w:pPr>
      <w:r>
        <w:rPr>
          <w:rFonts w:hint="eastAsia"/>
        </w:rPr>
        <w:t>第五部分附表</w:t>
      </w:r>
      <w:r>
        <w:rPr>
          <w:rFonts w:cstheme="minorBidi"/>
        </w:rPr>
        <w:tab/>
      </w:r>
      <w:r>
        <w:rPr>
          <w:rFonts w:hint="eastAsia" w:cstheme="minorBidi"/>
        </w:rPr>
        <w:t>18</w:t>
      </w:r>
    </w:p>
    <w:p>
      <w:pPr>
        <w:pStyle w:val="11"/>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18</w:t>
      </w:r>
    </w:p>
    <w:p>
      <w:pPr>
        <w:pStyle w:val="11"/>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hint="eastAsia" w:cstheme="minorBidi"/>
          <w:sz w:val="24"/>
        </w:rPr>
        <w:t>18</w:t>
      </w:r>
    </w:p>
    <w:p>
      <w:pPr>
        <w:widowControl/>
        <w:adjustRightInd w:val="0"/>
        <w:snapToGrid w:val="0"/>
        <w:spacing w:line="440" w:lineRule="exact"/>
        <w:ind w:firstLine="1320" w:firstLineChars="550"/>
        <w:jc w:val="left"/>
        <w:rPr>
          <w:rFonts w:ascii="仿宋" w:hAnsi="仿宋" w:eastAsia="仿宋"/>
          <w:sz w:val="24"/>
          <w:szCs w:val="24"/>
        </w:rPr>
      </w:pPr>
    </w:p>
    <w:p>
      <w:pPr>
        <w:widowControl/>
        <w:spacing w:line="440" w:lineRule="exact"/>
        <w:jc w:val="left"/>
        <w:rPr>
          <w:rFonts w:ascii="仿宋" w:hAnsi="仿宋" w:eastAsia="仿宋"/>
          <w:kern w:val="44"/>
          <w:sz w:val="24"/>
          <w:szCs w:val="24"/>
        </w:rPr>
      </w:pPr>
      <w:bookmarkStart w:id="12" w:name="_Toc15377196"/>
      <w:bookmarkStart w:id="13" w:name="_Toc15396599"/>
      <w:r>
        <w:rPr>
          <w:rFonts w:ascii="仿宋" w:hAnsi="仿宋" w:eastAsia="仿宋"/>
          <w:b/>
          <w:bCs/>
          <w:sz w:val="24"/>
          <w:szCs w:val="24"/>
        </w:rPr>
        <w:br w:type="page"/>
      </w:r>
    </w:p>
    <w:p>
      <w:pPr>
        <w:pStyle w:val="3"/>
        <w:jc w:val="center"/>
        <w:rPr>
          <w:rStyle w:val="16"/>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Fonts w:hint="eastAsia" w:ascii="黑体" w:hAnsi="黑体" w:eastAsia="黑体" w:cs="黑体"/>
          <w:b w:val="0"/>
          <w:bCs w:val="0"/>
        </w:rPr>
        <w:t>单位</w:t>
      </w:r>
      <w:r>
        <w:rPr>
          <w:rStyle w:val="16"/>
          <w:rFonts w:hint="eastAsia" w:ascii="黑体" w:hAnsi="黑体" w:eastAsia="黑体" w:cs="黑体"/>
          <w:b w:val="0"/>
          <w:bCs w:val="0"/>
        </w:rPr>
        <w:t>概况</w:t>
      </w:r>
      <w:bookmarkEnd w:id="12"/>
      <w:bookmarkEnd w:id="13"/>
    </w:p>
    <w:p>
      <w:pPr>
        <w:widowControl/>
        <w:jc w:val="left"/>
        <w:rPr>
          <w:rFonts w:ascii="黑体" w:eastAsia="黑体"/>
          <w:sz w:val="32"/>
          <w:szCs w:val="32"/>
        </w:rPr>
      </w:pPr>
    </w:p>
    <w:p>
      <w:pPr>
        <w:pStyle w:val="4"/>
        <w:numPr>
          <w:ilvl w:val="0"/>
          <w:numId w:val="1"/>
        </w:numPr>
        <w:rPr>
          <w:rStyle w:val="17"/>
          <w:rFonts w:ascii="黑体" w:hAnsi="黑体" w:eastAsia="黑体" w:cs="Times New Roman"/>
          <w:b w:val="0"/>
          <w:bCs w:val="0"/>
        </w:rPr>
      </w:pPr>
      <w:bookmarkStart w:id="14" w:name="_Toc15377197"/>
      <w:bookmarkStart w:id="15" w:name="_Toc15396600"/>
      <w:r>
        <w:rPr>
          <w:rStyle w:val="17"/>
          <w:rFonts w:hint="eastAsia" w:ascii="黑体" w:hAnsi="黑体" w:eastAsia="黑体" w:cs="黑体"/>
          <w:b w:val="0"/>
          <w:bCs w:val="0"/>
        </w:rPr>
        <w:t>主要职责</w:t>
      </w:r>
    </w:p>
    <w:p>
      <w:pPr>
        <w:ind w:firstLine="640" w:firstLineChars="200"/>
        <w:rPr>
          <w:rFonts w:ascii="仿宋" w:hAnsi="仿宋" w:eastAsia="仿宋"/>
          <w:sz w:val="32"/>
          <w:szCs w:val="32"/>
        </w:rPr>
      </w:pPr>
      <w:r>
        <w:rPr>
          <w:rFonts w:hint="eastAsia" w:ascii="仿宋" w:hAnsi="仿宋" w:eastAsia="仿宋" w:cs="仿宋"/>
          <w:sz w:val="32"/>
          <w:szCs w:val="32"/>
        </w:rPr>
        <w:t>承担全市卫生健康与促进、人才项目实施、继续医学教育、人才专业评价、行业资格考试等服务工作；负责卫生健康信息化、健康医疗大数据产业发展、卫生统计等工作；开展医学情报分析、研究，为有关医疗卫生机构、市医学会、市药学会等提供医疗技术评审服务工作。</w:t>
      </w:r>
    </w:p>
    <w:p>
      <w:pPr>
        <w:pStyle w:val="4"/>
        <w:rPr>
          <w:rFonts w:ascii="黑体" w:hAnsi="黑体" w:eastAsia="黑体" w:cs="Times New Roman"/>
          <w:b w:val="0"/>
          <w:bCs w:val="0"/>
        </w:rPr>
      </w:pPr>
      <w:r>
        <w:rPr>
          <w:rFonts w:hint="eastAsia" w:ascii="黑体" w:hAnsi="黑体" w:eastAsia="黑体" w:cs="黑体"/>
          <w:b w:val="0"/>
          <w:bCs w:val="0"/>
        </w:rPr>
        <w:t>二、机构设置</w:t>
      </w:r>
    </w:p>
    <w:p>
      <w:pPr>
        <w:snapToGrid w:val="0"/>
        <w:spacing w:line="520" w:lineRule="exact"/>
        <w:ind w:firstLine="640" w:firstLineChars="200"/>
        <w:rPr>
          <w:rFonts w:ascii="仿宋" w:hAnsi="仿宋" w:eastAsia="仿宋"/>
          <w:sz w:val="32"/>
          <w:szCs w:val="32"/>
        </w:rPr>
      </w:pPr>
      <w:r>
        <w:rPr>
          <w:rFonts w:hint="eastAsia" w:ascii="仿宋" w:hAnsi="仿宋" w:eastAsia="仿宋" w:cs="仿宋"/>
          <w:sz w:val="32"/>
          <w:szCs w:val="32"/>
        </w:rPr>
        <w:t>本单位为攀枝花市卫生健康委员会所属二级预算单位。</w:t>
      </w:r>
    </w:p>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16"/>
          <w:rFonts w:ascii="黑体" w:hAnsi="黑体" w:eastAsia="黑体"/>
          <w:b w:val="0"/>
          <w:bCs w:val="0"/>
        </w:rPr>
      </w:pPr>
      <w:bookmarkStart w:id="16" w:name="_Toc15377204"/>
      <w:bookmarkStart w:id="17" w:name="_Toc15396602"/>
      <w:r>
        <w:rPr>
          <w:rFonts w:hint="eastAsia" w:ascii="黑体" w:hAnsi="黑体" w:eastAsia="黑体" w:cs="黑体"/>
          <w:b w:val="0"/>
          <w:bCs w:val="0"/>
        </w:rPr>
        <w:t>第二部分</w:t>
      </w:r>
      <w:r>
        <w:rPr>
          <w:rFonts w:ascii="黑体" w:hAnsi="黑体" w:eastAsia="黑体" w:cs="黑体"/>
          <w:b w:val="0"/>
          <w:bCs w:val="0"/>
        </w:rPr>
        <w:t xml:space="preserve"> 2022</w:t>
      </w:r>
      <w:r>
        <w:rPr>
          <w:rFonts w:hint="eastAsia" w:ascii="黑体" w:hAnsi="黑体" w:eastAsia="黑体" w:cs="黑体"/>
          <w:b w:val="0"/>
          <w:bCs w:val="0"/>
        </w:rPr>
        <w:t>年度</w:t>
      </w:r>
      <w:r>
        <w:rPr>
          <w:rStyle w:val="16"/>
          <w:rFonts w:hint="eastAsia" w:ascii="黑体" w:hAnsi="黑体" w:eastAsia="黑体" w:cs="黑体"/>
          <w:b w:val="0"/>
          <w:bCs w:val="0"/>
        </w:rPr>
        <w:t>单位决算情况说明</w:t>
      </w:r>
      <w:bookmarkEnd w:id="16"/>
      <w:bookmarkEnd w:id="17"/>
    </w:p>
    <w:p/>
    <w:p>
      <w:pPr>
        <w:pStyle w:val="27"/>
        <w:numPr>
          <w:ilvl w:val="0"/>
          <w:numId w:val="2"/>
        </w:numPr>
        <w:spacing w:line="600" w:lineRule="exact"/>
        <w:ind w:firstLineChars="0"/>
        <w:outlineLvl w:val="1"/>
        <w:rPr>
          <w:rStyle w:val="17"/>
          <w:rFonts w:ascii="黑体" w:hAnsi="黑体" w:eastAsia="黑体" w:cs="Times New Roman"/>
          <w:b w:val="0"/>
          <w:bCs w:val="0"/>
        </w:rPr>
      </w:pPr>
      <w:bookmarkStart w:id="18" w:name="_Toc15396603"/>
      <w:bookmarkStart w:id="19" w:name="_Toc15377205"/>
      <w:r>
        <w:rPr>
          <w:rFonts w:hint="eastAsia" w:ascii="黑体" w:hAnsi="黑体" w:eastAsia="黑体" w:cs="黑体"/>
          <w:sz w:val="32"/>
          <w:szCs w:val="32"/>
        </w:rPr>
        <w:t>收</w:t>
      </w:r>
      <w:r>
        <w:rPr>
          <w:rStyle w:val="17"/>
          <w:rFonts w:hint="eastAsia" w:ascii="黑体" w:hAnsi="黑体" w:eastAsia="黑体" w:cs="黑体"/>
          <w:b w:val="0"/>
          <w:bCs w:val="0"/>
        </w:rPr>
        <w:t>入支出决算总体情况说明</w:t>
      </w:r>
      <w:bookmarkEnd w:id="18"/>
      <w:bookmarkEnd w:id="19"/>
    </w:p>
    <w:p>
      <w:pPr>
        <w:spacing w:line="600" w:lineRule="exact"/>
        <w:ind w:firstLine="640" w:firstLineChars="200"/>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年度收入总计</w:t>
      </w:r>
      <w:r>
        <w:rPr>
          <w:rFonts w:ascii="仿宋" w:hAnsi="仿宋" w:eastAsia="仿宋" w:cs="仿宋"/>
          <w:sz w:val="32"/>
          <w:szCs w:val="32"/>
        </w:rPr>
        <w:t>317.13</w:t>
      </w:r>
      <w:r>
        <w:rPr>
          <w:rFonts w:hint="eastAsia" w:ascii="仿宋" w:hAnsi="仿宋" w:eastAsia="仿宋" w:cs="仿宋"/>
          <w:sz w:val="32"/>
          <w:szCs w:val="32"/>
        </w:rPr>
        <w:t>万元、支出总计</w:t>
      </w:r>
      <w:r>
        <w:rPr>
          <w:rFonts w:ascii="仿宋" w:hAnsi="仿宋" w:eastAsia="仿宋" w:cs="仿宋"/>
          <w:sz w:val="32"/>
          <w:szCs w:val="32"/>
        </w:rPr>
        <w:t>336.15</w:t>
      </w:r>
      <w:r>
        <w:rPr>
          <w:rFonts w:hint="eastAsia" w:ascii="仿宋" w:hAnsi="仿宋" w:eastAsia="仿宋" w:cs="仿宋"/>
          <w:sz w:val="32"/>
          <w:szCs w:val="32"/>
        </w:rPr>
        <w:t>万元。与</w:t>
      </w:r>
      <w:r>
        <w:rPr>
          <w:rFonts w:ascii="仿宋" w:hAnsi="仿宋" w:eastAsia="仿宋" w:cs="仿宋"/>
          <w:sz w:val="32"/>
          <w:szCs w:val="32"/>
        </w:rPr>
        <w:t>2021</w:t>
      </w:r>
      <w:r>
        <w:rPr>
          <w:rFonts w:hint="eastAsia" w:ascii="仿宋" w:hAnsi="仿宋" w:eastAsia="仿宋" w:cs="仿宋"/>
          <w:sz w:val="32"/>
          <w:szCs w:val="32"/>
        </w:rPr>
        <w:t>年相比，收入减少</w:t>
      </w:r>
      <w:r>
        <w:rPr>
          <w:rFonts w:ascii="仿宋" w:hAnsi="仿宋" w:eastAsia="仿宋" w:cs="仿宋"/>
          <w:sz w:val="32"/>
          <w:szCs w:val="32"/>
        </w:rPr>
        <w:t>388.74</w:t>
      </w:r>
      <w:r>
        <w:rPr>
          <w:rFonts w:hint="eastAsia" w:ascii="仿宋" w:hAnsi="仿宋" w:eastAsia="仿宋" w:cs="仿宋"/>
          <w:sz w:val="32"/>
          <w:szCs w:val="32"/>
        </w:rPr>
        <w:t>万元、支出减少</w:t>
      </w:r>
      <w:r>
        <w:rPr>
          <w:rFonts w:ascii="仿宋" w:hAnsi="仿宋" w:eastAsia="仿宋" w:cs="仿宋"/>
          <w:sz w:val="32"/>
          <w:szCs w:val="32"/>
        </w:rPr>
        <w:t>386.73</w:t>
      </w:r>
      <w:r>
        <w:rPr>
          <w:rFonts w:hint="eastAsia" w:ascii="仿宋" w:hAnsi="仿宋" w:eastAsia="仿宋" w:cs="仿宋"/>
          <w:sz w:val="32"/>
          <w:szCs w:val="32"/>
        </w:rPr>
        <w:t>万元，收入下降</w:t>
      </w:r>
      <w:r>
        <w:rPr>
          <w:rFonts w:ascii="仿宋" w:hAnsi="仿宋" w:eastAsia="仿宋" w:cs="仿宋"/>
          <w:sz w:val="32"/>
          <w:szCs w:val="32"/>
        </w:rPr>
        <w:t>122.58%</w:t>
      </w:r>
      <w:r>
        <w:rPr>
          <w:rFonts w:hint="eastAsia" w:ascii="仿宋" w:hAnsi="仿宋" w:eastAsia="仿宋" w:cs="仿宋"/>
          <w:sz w:val="32"/>
          <w:szCs w:val="32"/>
        </w:rPr>
        <w:t>、支出下降</w:t>
      </w:r>
      <w:r>
        <w:rPr>
          <w:rFonts w:ascii="仿宋" w:hAnsi="仿宋" w:eastAsia="仿宋" w:cs="仿宋"/>
          <w:sz w:val="32"/>
          <w:szCs w:val="32"/>
        </w:rPr>
        <w:t>115.05%</w:t>
      </w:r>
      <w:r>
        <w:rPr>
          <w:rFonts w:hint="eastAsia" w:ascii="仿宋" w:hAnsi="仿宋" w:eastAsia="仿宋" w:cs="仿宋"/>
          <w:sz w:val="32"/>
          <w:szCs w:val="32"/>
        </w:rPr>
        <w:t>。主要变动原因是</w:t>
      </w:r>
      <w:r>
        <w:rPr>
          <w:rFonts w:ascii="仿宋" w:hAnsi="仿宋" w:eastAsia="仿宋" w:cs="仿宋"/>
          <w:sz w:val="32"/>
          <w:szCs w:val="32"/>
        </w:rPr>
        <w:t>2022</w:t>
      </w:r>
      <w:r>
        <w:rPr>
          <w:rFonts w:hint="eastAsia" w:ascii="仿宋" w:hAnsi="仿宋" w:eastAsia="仿宋" w:cs="仿宋"/>
          <w:sz w:val="32"/>
          <w:szCs w:val="32"/>
        </w:rPr>
        <w:t>年未支付市级人口健康信息平台（一期）第四阶段资金。</w:t>
      </w:r>
    </w:p>
    <w:p>
      <w:pPr>
        <w:pStyle w:val="2"/>
        <w:spacing w:before="93"/>
        <w:rPr>
          <w:rFonts w:cs="Times New Roman"/>
        </w:rPr>
      </w:pPr>
      <w:r>
        <w:rPr>
          <w:rFonts w:cs="Times New Roman"/>
        </w:rPr>
        <w:drawing>
          <wp:inline distT="0" distB="0" distL="0" distR="0">
            <wp:extent cx="3234055" cy="2445385"/>
            <wp:effectExtent l="19050" t="0" r="23037"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7"/>
        <w:numPr>
          <w:ilvl w:val="0"/>
          <w:numId w:val="2"/>
        </w:numPr>
        <w:spacing w:line="600" w:lineRule="exact"/>
        <w:ind w:firstLineChars="0"/>
        <w:outlineLvl w:val="1"/>
        <w:rPr>
          <w:rStyle w:val="17"/>
          <w:rFonts w:ascii="黑体" w:hAnsi="黑体" w:eastAsia="黑体" w:cs="Times New Roman"/>
          <w:b w:val="0"/>
          <w:bCs w:val="0"/>
        </w:rPr>
      </w:pPr>
      <w:bookmarkStart w:id="20" w:name="_Toc15377206"/>
      <w:bookmarkStart w:id="21" w:name="_Toc15396604"/>
      <w:r>
        <w:rPr>
          <w:rFonts w:hint="eastAsia" w:ascii="黑体" w:hAnsi="黑体" w:eastAsia="黑体" w:cs="黑体"/>
          <w:sz w:val="32"/>
          <w:szCs w:val="32"/>
        </w:rPr>
        <w:t>收</w:t>
      </w:r>
      <w:r>
        <w:rPr>
          <w:rStyle w:val="17"/>
          <w:rFonts w:hint="eastAsia" w:ascii="黑体" w:hAnsi="黑体" w:eastAsia="黑体" w:cs="黑体"/>
          <w:b w:val="0"/>
          <w:bCs w:val="0"/>
        </w:rPr>
        <w:t>入决算情况说明</w:t>
      </w:r>
      <w:bookmarkEnd w:id="20"/>
      <w:bookmarkEnd w:id="21"/>
    </w:p>
    <w:p>
      <w:pPr>
        <w:spacing w:line="600" w:lineRule="exact"/>
        <w:ind w:firstLine="640" w:firstLineChars="200"/>
        <w:outlineLvl w:val="1"/>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年本年收入合计</w:t>
      </w:r>
      <w:r>
        <w:rPr>
          <w:rFonts w:ascii="仿宋" w:hAnsi="仿宋" w:eastAsia="仿宋" w:cs="仿宋"/>
          <w:sz w:val="32"/>
          <w:szCs w:val="32"/>
        </w:rPr>
        <w:t>317.13</w:t>
      </w:r>
      <w:r>
        <w:rPr>
          <w:rFonts w:hint="eastAsia" w:ascii="仿宋" w:hAnsi="仿宋" w:eastAsia="仿宋" w:cs="仿宋"/>
          <w:sz w:val="32"/>
          <w:szCs w:val="32"/>
        </w:rPr>
        <w:t>万元，其中：一般公共预算财政拨款收入</w:t>
      </w:r>
      <w:r>
        <w:rPr>
          <w:rFonts w:ascii="仿宋" w:hAnsi="仿宋" w:eastAsia="仿宋" w:cs="仿宋"/>
          <w:sz w:val="32"/>
          <w:szCs w:val="32"/>
        </w:rPr>
        <w:t>317.13</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drawing>
          <wp:inline distT="0" distB="0" distL="0" distR="0">
            <wp:extent cx="3446780" cy="2593975"/>
            <wp:effectExtent l="19050" t="0" r="19936"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：收入决算结构图）（饼状图）</w:t>
      </w:r>
    </w:p>
    <w:p>
      <w:pPr>
        <w:spacing w:line="600" w:lineRule="exact"/>
        <w:ind w:firstLine="640" w:firstLineChars="200"/>
        <w:rPr>
          <w:rFonts w:ascii="仿宋_GB2312" w:eastAsia="仿宋_GB2312"/>
          <w:sz w:val="32"/>
          <w:szCs w:val="32"/>
        </w:rPr>
      </w:pPr>
    </w:p>
    <w:p>
      <w:pPr>
        <w:pStyle w:val="27"/>
        <w:numPr>
          <w:ilvl w:val="0"/>
          <w:numId w:val="2"/>
        </w:numPr>
        <w:spacing w:line="600" w:lineRule="exact"/>
        <w:ind w:firstLineChars="0"/>
        <w:outlineLvl w:val="1"/>
        <w:rPr>
          <w:rStyle w:val="17"/>
          <w:rFonts w:ascii="黑体" w:hAnsi="黑体" w:eastAsia="黑体" w:cs="Times New Roman"/>
          <w:b w:val="0"/>
          <w:bCs w:val="0"/>
        </w:rPr>
      </w:pPr>
      <w:bookmarkStart w:id="22" w:name="_Toc15377207"/>
      <w:bookmarkStart w:id="23" w:name="_Toc15396605"/>
      <w:r>
        <w:rPr>
          <w:rFonts w:hint="eastAsia" w:ascii="黑体" w:hAnsi="黑体" w:eastAsia="黑体" w:cs="黑体"/>
          <w:sz w:val="32"/>
          <w:szCs w:val="32"/>
        </w:rPr>
        <w:t>支</w:t>
      </w:r>
      <w:r>
        <w:rPr>
          <w:rStyle w:val="17"/>
          <w:rFonts w:hint="eastAsia" w:ascii="黑体" w:hAnsi="黑体" w:eastAsia="黑体" w:cs="黑体"/>
          <w:b w:val="0"/>
          <w:bCs w:val="0"/>
        </w:rPr>
        <w:t>出决算情况说明</w:t>
      </w:r>
      <w:bookmarkEnd w:id="22"/>
      <w:bookmarkEnd w:id="23"/>
    </w:p>
    <w:p>
      <w:pPr>
        <w:spacing w:line="60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财政拨款收入上年结余</w:t>
      </w:r>
      <w:r>
        <w:rPr>
          <w:rFonts w:ascii="仿宋" w:hAnsi="仿宋" w:eastAsia="仿宋" w:cs="仿宋"/>
          <w:sz w:val="32"/>
          <w:szCs w:val="32"/>
        </w:rPr>
        <w:t>19.0</w:t>
      </w:r>
      <w:r>
        <w:rPr>
          <w:rFonts w:hint="eastAsia" w:ascii="仿宋" w:hAnsi="仿宋" w:eastAsia="仿宋" w:cs="仿宋"/>
          <w:sz w:val="32"/>
          <w:szCs w:val="32"/>
        </w:rPr>
        <w:t>2万元，</w:t>
      </w:r>
      <w:r>
        <w:rPr>
          <w:rFonts w:ascii="仿宋" w:hAnsi="仿宋" w:eastAsia="仿宋" w:cs="仿宋"/>
          <w:sz w:val="32"/>
          <w:szCs w:val="32"/>
        </w:rPr>
        <w:t>2022</w:t>
      </w:r>
      <w:r>
        <w:rPr>
          <w:rFonts w:hint="eastAsia" w:ascii="仿宋" w:hAnsi="仿宋" w:eastAsia="仿宋" w:cs="仿宋"/>
          <w:sz w:val="32"/>
          <w:szCs w:val="32"/>
        </w:rPr>
        <w:t>年财政拨款收入</w:t>
      </w:r>
      <w:r>
        <w:rPr>
          <w:rFonts w:ascii="仿宋" w:hAnsi="仿宋" w:eastAsia="仿宋" w:cs="仿宋"/>
          <w:sz w:val="32"/>
          <w:szCs w:val="32"/>
        </w:rPr>
        <w:t>317.1</w:t>
      </w:r>
      <w:r>
        <w:rPr>
          <w:rFonts w:hint="eastAsia" w:ascii="仿宋" w:hAnsi="仿宋" w:eastAsia="仿宋" w:cs="仿宋"/>
          <w:sz w:val="32"/>
          <w:szCs w:val="32"/>
        </w:rPr>
        <w:t>3万元，</w:t>
      </w:r>
      <w:r>
        <w:rPr>
          <w:rFonts w:ascii="仿宋" w:hAnsi="仿宋" w:eastAsia="仿宋" w:cs="仿宋"/>
          <w:sz w:val="32"/>
          <w:szCs w:val="32"/>
        </w:rPr>
        <w:t>2022</w:t>
      </w:r>
      <w:r>
        <w:rPr>
          <w:rFonts w:hint="eastAsia" w:ascii="仿宋" w:hAnsi="仿宋" w:eastAsia="仿宋" w:cs="仿宋"/>
          <w:sz w:val="32"/>
          <w:szCs w:val="32"/>
        </w:rPr>
        <w:t>年本年支出合计336.15万元，其中：基本支出279.75万元，占83.22</w:t>
      </w:r>
      <w:r>
        <w:rPr>
          <w:rFonts w:ascii="仿宋" w:hAnsi="仿宋" w:eastAsia="仿宋" w:cs="仿宋"/>
          <w:sz w:val="32"/>
          <w:szCs w:val="32"/>
        </w:rPr>
        <w:t>%</w:t>
      </w:r>
      <w:r>
        <w:rPr>
          <w:rFonts w:hint="eastAsia" w:ascii="仿宋" w:hAnsi="仿宋" w:eastAsia="仿宋" w:cs="仿宋"/>
          <w:sz w:val="32"/>
          <w:szCs w:val="32"/>
        </w:rPr>
        <w:t>；项目支出56.4万元，占16.78</w:t>
      </w:r>
      <w:r>
        <w:rPr>
          <w:rFonts w:ascii="仿宋" w:hAnsi="仿宋" w:eastAsia="仿宋" w:cs="仿宋"/>
          <w:sz w:val="32"/>
          <w:szCs w:val="32"/>
        </w:rPr>
        <w:t>%</w:t>
      </w:r>
      <w:r>
        <w:rPr>
          <w:rFonts w:hint="eastAsia" w:ascii="仿宋" w:hAnsi="仿宋" w:eastAsia="仿宋" w:cs="仿宋"/>
          <w:sz w:val="32"/>
          <w:szCs w:val="32"/>
        </w:rPr>
        <w:t>。</w:t>
      </w:r>
    </w:p>
    <w:p>
      <w:pPr>
        <w:ind w:firstLine="641"/>
        <w:rPr>
          <w:rFonts w:ascii="仿宋" w:hAnsi="仿宋" w:eastAsia="仿宋"/>
          <w:sz w:val="32"/>
          <w:szCs w:val="32"/>
        </w:rPr>
      </w:pPr>
      <w:r>
        <w:rPr>
          <w:rFonts w:ascii="仿宋" w:hAnsi="仿宋" w:eastAsia="仿宋"/>
          <w:sz w:val="32"/>
          <w:szCs w:val="32"/>
        </w:rPr>
        <w:drawing>
          <wp:inline distT="0" distB="0" distL="0" distR="0">
            <wp:extent cx="3244850" cy="2306955"/>
            <wp:effectExtent l="19050" t="0" r="12404"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7"/>
          <w:rFonts w:ascii="黑体" w:hAnsi="黑体" w:eastAsia="黑体" w:cs="Times New Roman"/>
          <w:b w:val="0"/>
          <w:bCs w:val="0"/>
        </w:rPr>
      </w:pPr>
      <w:bookmarkStart w:id="24" w:name="_Toc15396606"/>
      <w:bookmarkStart w:id="25" w:name="_Toc15377208"/>
      <w:r>
        <w:rPr>
          <w:rFonts w:hint="eastAsia" w:ascii="黑体" w:hAnsi="黑体" w:eastAsia="黑体" w:cs="黑体"/>
          <w:sz w:val="32"/>
          <w:szCs w:val="32"/>
        </w:rPr>
        <w:t>四、财</w:t>
      </w:r>
      <w:r>
        <w:rPr>
          <w:rStyle w:val="17"/>
          <w:rFonts w:hint="eastAsia" w:ascii="黑体" w:hAnsi="黑体" w:eastAsia="黑体" w:cs="黑体"/>
          <w:b w:val="0"/>
          <w:bCs w:val="0"/>
        </w:rPr>
        <w:t>政拨款收入支出决算总体情况说明</w:t>
      </w:r>
      <w:bookmarkEnd w:id="24"/>
      <w:bookmarkEnd w:id="25"/>
    </w:p>
    <w:p>
      <w:pPr>
        <w:spacing w:line="600" w:lineRule="exact"/>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年财政拨款收入总计</w:t>
      </w:r>
      <w:r>
        <w:rPr>
          <w:rFonts w:ascii="仿宋" w:hAnsi="仿宋" w:eastAsia="仿宋" w:cs="仿宋"/>
          <w:sz w:val="32"/>
          <w:szCs w:val="32"/>
        </w:rPr>
        <w:t>317.13</w:t>
      </w:r>
      <w:r>
        <w:rPr>
          <w:rFonts w:hint="eastAsia" w:ascii="仿宋" w:hAnsi="仿宋" w:eastAsia="仿宋" w:cs="仿宋"/>
          <w:sz w:val="32"/>
          <w:szCs w:val="32"/>
        </w:rPr>
        <w:t>万元、财政拨款支出总计</w:t>
      </w:r>
      <w:r>
        <w:rPr>
          <w:rFonts w:ascii="仿宋" w:hAnsi="仿宋" w:eastAsia="仿宋" w:cs="仿宋"/>
          <w:sz w:val="32"/>
          <w:szCs w:val="32"/>
        </w:rPr>
        <w:t>336.15</w:t>
      </w:r>
      <w:r>
        <w:rPr>
          <w:rFonts w:hint="eastAsia" w:ascii="仿宋" w:hAnsi="仿宋" w:eastAsia="仿宋" w:cs="仿宋"/>
          <w:sz w:val="32"/>
          <w:szCs w:val="32"/>
        </w:rPr>
        <w:t>万元。与</w:t>
      </w:r>
      <w:r>
        <w:rPr>
          <w:rFonts w:ascii="仿宋" w:hAnsi="仿宋" w:eastAsia="仿宋" w:cs="仿宋"/>
          <w:sz w:val="32"/>
          <w:szCs w:val="32"/>
        </w:rPr>
        <w:t>2021</w:t>
      </w:r>
      <w:r>
        <w:rPr>
          <w:rFonts w:hint="eastAsia" w:ascii="仿宋" w:hAnsi="仿宋" w:eastAsia="仿宋" w:cs="仿宋"/>
          <w:sz w:val="32"/>
          <w:szCs w:val="32"/>
        </w:rPr>
        <w:t>年相比，收入减少</w:t>
      </w:r>
      <w:r>
        <w:rPr>
          <w:rFonts w:ascii="仿宋" w:hAnsi="仿宋" w:eastAsia="仿宋" w:cs="仿宋"/>
          <w:sz w:val="32"/>
          <w:szCs w:val="32"/>
        </w:rPr>
        <w:t>388.74</w:t>
      </w:r>
      <w:r>
        <w:rPr>
          <w:rFonts w:hint="eastAsia" w:ascii="仿宋" w:hAnsi="仿宋" w:eastAsia="仿宋" w:cs="仿宋"/>
          <w:sz w:val="32"/>
          <w:szCs w:val="32"/>
        </w:rPr>
        <w:t>万元、支出减少</w:t>
      </w:r>
      <w:r>
        <w:rPr>
          <w:rFonts w:ascii="仿宋" w:hAnsi="仿宋" w:eastAsia="仿宋" w:cs="仿宋"/>
          <w:sz w:val="32"/>
          <w:szCs w:val="32"/>
        </w:rPr>
        <w:t>386.73</w:t>
      </w:r>
      <w:r>
        <w:rPr>
          <w:rFonts w:hint="eastAsia" w:ascii="仿宋" w:hAnsi="仿宋" w:eastAsia="仿宋" w:cs="仿宋"/>
          <w:sz w:val="32"/>
          <w:szCs w:val="32"/>
        </w:rPr>
        <w:t>万元，收入下降</w:t>
      </w:r>
      <w:r>
        <w:rPr>
          <w:rFonts w:ascii="仿宋" w:hAnsi="仿宋" w:eastAsia="仿宋" w:cs="仿宋"/>
          <w:sz w:val="32"/>
          <w:szCs w:val="32"/>
        </w:rPr>
        <w:t>122.58%</w:t>
      </w:r>
      <w:r>
        <w:rPr>
          <w:rFonts w:hint="eastAsia" w:ascii="仿宋" w:hAnsi="仿宋" w:eastAsia="仿宋" w:cs="仿宋"/>
          <w:sz w:val="32"/>
          <w:szCs w:val="32"/>
        </w:rPr>
        <w:t>、支出下降</w:t>
      </w:r>
      <w:r>
        <w:rPr>
          <w:rFonts w:ascii="仿宋" w:hAnsi="仿宋" w:eastAsia="仿宋" w:cs="仿宋"/>
          <w:sz w:val="32"/>
          <w:szCs w:val="32"/>
        </w:rPr>
        <w:t>115.05%</w:t>
      </w:r>
      <w:r>
        <w:rPr>
          <w:rFonts w:hint="eastAsia" w:ascii="仿宋" w:hAnsi="仿宋" w:eastAsia="仿宋" w:cs="仿宋"/>
          <w:sz w:val="32"/>
          <w:szCs w:val="32"/>
        </w:rPr>
        <w:t>。主要变动原因是</w:t>
      </w:r>
      <w:r>
        <w:rPr>
          <w:rFonts w:ascii="仿宋" w:hAnsi="仿宋" w:eastAsia="仿宋" w:cs="仿宋"/>
          <w:sz w:val="32"/>
          <w:szCs w:val="32"/>
        </w:rPr>
        <w:t>2022</w:t>
      </w:r>
      <w:r>
        <w:rPr>
          <w:rFonts w:hint="eastAsia" w:ascii="仿宋" w:hAnsi="仿宋" w:eastAsia="仿宋" w:cs="仿宋"/>
          <w:sz w:val="32"/>
          <w:szCs w:val="32"/>
        </w:rPr>
        <w:t>年未支付市级人口健康信息平台（一期）第四阶段资金。</w:t>
      </w:r>
    </w:p>
    <w:p>
      <w:pPr>
        <w:rPr>
          <w:rFonts w:ascii="仿宋" w:hAnsi="仿宋" w:eastAsia="仿宋"/>
          <w:sz w:val="32"/>
          <w:szCs w:val="32"/>
        </w:rPr>
      </w:pPr>
      <w:r>
        <w:rPr>
          <w:rFonts w:ascii="仿宋" w:hAnsi="仿宋" w:eastAsia="仿宋"/>
          <w:sz w:val="32"/>
          <w:szCs w:val="32"/>
        </w:rPr>
        <w:drawing>
          <wp:inline distT="0" distB="0" distL="0" distR="0">
            <wp:extent cx="3425190" cy="2647315"/>
            <wp:effectExtent l="19050" t="0" r="22476" b="443"/>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：财政拨款收、支决算总计变动情况）（柱状图）</w:t>
      </w:r>
    </w:p>
    <w:p>
      <w:pPr>
        <w:spacing w:line="600" w:lineRule="exact"/>
        <w:ind w:firstLine="640"/>
        <w:rPr>
          <w:rFonts w:ascii="仿宋" w:hAnsi="仿宋" w:eastAsia="仿宋"/>
          <w:b/>
          <w:bCs/>
          <w:sz w:val="32"/>
          <w:szCs w:val="32"/>
        </w:rPr>
      </w:pPr>
    </w:p>
    <w:p>
      <w:pPr>
        <w:spacing w:line="600" w:lineRule="exact"/>
        <w:ind w:firstLine="640" w:firstLineChars="200"/>
        <w:outlineLvl w:val="1"/>
        <w:rPr>
          <w:rStyle w:val="17"/>
          <w:rFonts w:ascii="黑体" w:hAnsi="黑体" w:eastAsia="黑体" w:cs="Times New Roman"/>
          <w:b w:val="0"/>
          <w:bCs w:val="0"/>
        </w:rPr>
      </w:pPr>
      <w:bookmarkStart w:id="26" w:name="_Toc15377209"/>
      <w:bookmarkStart w:id="27" w:name="_Toc15396607"/>
      <w:r>
        <w:rPr>
          <w:rFonts w:hint="eastAsia" w:ascii="黑体" w:hAnsi="黑体" w:eastAsia="黑体" w:cs="黑体"/>
          <w:sz w:val="32"/>
          <w:szCs w:val="32"/>
        </w:rPr>
        <w:t>五、</w:t>
      </w:r>
      <w:r>
        <w:rPr>
          <w:rFonts w:hint="eastAsia" w:ascii="黑体" w:hAnsi="黑体" w:eastAsia="黑体" w:cs="黑体"/>
          <w:b/>
          <w:bCs/>
          <w:sz w:val="32"/>
          <w:szCs w:val="32"/>
        </w:rPr>
        <w:t>一</w:t>
      </w:r>
      <w:r>
        <w:rPr>
          <w:rStyle w:val="17"/>
          <w:rFonts w:hint="eastAsia" w:ascii="黑体" w:hAnsi="黑体" w:eastAsia="黑体" w:cs="黑体"/>
          <w:b w:val="0"/>
          <w:bCs w:val="0"/>
        </w:rPr>
        <w:t>般公共预算财政拨款支出决算情况说明</w:t>
      </w:r>
      <w:bookmarkEnd w:id="26"/>
      <w:bookmarkEnd w:id="27"/>
    </w:p>
    <w:p>
      <w:pPr>
        <w:spacing w:line="600" w:lineRule="exact"/>
        <w:ind w:firstLine="642" w:firstLineChars="200"/>
        <w:outlineLvl w:val="2"/>
        <w:rPr>
          <w:rFonts w:ascii="仿宋" w:hAnsi="仿宋" w:eastAsia="仿宋"/>
          <w:b/>
          <w:bCs/>
          <w:sz w:val="32"/>
          <w:szCs w:val="32"/>
        </w:rPr>
      </w:pPr>
      <w:bookmarkStart w:id="28" w:name="_Toc15377210"/>
      <w:r>
        <w:rPr>
          <w:rFonts w:hint="eastAsia" w:ascii="仿宋" w:hAnsi="仿宋" w:eastAsia="仿宋" w:cs="仿宋"/>
          <w:b/>
          <w:bCs/>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年一般公共预算财政拨款支出336.15万元，占本年支出合计的100</w:t>
      </w:r>
      <w:r>
        <w:rPr>
          <w:rFonts w:ascii="仿宋" w:hAnsi="仿宋" w:eastAsia="仿宋" w:cs="仿宋"/>
          <w:sz w:val="32"/>
          <w:szCs w:val="32"/>
        </w:rPr>
        <w:t>%</w:t>
      </w:r>
      <w:r>
        <w:rPr>
          <w:rFonts w:hint="eastAsia" w:ascii="仿宋" w:hAnsi="仿宋" w:eastAsia="仿宋" w:cs="仿宋"/>
          <w:sz w:val="32"/>
          <w:szCs w:val="32"/>
        </w:rPr>
        <w:t>。与</w:t>
      </w:r>
      <w:r>
        <w:rPr>
          <w:rFonts w:ascii="仿宋" w:hAnsi="仿宋" w:eastAsia="仿宋" w:cs="仿宋"/>
          <w:sz w:val="32"/>
          <w:szCs w:val="32"/>
        </w:rPr>
        <w:t>2021</w:t>
      </w:r>
      <w:r>
        <w:rPr>
          <w:rFonts w:hint="eastAsia" w:ascii="仿宋" w:hAnsi="仿宋" w:eastAsia="仿宋" w:cs="仿宋"/>
          <w:sz w:val="32"/>
          <w:szCs w:val="32"/>
        </w:rPr>
        <w:t>年相比，一般公共预算财政拨款支出减少386.73万元，下降115.05</w:t>
      </w:r>
      <w:r>
        <w:rPr>
          <w:rFonts w:ascii="仿宋" w:hAnsi="仿宋" w:eastAsia="仿宋" w:cs="仿宋"/>
          <w:sz w:val="32"/>
          <w:szCs w:val="32"/>
        </w:rPr>
        <w:t>%</w:t>
      </w:r>
      <w:r>
        <w:rPr>
          <w:rFonts w:hint="eastAsia" w:ascii="仿宋" w:hAnsi="仿宋" w:eastAsia="仿宋" w:cs="仿宋"/>
          <w:sz w:val="32"/>
          <w:szCs w:val="32"/>
        </w:rPr>
        <w:t>。主要变动原因是</w:t>
      </w:r>
      <w:r>
        <w:rPr>
          <w:rFonts w:ascii="仿宋" w:hAnsi="仿宋" w:eastAsia="仿宋" w:cs="仿宋"/>
          <w:sz w:val="32"/>
          <w:szCs w:val="32"/>
        </w:rPr>
        <w:t>2022</w:t>
      </w:r>
      <w:r>
        <w:rPr>
          <w:rFonts w:hint="eastAsia" w:ascii="仿宋" w:hAnsi="仿宋" w:eastAsia="仿宋" w:cs="仿宋"/>
          <w:sz w:val="32"/>
          <w:szCs w:val="32"/>
        </w:rPr>
        <w:t>年未支付市级人口健康信息平台（一期）第四阶段资金。</w:t>
      </w:r>
    </w:p>
    <w:p>
      <w:pPr>
        <w:ind w:firstLine="640" w:firstLineChars="200"/>
        <w:rPr>
          <w:rFonts w:ascii="仿宋" w:hAnsi="仿宋" w:eastAsia="仿宋"/>
          <w:sz w:val="32"/>
          <w:szCs w:val="32"/>
        </w:rPr>
      </w:pPr>
      <w:r>
        <w:rPr>
          <w:rFonts w:ascii="仿宋" w:hAnsi="仿宋" w:eastAsia="仿宋"/>
          <w:sz w:val="32"/>
          <w:szCs w:val="32"/>
        </w:rPr>
        <w:drawing>
          <wp:inline distT="0" distB="0" distL="0" distR="0">
            <wp:extent cx="3659505" cy="2668270"/>
            <wp:effectExtent l="19050" t="0" r="16834"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bCs/>
          <w:sz w:val="32"/>
          <w:szCs w:val="32"/>
        </w:rPr>
      </w:pPr>
      <w:bookmarkStart w:id="29" w:name="_Toc15377211"/>
      <w:r>
        <w:rPr>
          <w:rFonts w:hint="eastAsia" w:ascii="仿宋" w:hAnsi="仿宋" w:eastAsia="仿宋" w:cs="仿宋"/>
          <w:b/>
          <w:bCs/>
          <w:sz w:val="32"/>
          <w:szCs w:val="32"/>
        </w:rPr>
        <w:t>（二）一般公共预算财政拨款支出决算结构情况</w:t>
      </w:r>
      <w:bookmarkEnd w:id="29"/>
    </w:p>
    <w:p>
      <w:pPr>
        <w:spacing w:line="600" w:lineRule="exact"/>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年一般公共预算财政拨款支出336.15万元，主要用于以下方面</w:t>
      </w:r>
      <w:r>
        <w:rPr>
          <w:rFonts w:ascii="仿宋" w:hAnsi="仿宋" w:eastAsia="仿宋" w:cs="仿宋"/>
          <w:sz w:val="32"/>
          <w:szCs w:val="32"/>
        </w:rPr>
        <w:t>:</w:t>
      </w:r>
      <w:r>
        <w:rPr>
          <w:rFonts w:hint="eastAsia" w:ascii="仿宋" w:hAnsi="仿宋" w:eastAsia="仿宋" w:cs="仿宋"/>
          <w:b/>
          <w:bCs/>
          <w:sz w:val="32"/>
          <w:szCs w:val="32"/>
        </w:rPr>
        <w:t>社会保障和就业支出</w:t>
      </w:r>
      <w:r>
        <w:rPr>
          <w:rFonts w:hint="eastAsia" w:ascii="仿宋" w:hAnsi="仿宋" w:eastAsia="仿宋" w:cs="仿宋"/>
          <w:sz w:val="32"/>
          <w:szCs w:val="32"/>
        </w:rPr>
        <w:t>45.96万元，占13.67</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sz w:val="32"/>
          <w:szCs w:val="32"/>
        </w:rPr>
        <w:t>271.98万元，占80.91</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b/>
          <w:bCs/>
          <w:sz w:val="32"/>
          <w:szCs w:val="32"/>
        </w:rPr>
        <w:t>住房保障支出</w:t>
      </w:r>
      <w:r>
        <w:rPr>
          <w:rFonts w:hint="eastAsia" w:ascii="仿宋" w:hAnsi="仿宋" w:eastAsia="仿宋" w:cs="仿宋"/>
          <w:sz w:val="32"/>
          <w:szCs w:val="32"/>
        </w:rPr>
        <w:t>18.21万元，占5.42</w:t>
      </w:r>
      <w:r>
        <w:rPr>
          <w:rFonts w:ascii="仿宋" w:hAnsi="仿宋" w:eastAsia="仿宋" w:cs="仿宋"/>
          <w:sz w:val="32"/>
          <w:szCs w:val="32"/>
        </w:rPr>
        <w:t>%</w:t>
      </w:r>
      <w:r>
        <w:rPr>
          <w:rFonts w:hint="eastAsia" w:ascii="仿宋" w:hAnsi="仿宋" w:eastAsia="仿宋" w:cs="仿宋"/>
          <w:sz w:val="32"/>
          <w:szCs w:val="32"/>
        </w:rPr>
        <w:t>。</w:t>
      </w:r>
    </w:p>
    <w:p>
      <w:pPr>
        <w:ind w:firstLine="641"/>
        <w:rPr>
          <w:rFonts w:ascii="仿宋" w:hAnsi="仿宋" w:eastAsia="仿宋"/>
          <w:sz w:val="32"/>
          <w:szCs w:val="32"/>
        </w:rPr>
      </w:pPr>
      <w:r>
        <w:rPr>
          <w:rFonts w:ascii="仿宋" w:hAnsi="仿宋" w:eastAsia="仿宋"/>
          <w:sz w:val="32"/>
          <w:szCs w:val="32"/>
        </w:rPr>
        <w:drawing>
          <wp:inline distT="0" distB="0" distL="0" distR="0">
            <wp:extent cx="3935730" cy="2902585"/>
            <wp:effectExtent l="19050" t="0" r="26138"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bCs/>
          <w:sz w:val="32"/>
          <w:szCs w:val="32"/>
        </w:rPr>
      </w:pPr>
      <w:bookmarkStart w:id="30" w:name="_Toc15377212"/>
      <w:r>
        <w:rPr>
          <w:rFonts w:hint="eastAsia" w:ascii="仿宋" w:hAnsi="仿宋" w:eastAsia="仿宋" w:cs="仿宋"/>
          <w:b/>
          <w:bCs/>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8460"/>
      <w:bookmarkStart w:id="32" w:name="_Toc15377213"/>
      <w:bookmarkStart w:id="33" w:name="_Toc15377444"/>
      <w:r>
        <w:rPr>
          <w:rFonts w:ascii="仿宋" w:hAnsi="仿宋" w:eastAsia="仿宋" w:cs="仿宋"/>
          <w:b/>
          <w:bCs/>
          <w:sz w:val="32"/>
          <w:szCs w:val="32"/>
        </w:rPr>
        <w:t>2022</w:t>
      </w:r>
      <w:r>
        <w:rPr>
          <w:rFonts w:hint="eastAsia" w:ascii="仿宋" w:hAnsi="仿宋" w:eastAsia="仿宋" w:cs="仿宋"/>
          <w:b/>
          <w:bCs/>
          <w:sz w:val="32"/>
          <w:szCs w:val="32"/>
        </w:rPr>
        <w:t>年一般公共预算支出决算数为336.15</w:t>
      </w:r>
      <w:r>
        <w:rPr>
          <w:rFonts w:hint="eastAsia" w:ascii="仿宋" w:hAnsi="仿宋" w:eastAsia="仿宋" w:cs="仿宋"/>
          <w:sz w:val="32"/>
          <w:szCs w:val="32"/>
        </w:rPr>
        <w:t>，</w:t>
      </w:r>
      <w:r>
        <w:rPr>
          <w:rStyle w:val="14"/>
          <w:rFonts w:hint="eastAsia" w:ascii="仿宋" w:hAnsi="仿宋" w:eastAsia="仿宋" w:cs="仿宋"/>
          <w:sz w:val="32"/>
          <w:szCs w:val="32"/>
        </w:rPr>
        <w:t>完成预算100</w:t>
      </w:r>
      <w:r>
        <w:rPr>
          <w:rStyle w:val="14"/>
          <w:rFonts w:ascii="仿宋" w:hAnsi="仿宋" w:eastAsia="仿宋" w:cs="仿宋"/>
          <w:sz w:val="32"/>
          <w:szCs w:val="32"/>
        </w:rPr>
        <w:t>%</w:t>
      </w:r>
      <w:r>
        <w:rPr>
          <w:rStyle w:val="14"/>
          <w:rFonts w:hint="eastAsia" w:ascii="仿宋" w:hAnsi="仿宋" w:eastAsia="仿宋" w:cs="仿宋"/>
          <w:sz w:val="32"/>
          <w:szCs w:val="32"/>
        </w:rPr>
        <w:t>。其中：</w:t>
      </w:r>
      <w:bookmarkEnd w:id="31"/>
      <w:bookmarkEnd w:id="32"/>
      <w:bookmarkEnd w:id="33"/>
    </w:p>
    <w:p>
      <w:pPr>
        <w:spacing w:line="600" w:lineRule="exact"/>
        <w:ind w:firstLine="642" w:firstLineChars="200"/>
        <w:rPr>
          <w:rStyle w:val="14"/>
          <w:rFonts w:ascii="仿宋" w:hAnsi="仿宋" w:eastAsia="仿宋" w:cs="仿宋"/>
          <w:b w:val="0"/>
          <w:bCs w:val="0"/>
          <w:color w:val="FF0000"/>
          <w:sz w:val="32"/>
          <w:szCs w:val="32"/>
        </w:rPr>
      </w:pPr>
      <w:r>
        <w:rPr>
          <w:rStyle w:val="14"/>
          <w:rFonts w:hint="eastAsia" w:ascii="仿宋" w:hAnsi="仿宋" w:eastAsia="仿宋" w:cs="仿宋"/>
          <w:sz w:val="32"/>
          <w:szCs w:val="32"/>
        </w:rPr>
        <w:t>1.社会保障和就业（类）行政</w:t>
      </w:r>
      <w:r>
        <w:rPr>
          <w:rStyle w:val="14"/>
          <w:rFonts w:ascii="仿宋" w:hAnsi="仿宋" w:eastAsia="仿宋" w:cs="仿宋"/>
          <w:sz w:val="32"/>
          <w:szCs w:val="32"/>
        </w:rPr>
        <w:t>事业单位养老支出</w:t>
      </w:r>
      <w:r>
        <w:rPr>
          <w:rStyle w:val="14"/>
          <w:rFonts w:hint="eastAsia" w:ascii="仿宋" w:hAnsi="仿宋" w:eastAsia="仿宋" w:cs="仿宋"/>
          <w:sz w:val="32"/>
          <w:szCs w:val="32"/>
        </w:rPr>
        <w:t>（款）事业</w:t>
      </w:r>
      <w:r>
        <w:rPr>
          <w:rStyle w:val="14"/>
          <w:rFonts w:ascii="仿宋" w:hAnsi="仿宋" w:eastAsia="仿宋" w:cs="仿宋"/>
          <w:sz w:val="32"/>
          <w:szCs w:val="32"/>
        </w:rPr>
        <w:t>单位离退休</w:t>
      </w:r>
      <w:r>
        <w:rPr>
          <w:rStyle w:val="14"/>
          <w:rFonts w:hint="eastAsia" w:ascii="仿宋" w:hAnsi="仿宋" w:eastAsia="仿宋" w:cs="仿宋"/>
          <w:sz w:val="32"/>
          <w:szCs w:val="32"/>
        </w:rPr>
        <w:t>（项）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支出决算为29.01万元，完成预算100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pPr>
        <w:spacing w:line="600" w:lineRule="exact"/>
        <w:ind w:firstLine="642"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2.社会保障和就业（类）行政</w:t>
      </w:r>
      <w:r>
        <w:rPr>
          <w:rStyle w:val="14"/>
          <w:rFonts w:ascii="仿宋" w:hAnsi="仿宋" w:eastAsia="仿宋" w:cs="仿宋"/>
          <w:sz w:val="32"/>
          <w:szCs w:val="32"/>
        </w:rPr>
        <w:t>事业单位养老支出</w:t>
      </w:r>
      <w:r>
        <w:rPr>
          <w:rStyle w:val="14"/>
          <w:rFonts w:hint="eastAsia" w:ascii="仿宋" w:hAnsi="仿宋" w:eastAsia="仿宋" w:cs="仿宋"/>
          <w:sz w:val="32"/>
          <w:szCs w:val="32"/>
        </w:rPr>
        <w:t>（款）机关事业单位基本养老保险缴费支出（项）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支出决算为16.95万元，完成预算100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pPr>
        <w:spacing w:line="600" w:lineRule="exact"/>
        <w:ind w:firstLine="642"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3</w:t>
      </w:r>
      <w:r>
        <w:rPr>
          <w:rStyle w:val="14"/>
          <w:rFonts w:ascii="仿宋" w:hAnsi="仿宋" w:eastAsia="仿宋" w:cs="仿宋"/>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（类）公立</w:t>
      </w:r>
      <w:r>
        <w:rPr>
          <w:rStyle w:val="14"/>
          <w:rFonts w:ascii="仿宋" w:hAnsi="仿宋" w:eastAsia="仿宋" w:cs="仿宋"/>
          <w:sz w:val="32"/>
          <w:szCs w:val="32"/>
        </w:rPr>
        <w:t>医院</w:t>
      </w:r>
      <w:r>
        <w:rPr>
          <w:rStyle w:val="14"/>
          <w:rFonts w:hint="eastAsia" w:ascii="仿宋" w:hAnsi="仿宋" w:eastAsia="仿宋" w:cs="仿宋"/>
          <w:sz w:val="32"/>
          <w:szCs w:val="32"/>
        </w:rPr>
        <w:t>（款）其他</w:t>
      </w:r>
      <w:r>
        <w:rPr>
          <w:rStyle w:val="14"/>
          <w:rFonts w:ascii="仿宋" w:hAnsi="仿宋" w:eastAsia="仿宋" w:cs="仿宋"/>
          <w:sz w:val="32"/>
          <w:szCs w:val="32"/>
        </w:rPr>
        <w:t>公立医院支出</w:t>
      </w:r>
      <w:r>
        <w:rPr>
          <w:rStyle w:val="14"/>
          <w:rFonts w:hint="eastAsia" w:ascii="仿宋" w:hAnsi="仿宋" w:eastAsia="仿宋" w:cs="仿宋"/>
          <w:sz w:val="32"/>
          <w:szCs w:val="32"/>
        </w:rPr>
        <w:t>（项）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支出决算为25万元，完成预算100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pPr>
        <w:spacing w:line="600" w:lineRule="exact"/>
        <w:ind w:firstLine="642"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4</w:t>
      </w:r>
      <w:r>
        <w:rPr>
          <w:rStyle w:val="14"/>
          <w:rFonts w:ascii="仿宋" w:hAnsi="仿宋" w:eastAsia="仿宋" w:cs="仿宋"/>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（类）公共卫生（款）基本公共卫生服务（项）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支出决算为8万元，完成预算100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pPr>
        <w:spacing w:line="600" w:lineRule="exact"/>
        <w:ind w:firstLine="642"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5</w:t>
      </w:r>
      <w:r>
        <w:rPr>
          <w:rStyle w:val="14"/>
          <w:rFonts w:ascii="仿宋" w:hAnsi="仿宋" w:eastAsia="仿宋" w:cs="仿宋"/>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（类）其他卫生健康支出（款）其他卫生健康支出（项）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支出决算为238.98万元，完成预算100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pPr>
        <w:spacing w:line="600" w:lineRule="exact"/>
        <w:ind w:firstLine="642"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6.住房保障支出（类）住房改革支出（款）住房公积金（项）：</w:t>
      </w:r>
      <w:r>
        <w:rPr>
          <w:rStyle w:val="14"/>
          <w:rFonts w:hint="eastAsia" w:ascii="仿宋" w:hAnsi="仿宋" w:eastAsia="仿宋" w:cs="仿宋"/>
          <w:b w:val="0"/>
          <w:bCs w:val="0"/>
          <w:sz w:val="32"/>
          <w:szCs w:val="32"/>
        </w:rPr>
        <w:t>支出决算为18.21万元，完成预算100%。</w:t>
      </w:r>
    </w:p>
    <w:p>
      <w:pPr>
        <w:pStyle w:val="2"/>
        <w:spacing w:before="93"/>
      </w:pPr>
    </w:p>
    <w:p>
      <w:pPr>
        <w:tabs>
          <w:tab w:val="right" w:pos="8306"/>
        </w:tabs>
        <w:spacing w:line="600" w:lineRule="exact"/>
        <w:ind w:firstLine="640"/>
        <w:outlineLvl w:val="1"/>
        <w:rPr>
          <w:rStyle w:val="17"/>
        </w:rPr>
      </w:pPr>
      <w:bookmarkStart w:id="34" w:name="_Toc15396608"/>
      <w:bookmarkStart w:id="35" w:name="_Toc15377214"/>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7"/>
          <w:rFonts w:hint="eastAsia" w:ascii="黑体" w:hAnsi="黑体" w:eastAsia="黑体" w:cs="黑体"/>
          <w:b w:val="0"/>
          <w:bCs w:val="0"/>
        </w:rPr>
        <w:t>般公共预算财政拨款基本支出决算情况说明</w:t>
      </w:r>
      <w:bookmarkEnd w:id="34"/>
      <w:bookmarkEnd w:id="35"/>
      <w:r>
        <w:rPr>
          <w:rStyle w:val="17"/>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年一般公共预算财政拨款基本支出336.15万元，其中：</w:t>
      </w:r>
    </w:p>
    <w:p>
      <w:pPr>
        <w:spacing w:line="600" w:lineRule="exact"/>
        <w:ind w:firstLine="645"/>
        <w:rPr>
          <w:rFonts w:ascii="仿宋" w:hAnsi="仿宋" w:eastAsia="仿宋" w:cs="仿宋"/>
          <w:sz w:val="32"/>
          <w:szCs w:val="32"/>
        </w:rPr>
      </w:pPr>
      <w:r>
        <w:rPr>
          <w:rFonts w:hint="eastAsia" w:ascii="仿宋" w:hAnsi="仿宋" w:eastAsia="仿宋" w:cs="仿宋"/>
          <w:sz w:val="32"/>
          <w:szCs w:val="32"/>
        </w:rPr>
        <w:t>人员经费253.93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cs="仿宋"/>
          <w:sz w:val="32"/>
          <w:szCs w:val="32"/>
        </w:rPr>
        <w:t>　　公用经费25.82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bCs/>
          <w:sz w:val="32"/>
          <w:szCs w:val="32"/>
        </w:rPr>
      </w:pPr>
    </w:p>
    <w:p>
      <w:pPr>
        <w:spacing w:line="600" w:lineRule="exact"/>
        <w:ind w:firstLine="640"/>
        <w:outlineLvl w:val="1"/>
        <w:rPr>
          <w:rStyle w:val="17"/>
          <w:rFonts w:ascii="黑体" w:hAnsi="黑体" w:eastAsia="黑体" w:cs="Times New Roman"/>
          <w:b w:val="0"/>
          <w:bCs w:val="0"/>
        </w:rPr>
      </w:pPr>
      <w:bookmarkStart w:id="36" w:name="_Toc15377215"/>
      <w:bookmarkStart w:id="37" w:name="_Toc15396609"/>
      <w:r>
        <w:rPr>
          <w:rFonts w:hint="eastAsia" w:ascii="黑体" w:eastAsia="黑体" w:cs="黑体"/>
          <w:sz w:val="32"/>
          <w:szCs w:val="32"/>
        </w:rPr>
        <w:t>七、</w:t>
      </w:r>
      <w:r>
        <w:rPr>
          <w:rStyle w:val="17"/>
          <w:rFonts w:hint="eastAsia" w:ascii="黑体" w:hAnsi="黑体" w:eastAsia="黑体" w:cs="黑体"/>
          <w:b w:val="0"/>
          <w:bCs w:val="0"/>
        </w:rPr>
        <w:t>财政拨款</w:t>
      </w:r>
      <w:r>
        <w:rPr>
          <w:rStyle w:val="17"/>
          <w:rFonts w:hint="eastAsia" w:ascii="黑体" w:hAnsi="黑体" w:eastAsia="黑体" w:cs="黑体"/>
        </w:rPr>
        <w:t>“</w:t>
      </w:r>
      <w:r>
        <w:rPr>
          <w:rStyle w:val="17"/>
          <w:rFonts w:hint="eastAsia" w:ascii="黑体" w:hAnsi="黑体" w:eastAsia="黑体" w:cs="黑体"/>
          <w:b w:val="0"/>
          <w:bCs w:val="0"/>
        </w:rPr>
        <w:t>三公”经费支出决算情况说明</w:t>
      </w:r>
      <w:bookmarkEnd w:id="36"/>
      <w:bookmarkEnd w:id="37"/>
    </w:p>
    <w:p>
      <w:pPr>
        <w:spacing w:line="600" w:lineRule="exact"/>
        <w:ind w:firstLine="640"/>
        <w:outlineLvl w:val="2"/>
        <w:rPr>
          <w:rFonts w:ascii="仿宋" w:hAnsi="仿宋" w:eastAsia="仿宋"/>
          <w:b/>
          <w:bCs/>
          <w:sz w:val="32"/>
          <w:szCs w:val="32"/>
        </w:rPr>
      </w:pPr>
      <w:bookmarkStart w:id="38" w:name="_Toc15377216"/>
      <w:r>
        <w:rPr>
          <w:rFonts w:hint="eastAsia" w:ascii="仿宋" w:hAnsi="仿宋" w:eastAsia="仿宋" w:cs="仿宋"/>
          <w:b/>
          <w:bCs/>
          <w:sz w:val="32"/>
          <w:szCs w:val="32"/>
        </w:rPr>
        <w:t>（一）“三公”经费财政拨款支出决算总体情况说明</w:t>
      </w:r>
      <w:bookmarkEnd w:id="38"/>
    </w:p>
    <w:p>
      <w:pPr>
        <w:spacing w:line="600" w:lineRule="exact"/>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年“三公”经费财政拨款支出决算为0.56万元，完成预算100</w:t>
      </w:r>
      <w:r>
        <w:rPr>
          <w:rFonts w:ascii="仿宋" w:hAnsi="仿宋" w:eastAsia="仿宋" w:cs="仿宋"/>
          <w:sz w:val="32"/>
          <w:szCs w:val="32"/>
        </w:rPr>
        <w:t>%</w:t>
      </w:r>
      <w:r>
        <w:rPr>
          <w:rFonts w:hint="eastAsia" w:ascii="仿宋" w:hAnsi="仿宋" w:eastAsia="仿宋" w:cs="仿宋"/>
          <w:sz w:val="32"/>
          <w:szCs w:val="32"/>
        </w:rPr>
        <w:t>，较上年减少1.02万元，下降182.14</w:t>
      </w:r>
      <w:r>
        <w:rPr>
          <w:rFonts w:ascii="仿宋" w:hAnsi="仿宋" w:eastAsia="仿宋" w:cs="仿宋"/>
          <w:sz w:val="32"/>
          <w:szCs w:val="32"/>
        </w:rPr>
        <w:t>%</w:t>
      </w:r>
      <w:r>
        <w:rPr>
          <w:rFonts w:hint="eastAsia" w:ascii="仿宋" w:hAnsi="仿宋" w:eastAsia="仿宋" w:cs="仿宋"/>
          <w:sz w:val="32"/>
          <w:szCs w:val="32"/>
        </w:rPr>
        <w:t>。决算数小于预算数的主要原因是</w:t>
      </w:r>
      <w:r>
        <w:rPr>
          <w:rFonts w:ascii="仿宋" w:hAnsi="仿宋" w:eastAsia="仿宋" w:cs="仿宋"/>
          <w:sz w:val="32"/>
          <w:szCs w:val="32"/>
        </w:rPr>
        <w:t>2022</w:t>
      </w:r>
      <w:r>
        <w:rPr>
          <w:rFonts w:hint="eastAsia" w:ascii="仿宋" w:hAnsi="仿宋" w:eastAsia="仿宋" w:cs="仿宋"/>
          <w:sz w:val="32"/>
          <w:szCs w:val="32"/>
        </w:rPr>
        <w:t>下半年车辆维修费未支付。</w:t>
      </w:r>
    </w:p>
    <w:p>
      <w:pPr>
        <w:spacing w:line="600" w:lineRule="exact"/>
        <w:ind w:firstLine="640"/>
        <w:outlineLvl w:val="2"/>
        <w:rPr>
          <w:rFonts w:ascii="仿宋" w:hAnsi="仿宋" w:eastAsia="仿宋"/>
          <w:b/>
          <w:bCs/>
          <w:sz w:val="32"/>
          <w:szCs w:val="32"/>
        </w:rPr>
      </w:pPr>
      <w:bookmarkStart w:id="39" w:name="_Toc15377217"/>
      <w:r>
        <w:rPr>
          <w:rFonts w:hint="eastAsia" w:ascii="仿宋" w:hAnsi="仿宋" w:eastAsia="仿宋" w:cs="仿宋"/>
          <w:b/>
          <w:bCs/>
          <w:sz w:val="32"/>
          <w:szCs w:val="32"/>
        </w:rPr>
        <w:t>（二）“三公”经费财政拨款支出决算具体情况说明</w:t>
      </w:r>
      <w:bookmarkEnd w:id="39"/>
    </w:p>
    <w:p>
      <w:pPr>
        <w:spacing w:line="600" w:lineRule="exact"/>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年“三公”经费财政拨款支出决算中，因公出国（境）费支出决算0万元，占0</w:t>
      </w:r>
      <w:r>
        <w:rPr>
          <w:rFonts w:ascii="仿宋" w:hAnsi="仿宋" w:eastAsia="仿宋" w:cs="仿宋"/>
          <w:sz w:val="32"/>
          <w:szCs w:val="32"/>
        </w:rPr>
        <w:t>%</w:t>
      </w:r>
      <w:r>
        <w:rPr>
          <w:rFonts w:hint="eastAsia" w:ascii="仿宋" w:hAnsi="仿宋" w:eastAsia="仿宋" w:cs="仿宋"/>
          <w:sz w:val="32"/>
          <w:szCs w:val="32"/>
        </w:rPr>
        <w:t>；公务用车购置及运行维护费支出决算0.56万元，占100</w:t>
      </w:r>
      <w:r>
        <w:rPr>
          <w:rFonts w:ascii="仿宋" w:hAnsi="仿宋" w:eastAsia="仿宋" w:cs="仿宋"/>
          <w:sz w:val="32"/>
          <w:szCs w:val="32"/>
        </w:rPr>
        <w:t>%</w:t>
      </w:r>
      <w:r>
        <w:rPr>
          <w:rFonts w:hint="eastAsia" w:ascii="仿宋" w:hAnsi="仿宋" w:eastAsia="仿宋" w:cs="仿宋"/>
          <w:sz w:val="32"/>
          <w:szCs w:val="32"/>
        </w:rPr>
        <w:t>；公务接待费支出决算0万元，占0</w:t>
      </w:r>
      <w:r>
        <w:rPr>
          <w:rFonts w:ascii="仿宋" w:hAnsi="仿宋" w:eastAsia="仿宋" w:cs="仿宋"/>
          <w:sz w:val="32"/>
          <w:szCs w:val="32"/>
        </w:rPr>
        <w:t>%</w:t>
      </w:r>
      <w:r>
        <w:rPr>
          <w:rFonts w:hint="eastAsia" w:ascii="仿宋" w:hAnsi="仿宋" w:eastAsia="仿宋" w:cs="仿宋"/>
          <w:sz w:val="32"/>
          <w:szCs w:val="32"/>
        </w:rPr>
        <w:t>。具体情况如下：</w:t>
      </w:r>
    </w:p>
    <w:p>
      <w:pPr>
        <w:pStyle w:val="2"/>
        <w:spacing w:before="93"/>
      </w:pPr>
      <w:r>
        <w:drawing>
          <wp:inline distT="0" distB="0" distL="0" distR="0">
            <wp:extent cx="3978275" cy="2838450"/>
            <wp:effectExtent l="19050" t="0" r="21708"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：“三公”经费财政拨款支出结构）（饼状图）</w:t>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hint="eastAsia" w:ascii="仿宋_GB2312" w:eastAsia="仿宋_GB2312" w:cs="仿宋_GB2312"/>
          <w:sz w:val="32"/>
          <w:szCs w:val="32"/>
        </w:rPr>
        <w:t>0万元，</w:t>
      </w:r>
      <w:r>
        <w:rPr>
          <w:rStyle w:val="14"/>
          <w:rFonts w:hint="eastAsia" w:ascii="仿宋" w:hAnsi="仿宋" w:eastAsia="仿宋" w:cs="仿宋"/>
          <w:b w:val="0"/>
          <w:bCs w:val="0"/>
          <w:sz w:val="32"/>
          <w:szCs w:val="32"/>
        </w:rPr>
        <w:t>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全年安排因公出国（境）团组0次，出国（境）0人。因公出国（境）支出决算与</w:t>
      </w:r>
      <w:r>
        <w:rPr>
          <w:rFonts w:ascii="仿宋_GB2312" w:eastAsia="仿宋_GB2312" w:cs="仿宋_GB2312"/>
          <w:sz w:val="32"/>
          <w:szCs w:val="32"/>
        </w:rPr>
        <w:t>2021</w:t>
      </w:r>
      <w:r>
        <w:rPr>
          <w:rFonts w:hint="eastAsia" w:ascii="仿宋_GB2312" w:eastAsia="仿宋_GB2312" w:cs="仿宋_GB2312"/>
          <w:sz w:val="32"/>
          <w:szCs w:val="32"/>
        </w:rPr>
        <w:t>年持平。</w:t>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公务用车购置及运行维护费支出</w:t>
      </w:r>
      <w:r>
        <w:rPr>
          <w:rFonts w:hint="eastAsia" w:ascii="仿宋_GB2312" w:eastAsia="仿宋_GB2312" w:cs="仿宋_GB2312"/>
          <w:sz w:val="32"/>
          <w:szCs w:val="32"/>
        </w:rPr>
        <w:t>0.56万元</w:t>
      </w:r>
      <w:r>
        <w:rPr>
          <w:rFonts w:ascii="仿宋_GB2312" w:eastAsia="仿宋_GB2312" w:cs="仿宋_GB2312"/>
          <w:sz w:val="32"/>
          <w:szCs w:val="32"/>
        </w:rPr>
        <w:t>,</w:t>
      </w:r>
      <w:r>
        <w:rPr>
          <w:rStyle w:val="14"/>
          <w:rFonts w:hint="eastAsia" w:ascii="仿宋" w:hAnsi="仿宋" w:eastAsia="仿宋" w:cs="仿宋"/>
          <w:b w:val="0"/>
          <w:bCs w:val="0"/>
          <w:sz w:val="32"/>
          <w:szCs w:val="32"/>
        </w:rPr>
        <w:t>完成预算17.28</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公务用车购置及运行维护费支出决算比</w:t>
      </w:r>
      <w:r>
        <w:rPr>
          <w:rFonts w:ascii="仿宋_GB2312" w:eastAsia="仿宋_GB2312" w:cs="仿宋_GB2312"/>
          <w:sz w:val="32"/>
          <w:szCs w:val="32"/>
        </w:rPr>
        <w:t>2021</w:t>
      </w:r>
      <w:r>
        <w:rPr>
          <w:rFonts w:hint="eastAsia" w:ascii="仿宋_GB2312" w:eastAsia="仿宋_GB2312" w:cs="仿宋_GB2312"/>
          <w:sz w:val="32"/>
          <w:szCs w:val="32"/>
        </w:rPr>
        <w:t>年减少1.02万元，下降182.14</w:t>
      </w:r>
      <w:r>
        <w:rPr>
          <w:rFonts w:ascii="仿宋_GB2312" w:eastAsia="仿宋_GB2312" w:cs="仿宋_GB2312"/>
          <w:sz w:val="32"/>
          <w:szCs w:val="32"/>
        </w:rPr>
        <w:t>%</w:t>
      </w:r>
      <w:r>
        <w:rPr>
          <w:rFonts w:hint="eastAsia" w:ascii="仿宋_GB2312" w:eastAsia="仿宋_GB2312" w:cs="仿宋_GB2312"/>
          <w:sz w:val="32"/>
          <w:szCs w:val="32"/>
        </w:rPr>
        <w:t>。主要原因是</w:t>
      </w:r>
      <w:r>
        <w:rPr>
          <w:rFonts w:ascii="仿宋" w:hAnsi="仿宋" w:eastAsia="仿宋" w:cs="仿宋"/>
          <w:sz w:val="32"/>
          <w:szCs w:val="32"/>
        </w:rPr>
        <w:t>2022</w:t>
      </w:r>
      <w:r>
        <w:rPr>
          <w:rFonts w:hint="eastAsia" w:ascii="仿宋" w:hAnsi="仿宋" w:eastAsia="仿宋" w:cs="仿宋"/>
          <w:sz w:val="32"/>
          <w:szCs w:val="32"/>
        </w:rPr>
        <w:t>下半年车辆维修费未支付</w:t>
      </w:r>
      <w:r>
        <w:rPr>
          <w:rFonts w:hint="eastAsia" w:ascii="仿宋_GB2312" w:eastAsia="仿宋_GB2312" w:cs="仿宋_GB2312"/>
          <w:sz w:val="32"/>
          <w:szCs w:val="32"/>
        </w:rPr>
        <w:t>。</w:t>
      </w:r>
    </w:p>
    <w:p>
      <w:pPr>
        <w:spacing w:line="600" w:lineRule="exact"/>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hint="eastAsia" w:ascii="仿宋_GB2312" w:eastAsia="仿宋_GB2312" w:cs="仿宋_GB2312"/>
          <w:sz w:val="32"/>
          <w:szCs w:val="32"/>
        </w:rPr>
        <w:t>0万元。全年按规定更新购置公务用车0辆，其中：轿车0辆、金额0万元，越野车0辆、金额0万元，载客汽车0辆、金额0万元，。截至</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月底，单位共有公务用车2辆，其中：轿车2辆、越野车0辆、载客汽车0辆。</w:t>
      </w:r>
    </w:p>
    <w:p>
      <w:pPr>
        <w:spacing w:line="600" w:lineRule="exact"/>
        <w:ind w:firstLine="640"/>
        <w:rPr>
          <w:rFonts w:ascii="仿宋_GB2312" w:eastAsia="仿宋_GB2312"/>
          <w:sz w:val="32"/>
          <w:szCs w:val="32"/>
        </w:rPr>
      </w:pPr>
      <w:r>
        <w:rPr>
          <w:rFonts w:hint="eastAsia" w:ascii="仿宋_GB2312" w:eastAsia="仿宋_GB2312" w:cs="仿宋_GB2312"/>
          <w:b/>
          <w:bCs/>
          <w:sz w:val="32"/>
          <w:szCs w:val="32"/>
        </w:rPr>
        <w:t>公务用车运行维护费支出</w:t>
      </w:r>
      <w:r>
        <w:rPr>
          <w:rFonts w:hint="eastAsia" w:ascii="仿宋_GB2312" w:eastAsia="仿宋_GB2312" w:cs="仿宋_GB2312"/>
          <w:sz w:val="32"/>
          <w:szCs w:val="32"/>
        </w:rPr>
        <w:t>0.56万元。主要用于</w:t>
      </w:r>
      <w:r>
        <w:rPr>
          <w:rFonts w:hint="eastAsia" w:ascii="仿宋_GB2312" w:eastAsia="仿宋_GB2312"/>
          <w:sz w:val="32"/>
          <w:szCs w:val="32"/>
        </w:rPr>
        <w:t>行业</w:t>
      </w:r>
      <w:r>
        <w:rPr>
          <w:rFonts w:ascii="仿宋_GB2312" w:eastAsia="仿宋_GB2312"/>
          <w:sz w:val="32"/>
          <w:szCs w:val="32"/>
        </w:rPr>
        <w:t>资格考试、卫生统计</w:t>
      </w:r>
      <w:r>
        <w:rPr>
          <w:rFonts w:hint="eastAsia" w:ascii="仿宋_GB2312" w:eastAsia="仿宋_GB2312" w:cs="仿宋_GB2312"/>
          <w:sz w:val="32"/>
          <w:szCs w:val="32"/>
        </w:rPr>
        <w:t>等工作所需的公务用车燃料费、维修费、过路过桥费、保险费等支出。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公务接待费支出</w:t>
      </w:r>
      <w:r>
        <w:rPr>
          <w:rFonts w:hint="eastAsia" w:ascii="仿宋_GB2312" w:eastAsia="仿宋_GB2312" w:cs="仿宋_GB2312"/>
          <w:sz w:val="32"/>
          <w:szCs w:val="32"/>
        </w:rPr>
        <w:t>0万元，</w:t>
      </w:r>
      <w:r>
        <w:rPr>
          <w:rStyle w:val="14"/>
          <w:rFonts w:hint="eastAsia" w:ascii="仿宋" w:hAnsi="仿宋" w:eastAsia="仿宋" w:cs="仿宋"/>
          <w:b w:val="0"/>
          <w:bCs w:val="0"/>
          <w:sz w:val="32"/>
          <w:szCs w:val="32"/>
        </w:rPr>
        <w:t>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公务接待费支出决算与</w:t>
      </w:r>
      <w:r>
        <w:rPr>
          <w:rFonts w:ascii="仿宋_GB2312" w:eastAsia="仿宋_GB2312" w:cs="仿宋_GB2312"/>
          <w:sz w:val="32"/>
          <w:szCs w:val="32"/>
        </w:rPr>
        <w:t>2021</w:t>
      </w:r>
      <w:r>
        <w:rPr>
          <w:rFonts w:hint="eastAsia" w:ascii="仿宋_GB2312" w:eastAsia="仿宋_GB2312" w:cs="仿宋_GB2312"/>
          <w:sz w:val="32"/>
          <w:szCs w:val="32"/>
        </w:rPr>
        <w:t>年持平。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万元。国内公务接待0批次，0人次，共计支出0万元。</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万元。外事接待0批次，0人次，共计支出0万元。</w:t>
      </w:r>
      <w:bookmarkStart w:id="40" w:name="_Toc15377218"/>
      <w:bookmarkStart w:id="41" w:name="_Toc15396610"/>
    </w:p>
    <w:p>
      <w:pPr>
        <w:spacing w:line="600" w:lineRule="exact"/>
        <w:ind w:firstLine="640"/>
        <w:outlineLvl w:val="1"/>
        <w:rPr>
          <w:rStyle w:val="17"/>
          <w:rFonts w:ascii="黑体" w:hAnsi="黑体" w:eastAsia="黑体" w:cs="Times New Roman"/>
        </w:rPr>
      </w:pPr>
      <w:r>
        <w:rPr>
          <w:rFonts w:hint="eastAsia" w:ascii="黑体" w:eastAsia="黑体" w:cs="黑体"/>
          <w:sz w:val="32"/>
          <w:szCs w:val="32"/>
        </w:rPr>
        <w:t>八、</w:t>
      </w:r>
      <w:r>
        <w:rPr>
          <w:rStyle w:val="17"/>
          <w:rFonts w:hint="eastAsia" w:ascii="黑体" w:hAnsi="黑体" w:eastAsia="黑体" w:cs="黑体"/>
          <w:b w:val="0"/>
          <w:bCs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hint="eastAsia" w:ascii="仿宋_GB2312" w:eastAsia="仿宋_GB2312" w:cs="仿宋_GB2312"/>
          <w:sz w:val="32"/>
          <w:szCs w:val="32"/>
        </w:rPr>
        <w:t>年政府性基金预算财政拨款支出0万元。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17"/>
          <w:rFonts w:ascii="黑体" w:hAnsi="黑体" w:eastAsia="黑体" w:cs="Times New Roman"/>
          <w:b w:val="0"/>
          <w:bCs w:val="0"/>
        </w:rPr>
      </w:pPr>
      <w:bookmarkStart w:id="42" w:name="_Toc15377219"/>
      <w:bookmarkStart w:id="43" w:name="_Toc15396611"/>
      <w:r>
        <w:rPr>
          <w:rStyle w:val="17"/>
          <w:rFonts w:hint="eastAsia" w:ascii="黑体" w:hAnsi="黑体" w:eastAsia="黑体" w:cs="黑体"/>
          <w:b w:val="0"/>
          <w:bCs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hint="eastAsia" w:ascii="仿宋_GB2312" w:eastAsia="仿宋_GB2312" w:cs="仿宋_GB2312"/>
          <w:sz w:val="32"/>
          <w:szCs w:val="32"/>
        </w:rPr>
        <w:t>年国有资本经营预算财政拨款支出0万元。</w:t>
      </w:r>
    </w:p>
    <w:p>
      <w:pPr>
        <w:spacing w:line="580" w:lineRule="exact"/>
        <w:jc w:val="center"/>
        <w:rPr>
          <w:rFonts w:ascii="方正小标宋简体" w:hAnsi="方正小标宋简体" w:eastAsia="方正小标宋简体"/>
          <w:sz w:val="44"/>
          <w:szCs w:val="44"/>
        </w:rPr>
      </w:pPr>
    </w:p>
    <w:p>
      <w:pPr>
        <w:numPr>
          <w:ilvl w:val="0"/>
          <w:numId w:val="3"/>
        </w:numPr>
        <w:spacing w:line="600" w:lineRule="exact"/>
        <w:ind w:firstLine="640"/>
        <w:outlineLvl w:val="1"/>
        <w:rPr>
          <w:rStyle w:val="17"/>
          <w:rFonts w:ascii="黑体" w:hAnsi="黑体" w:eastAsia="黑体" w:cs="Times New Roman"/>
          <w:b w:val="0"/>
          <w:bCs w:val="0"/>
        </w:rPr>
      </w:pPr>
      <w:bookmarkStart w:id="44" w:name="_Toc15396612"/>
      <w:bookmarkStart w:id="45" w:name="_Toc15377221"/>
      <w:r>
        <w:rPr>
          <w:rStyle w:val="17"/>
          <w:rFonts w:hint="eastAsia" w:ascii="黑体" w:hAnsi="黑体" w:eastAsia="黑体" w:cs="黑体"/>
          <w:b w:val="0"/>
          <w:bCs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cs="仿宋"/>
          <w:b/>
          <w:bCs/>
          <w:sz w:val="32"/>
          <w:szCs w:val="32"/>
        </w:rPr>
        <w:t>（一）机关运行经费支出情况</w:t>
      </w:r>
      <w:bookmarkEnd w:id="46"/>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市健康促进和卫生大数据中心为事业单位，按规定未使用机关运行的相关科目。</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47" w:name="_Toc15377223"/>
      <w:r>
        <w:rPr>
          <w:rFonts w:hint="eastAsia" w:ascii="仿宋" w:hAnsi="仿宋" w:eastAsia="仿宋" w:cs="仿宋"/>
          <w:b/>
          <w:bCs/>
          <w:sz w:val="32"/>
          <w:szCs w:val="32"/>
        </w:rPr>
        <w:t>（二）政府采购支出情况</w:t>
      </w:r>
      <w:bookmarkEnd w:id="47"/>
    </w:p>
    <w:p>
      <w:pPr>
        <w:spacing w:line="600" w:lineRule="exact"/>
        <w:ind w:firstLine="640" w:firstLineChars="200"/>
        <w:rPr>
          <w:rFonts w:ascii="仿宋_GB2312" w:eastAsia="仿宋_GB2312" w:cs="仿宋_GB2312"/>
          <w:sz w:val="32"/>
          <w:szCs w:val="32"/>
        </w:rPr>
      </w:pPr>
      <w:r>
        <w:rPr>
          <w:rFonts w:ascii="仿宋_GB2312" w:eastAsia="仿宋_GB2312" w:cs="仿宋_GB2312"/>
          <w:sz w:val="32"/>
          <w:szCs w:val="32"/>
        </w:rPr>
        <w:t>2022</w:t>
      </w:r>
      <w:r>
        <w:rPr>
          <w:rFonts w:hint="eastAsia" w:ascii="仿宋_GB2312" w:eastAsia="仿宋_GB2312" w:cs="仿宋_GB2312"/>
          <w:sz w:val="32"/>
          <w:szCs w:val="32"/>
        </w:rPr>
        <w:t>年，市</w:t>
      </w:r>
      <w:r>
        <w:rPr>
          <w:rFonts w:ascii="仿宋_GB2312" w:eastAsia="仿宋_GB2312" w:cs="仿宋_GB2312"/>
          <w:sz w:val="32"/>
          <w:szCs w:val="32"/>
        </w:rPr>
        <w:t>健康促进和卫生大数据中心</w:t>
      </w:r>
      <w:r>
        <w:rPr>
          <w:rFonts w:hint="eastAsia" w:ascii="仿宋_GB2312" w:eastAsia="仿宋_GB2312" w:cs="仿宋_GB2312"/>
          <w:sz w:val="32"/>
          <w:szCs w:val="32"/>
        </w:rPr>
        <w:t>无政府采购项目，政府采购支出总额0万元。</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48" w:name="_Toc15377224"/>
      <w:r>
        <w:rPr>
          <w:rFonts w:hint="eastAsia" w:ascii="仿宋" w:hAnsi="仿宋" w:eastAsia="仿宋" w:cs="仿宋"/>
          <w:b/>
          <w:bCs/>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日，市</w:t>
      </w:r>
      <w:r>
        <w:rPr>
          <w:rFonts w:ascii="仿宋_GB2312" w:eastAsia="仿宋_GB2312" w:cs="仿宋_GB2312"/>
          <w:sz w:val="32"/>
          <w:szCs w:val="32"/>
        </w:rPr>
        <w:t>健康促进和卫生大数据中心</w:t>
      </w:r>
      <w:r>
        <w:rPr>
          <w:rFonts w:hint="eastAsia" w:ascii="仿宋_GB2312" w:eastAsia="仿宋_GB2312" w:cs="仿宋_GB2312"/>
          <w:sz w:val="32"/>
          <w:szCs w:val="32"/>
        </w:rPr>
        <w:t>共有车辆2辆，其中：主要领导干部用车0辆、机要通信用车0辆、应急保障用车0辆、其他用车2辆，其他用车主要是用于单位开展日常工作使用。单价</w:t>
      </w:r>
      <w:r>
        <w:rPr>
          <w:rFonts w:ascii="仿宋_GB2312" w:eastAsia="仿宋_GB2312" w:cs="仿宋_GB2312"/>
          <w:sz w:val="32"/>
          <w:szCs w:val="32"/>
        </w:rPr>
        <w:t>100</w:t>
      </w:r>
      <w:r>
        <w:rPr>
          <w:rFonts w:hint="eastAsia" w:ascii="仿宋_GB2312" w:eastAsia="仿宋_GB2312" w:cs="仿宋_GB2312"/>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pStyle w:val="2"/>
        <w:spacing w:before="93"/>
        <w:ind w:firstLine="640" w:firstLineChars="200"/>
        <w:rPr>
          <w:rFonts w:cs="Times New Roman"/>
          <w:highlight w:val="yellow"/>
        </w:rPr>
      </w:pPr>
      <w:r>
        <w:rPr>
          <w:rFonts w:hint="eastAsia" w:hAnsi="仿宋_GB2312"/>
          <w:sz w:val="32"/>
          <w:szCs w:val="32"/>
        </w:rPr>
        <w:t>根据预算绩效管理要求，本单位在</w:t>
      </w:r>
      <w:r>
        <w:rPr>
          <w:rFonts w:hAnsi="仿宋_GB2312"/>
          <w:sz w:val="32"/>
          <w:szCs w:val="32"/>
        </w:rPr>
        <w:t>2022</w:t>
      </w:r>
      <w:r>
        <w:rPr>
          <w:rFonts w:hint="eastAsia" w:hAnsi="仿宋_GB2312"/>
          <w:sz w:val="32"/>
          <w:szCs w:val="32"/>
        </w:rPr>
        <w:t>年度预算编制阶段，组织对医疗服务与保障能力提升（公立医院综合改革）（中央资金）等2个项目开展了预算事前绩效评估，对4个项目编制了绩效目标，预算执行过程中，选取4个项目开展绩效监控，组织对18个项目开展绩效自评，绩效自评表详见第四部分附件。</w:t>
      </w:r>
    </w:p>
    <w:p>
      <w:pPr>
        <w:widowControl/>
        <w:jc w:val="left"/>
        <w:rPr>
          <w:rFonts w:ascii="仿宋_GB2312" w:eastAsia="仿宋_GB2312"/>
          <w:b/>
          <w:bCs/>
          <w:sz w:val="32"/>
          <w:szCs w:val="32"/>
        </w:rPr>
      </w:pPr>
      <w:r>
        <w:rPr>
          <w:rFonts w:ascii="仿宋_GB2312" w:eastAsia="仿宋_GB2312"/>
          <w:b/>
          <w:bCs/>
          <w:sz w:val="32"/>
          <w:szCs w:val="32"/>
        </w:rPr>
        <w:br w:type="page"/>
      </w:r>
    </w:p>
    <w:p>
      <w:pPr>
        <w:numPr>
          <w:ilvl w:val="0"/>
          <w:numId w:val="4"/>
        </w:numPr>
        <w:spacing w:line="600" w:lineRule="exact"/>
        <w:ind w:firstLine="660" w:firstLineChars="150"/>
        <w:jc w:val="center"/>
        <w:outlineLvl w:val="0"/>
        <w:rPr>
          <w:rStyle w:val="16"/>
          <w:rFonts w:ascii="黑体" w:hAnsi="黑体" w:eastAsia="黑体"/>
          <w:b w:val="0"/>
          <w:bCs w:val="0"/>
        </w:rPr>
      </w:pPr>
      <w:bookmarkStart w:id="49" w:name="_Toc15377225"/>
      <w:bookmarkStart w:id="50" w:name="_Toc15396613"/>
      <w:r>
        <w:rPr>
          <w:rFonts w:hint="eastAsia" w:ascii="黑体" w:hAnsi="黑体" w:eastAsia="黑体" w:cs="黑体"/>
          <w:sz w:val="44"/>
          <w:szCs w:val="44"/>
        </w:rPr>
        <w:t>名</w:t>
      </w:r>
      <w:r>
        <w:rPr>
          <w:rStyle w:val="16"/>
          <w:rFonts w:hint="eastAsia" w:ascii="黑体" w:hAnsi="黑体" w:eastAsia="黑体" w:cs="黑体"/>
          <w:b w:val="0"/>
          <w:bCs w:val="0"/>
        </w:rPr>
        <w:t>词解释</w:t>
      </w:r>
      <w:bookmarkEnd w:id="49"/>
      <w:bookmarkEnd w:id="50"/>
    </w:p>
    <w:p>
      <w:pPr>
        <w:spacing w:line="600" w:lineRule="exact"/>
        <w:jc w:val="left"/>
        <w:rPr>
          <w:rFonts w:ascii="宋体"/>
          <w:b/>
          <w:bCs/>
          <w:sz w:val="44"/>
          <w:szCs w:val="44"/>
        </w:rPr>
      </w:pPr>
    </w:p>
    <w:p>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事业收入：指事业单位开展专业业务活动及辅助活动取得的收入。</w:t>
      </w:r>
    </w:p>
    <w:p>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其他收入：指单位取得的除上述收入以外的各项收入。</w:t>
      </w:r>
    </w:p>
    <w:p>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rPr>
        <w:t>使用非财政拨款结余：指事业单位使用以前年度积累的非财政拨款结余弥补当年收支差额的金额。</w:t>
      </w:r>
    </w:p>
    <w:p>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6.</w:t>
      </w:r>
      <w:r>
        <w:rPr>
          <w:rFonts w:hint="eastAsia" w:ascii="仿宋_GB2312" w:eastAsia="仿宋_GB2312" w:cs="仿宋_GB2312"/>
          <w:color w:val="auto"/>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7.</w:t>
      </w:r>
      <w:r>
        <w:rPr>
          <w:rFonts w:hint="eastAsia" w:ascii="仿宋_GB2312" w:eastAsia="仿宋_GB2312" w:cs="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8.</w:t>
      </w:r>
      <w:r>
        <w:rPr>
          <w:rFonts w:hint="eastAsia" w:ascii="仿宋_GB2312" w:eastAsia="仿宋_GB2312" w:cs="仿宋_GB2312"/>
          <w:color w:val="auto"/>
          <w:sz w:val="32"/>
          <w:szCs w:val="32"/>
        </w:rPr>
        <w:t>年末结转和结余：指单位按有关规定结转到下年或以后年度继续使用的资金。</w:t>
      </w:r>
    </w:p>
    <w:p>
      <w:pPr>
        <w:pStyle w:val="26"/>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9.社会保障和就业（类）</w:t>
      </w:r>
      <w:r>
        <w:rPr>
          <w:rFonts w:ascii="仿宋_GB2312" w:eastAsia="仿宋_GB2312" w:cs="仿宋_GB2312"/>
          <w:color w:val="auto"/>
          <w:sz w:val="32"/>
          <w:szCs w:val="32"/>
        </w:rPr>
        <w:t>行政事业单位养老支出</w:t>
      </w:r>
      <w:r>
        <w:rPr>
          <w:rFonts w:hint="eastAsia" w:ascii="仿宋_GB2312" w:eastAsia="仿宋_GB2312" w:cs="仿宋_GB2312"/>
          <w:color w:val="auto"/>
          <w:sz w:val="32"/>
          <w:szCs w:val="32"/>
        </w:rPr>
        <w:t>（款）</w:t>
      </w:r>
      <w:r>
        <w:rPr>
          <w:rFonts w:ascii="仿宋_GB2312" w:eastAsia="仿宋_GB2312" w:cs="仿宋_GB2312"/>
          <w:color w:val="auto"/>
          <w:sz w:val="32"/>
          <w:szCs w:val="32"/>
        </w:rPr>
        <w:t>事业单位离退休</w:t>
      </w:r>
      <w:r>
        <w:rPr>
          <w:rFonts w:hint="eastAsia" w:ascii="仿宋_GB2312" w:eastAsia="仿宋_GB2312" w:cs="仿宋_GB2312"/>
          <w:color w:val="auto"/>
          <w:sz w:val="32"/>
          <w:szCs w:val="32"/>
        </w:rPr>
        <w:t>（项）</w:t>
      </w:r>
      <w:r>
        <w:rPr>
          <w:rFonts w:ascii="仿宋_GB2312" w:eastAsia="仿宋_GB2312" w:cs="仿宋_GB2312"/>
          <w:color w:val="auto"/>
          <w:sz w:val="32"/>
          <w:szCs w:val="32"/>
        </w:rPr>
        <w:t>:</w:t>
      </w:r>
      <w:r>
        <w:rPr>
          <w:rFonts w:hint="eastAsia" w:ascii="仿宋_GB2312" w:eastAsia="仿宋_GB2312" w:cs="仿宋_GB2312"/>
          <w:color w:val="auto"/>
          <w:sz w:val="32"/>
          <w:szCs w:val="32"/>
        </w:rPr>
        <w:t xml:space="preserve"> 指事业单位开支的离退休经费。</w:t>
      </w:r>
    </w:p>
    <w:p>
      <w:pPr>
        <w:pStyle w:val="26"/>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10.社会保障和就业（类）</w:t>
      </w:r>
      <w:r>
        <w:rPr>
          <w:rFonts w:ascii="仿宋_GB2312" w:eastAsia="仿宋_GB2312" w:cs="仿宋_GB2312"/>
          <w:color w:val="auto"/>
          <w:sz w:val="32"/>
          <w:szCs w:val="32"/>
        </w:rPr>
        <w:t>行政事业单位养老支出</w:t>
      </w:r>
      <w:r>
        <w:rPr>
          <w:rFonts w:hint="eastAsia" w:ascii="仿宋_GB2312" w:eastAsia="仿宋_GB2312" w:cs="仿宋_GB2312"/>
          <w:color w:val="auto"/>
          <w:sz w:val="32"/>
          <w:szCs w:val="32"/>
        </w:rPr>
        <w:t>（款）机关事业单位基本养老保险缴费支出（项）</w:t>
      </w:r>
      <w:r>
        <w:rPr>
          <w:rFonts w:ascii="仿宋_GB2312" w:eastAsia="仿宋_GB2312" w:cs="仿宋_GB2312"/>
          <w:color w:val="auto"/>
          <w:sz w:val="32"/>
          <w:szCs w:val="32"/>
        </w:rPr>
        <w:t>:</w:t>
      </w:r>
      <w:r>
        <w:rPr>
          <w:rFonts w:hint="eastAsia" w:ascii="仿宋_GB2312" w:eastAsia="仿宋_GB2312" w:cs="仿宋_GB2312"/>
          <w:color w:val="auto"/>
          <w:sz w:val="32"/>
          <w:szCs w:val="32"/>
        </w:rPr>
        <w:t>指机关事业单位实施养老保险制度由单位缴纳的基本养老保险支出。</w:t>
      </w:r>
    </w:p>
    <w:p>
      <w:pPr>
        <w:pStyle w:val="26"/>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11.卫生健康（类）</w:t>
      </w:r>
      <w:r>
        <w:rPr>
          <w:rFonts w:ascii="仿宋_GB2312" w:eastAsia="仿宋_GB2312" w:cs="仿宋_GB2312"/>
          <w:color w:val="auto"/>
          <w:sz w:val="32"/>
          <w:szCs w:val="32"/>
        </w:rPr>
        <w:t>公立医院</w:t>
      </w:r>
      <w:r>
        <w:rPr>
          <w:rFonts w:hint="eastAsia" w:ascii="仿宋_GB2312" w:eastAsia="仿宋_GB2312" w:cs="仿宋_GB2312"/>
          <w:color w:val="auto"/>
          <w:sz w:val="32"/>
          <w:szCs w:val="32"/>
        </w:rPr>
        <w:t>（款）</w:t>
      </w:r>
      <w:r>
        <w:rPr>
          <w:rFonts w:ascii="仿宋_GB2312" w:eastAsia="仿宋_GB2312" w:cs="仿宋_GB2312"/>
          <w:color w:val="auto"/>
          <w:sz w:val="32"/>
          <w:szCs w:val="32"/>
        </w:rPr>
        <w:t>其他公立医院支出</w:t>
      </w:r>
      <w:r>
        <w:rPr>
          <w:rFonts w:hint="eastAsia" w:ascii="仿宋_GB2312" w:eastAsia="仿宋_GB2312" w:cs="仿宋_GB2312"/>
          <w:color w:val="auto"/>
          <w:sz w:val="32"/>
          <w:szCs w:val="32"/>
        </w:rPr>
        <w:t>（项）</w:t>
      </w:r>
      <w:r>
        <w:rPr>
          <w:rFonts w:ascii="仿宋_GB2312" w:eastAsia="仿宋_GB2312" w:cs="仿宋_GB2312"/>
          <w:color w:val="auto"/>
          <w:sz w:val="32"/>
          <w:szCs w:val="32"/>
        </w:rPr>
        <w:t>:</w:t>
      </w:r>
      <w:r>
        <w:rPr>
          <w:rFonts w:hint="eastAsia" w:ascii="仿宋_GB2312" w:eastAsia="仿宋_GB2312" w:cs="仿宋_GB2312"/>
          <w:color w:val="auto"/>
          <w:sz w:val="32"/>
          <w:szCs w:val="32"/>
        </w:rPr>
        <w:t>指其他用于公立医院方面的支出。</w:t>
      </w:r>
    </w:p>
    <w:p>
      <w:pPr>
        <w:pStyle w:val="26"/>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12.卫生健康（类）公共卫生（款）基本公共卫生服务（项）</w:t>
      </w:r>
      <w:r>
        <w:rPr>
          <w:rFonts w:ascii="仿宋_GB2312" w:eastAsia="仿宋_GB2312" w:cs="仿宋_GB2312"/>
          <w:color w:val="auto"/>
          <w:sz w:val="32"/>
          <w:szCs w:val="32"/>
        </w:rPr>
        <w:t>:</w:t>
      </w:r>
      <w:r>
        <w:rPr>
          <w:rFonts w:hint="eastAsia" w:ascii="仿宋_GB2312" w:eastAsia="仿宋_GB2312" w:cs="仿宋_GB2312"/>
          <w:color w:val="auto"/>
          <w:sz w:val="32"/>
          <w:szCs w:val="32"/>
        </w:rPr>
        <w:t>指基本公共卫生服务支出。</w:t>
      </w:r>
    </w:p>
    <w:p>
      <w:pPr>
        <w:pStyle w:val="26"/>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13.卫生健康（类）其他卫生健康支出（款）其他卫生健康支出（项）</w:t>
      </w:r>
      <w:r>
        <w:rPr>
          <w:rFonts w:ascii="仿宋_GB2312" w:eastAsia="仿宋_GB2312" w:cs="仿宋_GB2312"/>
          <w:color w:val="auto"/>
          <w:sz w:val="32"/>
          <w:szCs w:val="32"/>
        </w:rPr>
        <w:t>:</w:t>
      </w:r>
      <w:r>
        <w:rPr>
          <w:rFonts w:hint="eastAsia" w:ascii="仿宋_GB2312" w:eastAsia="仿宋_GB2312" w:cs="仿宋_GB2312"/>
          <w:color w:val="auto"/>
          <w:sz w:val="32"/>
          <w:szCs w:val="32"/>
        </w:rPr>
        <w:t>其他用于卫生健康方面的支出</w:t>
      </w:r>
    </w:p>
    <w:p>
      <w:pPr>
        <w:pStyle w:val="26"/>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14.住房保障支出（类）住房改革支出（款）住房公积金（项）：指行政事业单位按人力资源和社会保障部、财政部规定的基本工资和津贴补贴以及规定比例为职工缴纳的住房公积金。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cs="仿宋_GB2312"/>
          <w:sz w:val="32"/>
          <w:szCs w:val="32"/>
        </w:rPr>
        <w:t>15</w:t>
      </w:r>
      <w:r>
        <w:rPr>
          <w:rFonts w:ascii="仿宋_GB2312" w:eastAsia="仿宋_GB2312" w:cs="仿宋_GB2312"/>
          <w:sz w:val="32"/>
          <w:szCs w:val="32"/>
        </w:rPr>
        <w:t>.</w:t>
      </w:r>
      <w:r>
        <w:rPr>
          <w:rFonts w:hint="eastAsia" w:ascii="仿宋_GB2312" w:eastAsia="仿宋_GB2312" w:cs="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cs="仿宋_GB2312"/>
          <w:sz w:val="32"/>
          <w:szCs w:val="32"/>
        </w:rPr>
        <w:t>16</w:t>
      </w:r>
      <w:r>
        <w:rPr>
          <w:rFonts w:ascii="仿宋_GB2312" w:eastAsia="仿宋_GB2312" w:cs="仿宋_GB2312"/>
          <w:sz w:val="32"/>
          <w:szCs w:val="32"/>
        </w:rPr>
        <w:t>.</w:t>
      </w:r>
      <w:r>
        <w:rPr>
          <w:rFonts w:hint="eastAsia" w:ascii="仿宋_GB2312" w:eastAsia="仿宋_GB2312" w:cs="仿宋_GB2312"/>
          <w:sz w:val="32"/>
          <w:szCs w:val="32"/>
        </w:rPr>
        <w:t>项目支出：指在基本支出之外为完成特定行政任务和事业发展目标所发生的支出。</w:t>
      </w:r>
    </w:p>
    <w:p>
      <w:pPr>
        <w:pStyle w:val="2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17</w:t>
      </w:r>
      <w:r>
        <w:rPr>
          <w:rFonts w:ascii="仿宋_GB2312" w:eastAsia="仿宋_GB2312" w:cs="仿宋_GB2312"/>
          <w:color w:val="auto"/>
          <w:sz w:val="32"/>
          <w:szCs w:val="32"/>
        </w:rPr>
        <w:t>.</w:t>
      </w:r>
      <w:r>
        <w:rPr>
          <w:rFonts w:hint="eastAsia" w:ascii="仿宋_GB2312" w:eastAsia="仿宋_GB2312" w:cs="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s="Times New Roman"/>
          <w:color w:val="auto"/>
          <w:sz w:val="32"/>
          <w:szCs w:val="32"/>
        </w:rPr>
      </w:pPr>
    </w:p>
    <w:p>
      <w:pPr>
        <w:pStyle w:val="26"/>
        <w:spacing w:line="560" w:lineRule="exact"/>
        <w:ind w:firstLine="640" w:firstLineChars="200"/>
        <w:rPr>
          <w:rFonts w:ascii="仿宋_GB2312" w:eastAsia="仿宋_GB2312" w:cs="Times New Roman"/>
          <w:color w:val="auto"/>
          <w:sz w:val="32"/>
          <w:szCs w:val="32"/>
        </w:rPr>
      </w:pPr>
    </w:p>
    <w:p>
      <w:pPr>
        <w:pStyle w:val="26"/>
        <w:spacing w:line="560" w:lineRule="exact"/>
        <w:ind w:firstLine="640" w:firstLineChars="200"/>
        <w:rPr>
          <w:rFonts w:ascii="仿宋_GB2312" w:eastAsia="仿宋_GB2312" w:cs="Times New Roman"/>
          <w:color w:val="auto"/>
          <w:sz w:val="32"/>
          <w:szCs w:val="32"/>
        </w:rPr>
      </w:pPr>
    </w:p>
    <w:p>
      <w:pPr>
        <w:pStyle w:val="26"/>
        <w:spacing w:line="560" w:lineRule="exact"/>
        <w:ind w:firstLine="640" w:firstLineChars="200"/>
        <w:rPr>
          <w:rFonts w:ascii="仿宋_GB2312" w:eastAsia="仿宋_GB2312" w:cs="Times New Roman"/>
          <w:color w:val="auto"/>
          <w:sz w:val="32"/>
          <w:szCs w:val="32"/>
        </w:rPr>
      </w:pPr>
    </w:p>
    <w:p>
      <w:pPr>
        <w:spacing w:line="600" w:lineRule="exact"/>
        <w:jc w:val="center"/>
        <w:outlineLvl w:val="0"/>
        <w:rPr>
          <w:rStyle w:val="16"/>
          <w:rFonts w:ascii="黑体" w:hAnsi="黑体" w:eastAsia="黑体"/>
          <w:b w:val="0"/>
          <w:bCs w:val="0"/>
        </w:rPr>
      </w:pPr>
      <w:bookmarkStart w:id="51" w:name="_Toc15396614"/>
      <w:bookmarkStart w:id="52" w:name="_Toc15377226"/>
      <w:r>
        <w:rPr>
          <w:rFonts w:hint="eastAsia" w:ascii="黑体" w:hAnsi="黑体" w:eastAsia="黑体" w:cs="黑体"/>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bookmarkEnd w:id="51"/>
    </w:p>
    <w:p>
      <w:pPr>
        <w:spacing w:line="572" w:lineRule="exact"/>
        <w:jc w:val="left"/>
        <w:outlineLvl w:val="0"/>
        <w:rPr>
          <w:rFonts w:ascii="仿宋_GB2312" w:hAnsi="仿宋_GB2312" w:eastAsia="仿宋_GB2312"/>
          <w:sz w:val="32"/>
          <w:szCs w:val="32"/>
        </w:rPr>
      </w:pPr>
    </w:p>
    <w:p>
      <w:pPr>
        <w:spacing w:line="600" w:lineRule="exact"/>
        <w:jc w:val="center"/>
        <w:outlineLvl w:val="0"/>
        <w:rPr>
          <w:rFonts w:ascii="宋体"/>
          <w:kern w:val="0"/>
          <w:sz w:val="32"/>
          <w:szCs w:val="32"/>
        </w:rPr>
      </w:pPr>
      <w:bookmarkStart w:id="53" w:name="_Toc15396618"/>
      <w:r>
        <w:rPr>
          <w:rFonts w:hint="eastAsia" w:ascii="宋体" w:hAnsi="宋体" w:cs="宋体"/>
          <w:kern w:val="0"/>
          <w:sz w:val="32"/>
          <w:szCs w:val="32"/>
        </w:rPr>
        <w:t>部门预算项目支出绩效自评表（</w:t>
      </w:r>
      <w:r>
        <w:rPr>
          <w:rFonts w:ascii="宋体" w:hAnsi="宋体" w:cs="宋体"/>
          <w:kern w:val="0"/>
          <w:sz w:val="32"/>
          <w:szCs w:val="32"/>
        </w:rPr>
        <w:t>2022</w:t>
      </w:r>
      <w:r>
        <w:rPr>
          <w:rFonts w:hint="eastAsia" w:ascii="宋体" w:hAnsi="宋体" w:cs="宋体"/>
          <w:kern w:val="0"/>
          <w:sz w:val="32"/>
          <w:szCs w:val="32"/>
        </w:rPr>
        <w:t>年度）见附件1</w:t>
      </w:r>
    </w:p>
    <w:p>
      <w:pPr>
        <w:spacing w:line="600" w:lineRule="exact"/>
        <w:jc w:val="left"/>
        <w:outlineLvl w:val="0"/>
        <w:rPr>
          <w:rFonts w:ascii="仿宋_GB2312" w:hAnsi="Calibri" w:eastAsia="仿宋_GB2312"/>
          <w:kern w:val="0"/>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pStyle w:val="2"/>
        <w:spacing w:before="93"/>
        <w:rPr>
          <w:rFonts w:hAnsi="Calibri" w:cs="Times New Roman"/>
          <w:sz w:val="32"/>
          <w:szCs w:val="32"/>
        </w:rPr>
      </w:pPr>
    </w:p>
    <w:p>
      <w:pPr>
        <w:spacing w:line="600" w:lineRule="exact"/>
        <w:jc w:val="center"/>
        <w:outlineLvl w:val="0"/>
        <w:rPr>
          <w:rFonts w:ascii="仿宋" w:hAnsi="仿宋" w:eastAsia="仿宋"/>
        </w:rPr>
      </w:pPr>
      <w:r>
        <w:rPr>
          <w:rFonts w:hint="eastAsia" w:ascii="黑体" w:hAnsi="黑体" w:eastAsia="黑体" w:cs="黑体"/>
          <w:sz w:val="44"/>
          <w:szCs w:val="44"/>
        </w:rPr>
        <w:t>第</w:t>
      </w:r>
      <w:r>
        <w:rPr>
          <w:rStyle w:val="16"/>
          <w:rFonts w:hint="eastAsia" w:ascii="黑体" w:hAnsi="黑体" w:eastAsia="黑体" w:cs="黑体"/>
          <w:b w:val="0"/>
          <w:bCs w:val="0"/>
        </w:rPr>
        <w:t>五部分</w:t>
      </w:r>
      <w:r>
        <w:rPr>
          <w:rStyle w:val="16"/>
          <w:rFonts w:ascii="黑体" w:hAnsi="黑体" w:eastAsia="黑体" w:cs="黑体"/>
          <w:b w:val="0"/>
          <w:bCs w:val="0"/>
        </w:rPr>
        <w:t xml:space="preserve"> </w:t>
      </w:r>
      <w:r>
        <w:rPr>
          <w:rStyle w:val="16"/>
          <w:rFonts w:hint="eastAsia" w:ascii="黑体" w:hAnsi="黑体" w:eastAsia="黑体" w:cs="黑体"/>
          <w:b w:val="0"/>
          <w:bCs w:val="0"/>
        </w:rPr>
        <w:t>附表</w:t>
      </w:r>
      <w:bookmarkEnd w:id="52"/>
      <w:bookmarkEnd w:id="53"/>
      <w:bookmarkStart w:id="54" w:name="_Toc15396619"/>
    </w:p>
    <w:p>
      <w:pPr>
        <w:pStyle w:val="4"/>
        <w:rPr>
          <w:rFonts w:ascii="仿宋" w:hAnsi="仿宋" w:eastAsia="仿宋" w:cs="Times New Roman"/>
        </w:rPr>
      </w:pPr>
      <w:r>
        <w:rPr>
          <w:rFonts w:hint="eastAsia" w:ascii="仿宋" w:hAnsi="仿宋" w:eastAsia="仿宋" w:cs="仿宋"/>
          <w:b w:val="0"/>
          <w:bCs w:val="0"/>
        </w:rPr>
        <w:t>一、收</w:t>
      </w:r>
      <w:r>
        <w:rPr>
          <w:rStyle w:val="17"/>
          <w:rFonts w:hint="eastAsia" w:ascii="仿宋" w:hAnsi="仿宋" w:eastAsia="仿宋" w:cs="仿宋"/>
          <w:b w:val="0"/>
          <w:bCs w:val="0"/>
        </w:rPr>
        <w:t>入支出决算总表</w:t>
      </w:r>
      <w:bookmarkEnd w:id="54"/>
    </w:p>
    <w:p>
      <w:pPr>
        <w:pStyle w:val="4"/>
        <w:rPr>
          <w:rFonts w:ascii="仿宋" w:hAnsi="仿宋" w:eastAsia="仿宋" w:cs="Times New Roman"/>
        </w:rPr>
      </w:pPr>
      <w:bookmarkStart w:id="55" w:name="_Toc15396620"/>
      <w:r>
        <w:rPr>
          <w:rFonts w:hint="eastAsia" w:ascii="仿宋" w:hAnsi="仿宋" w:eastAsia="仿宋" w:cs="仿宋"/>
          <w:b w:val="0"/>
          <w:bCs w:val="0"/>
        </w:rPr>
        <w:t>二、收</w:t>
      </w:r>
      <w:r>
        <w:rPr>
          <w:rStyle w:val="17"/>
          <w:rFonts w:hint="eastAsia" w:ascii="仿宋" w:hAnsi="仿宋" w:eastAsia="仿宋" w:cs="仿宋"/>
          <w:b w:val="0"/>
          <w:bCs w:val="0"/>
        </w:rPr>
        <w:t>入决算表</w:t>
      </w:r>
      <w:bookmarkEnd w:id="55"/>
    </w:p>
    <w:p>
      <w:pPr>
        <w:pStyle w:val="4"/>
        <w:rPr>
          <w:rFonts w:ascii="仿宋" w:hAnsi="仿宋" w:eastAsia="仿宋" w:cs="Times New Roman"/>
        </w:rPr>
      </w:pPr>
      <w:bookmarkStart w:id="56" w:name="_Toc15396621"/>
      <w:r>
        <w:rPr>
          <w:rStyle w:val="17"/>
          <w:rFonts w:hint="eastAsia" w:ascii="仿宋" w:hAnsi="仿宋" w:eastAsia="仿宋" w:cs="仿宋"/>
          <w:b w:val="0"/>
          <w:bCs w:val="0"/>
        </w:rPr>
        <w:t>三、</w:t>
      </w:r>
      <w:r>
        <w:rPr>
          <w:rFonts w:hint="eastAsia" w:ascii="仿宋" w:hAnsi="仿宋" w:eastAsia="仿宋" w:cs="仿宋"/>
          <w:b w:val="0"/>
          <w:bCs w:val="0"/>
        </w:rPr>
        <w:t>支</w:t>
      </w:r>
      <w:r>
        <w:rPr>
          <w:rStyle w:val="17"/>
          <w:rFonts w:hint="eastAsia" w:ascii="仿宋" w:hAnsi="仿宋" w:eastAsia="仿宋" w:cs="仿宋"/>
          <w:b w:val="0"/>
          <w:bCs w:val="0"/>
        </w:rPr>
        <w:t>出决算表</w:t>
      </w:r>
      <w:bookmarkEnd w:id="56"/>
    </w:p>
    <w:p>
      <w:pPr>
        <w:pStyle w:val="4"/>
        <w:rPr>
          <w:rFonts w:ascii="仿宋" w:hAnsi="仿宋" w:eastAsia="仿宋" w:cs="Times New Roman"/>
          <w:b w:val="0"/>
          <w:bCs w:val="0"/>
        </w:rPr>
      </w:pPr>
      <w:bookmarkStart w:id="57" w:name="_Toc15396622"/>
      <w:r>
        <w:rPr>
          <w:rStyle w:val="17"/>
          <w:rFonts w:hint="eastAsia" w:ascii="仿宋" w:hAnsi="仿宋" w:eastAsia="仿宋" w:cs="仿宋"/>
          <w:b w:val="0"/>
          <w:bCs w:val="0"/>
        </w:rPr>
        <w:t>四、</w:t>
      </w:r>
      <w:r>
        <w:rPr>
          <w:rFonts w:hint="eastAsia" w:ascii="仿宋" w:hAnsi="仿宋" w:eastAsia="仿宋" w:cs="仿宋"/>
          <w:b w:val="0"/>
          <w:bCs w:val="0"/>
        </w:rPr>
        <w:t>财</w:t>
      </w:r>
      <w:r>
        <w:rPr>
          <w:rStyle w:val="17"/>
          <w:rFonts w:hint="eastAsia" w:ascii="仿宋" w:hAnsi="仿宋" w:eastAsia="仿宋" w:cs="仿宋"/>
          <w:b w:val="0"/>
          <w:bCs w:val="0"/>
        </w:rPr>
        <w:t>政拨款收入支出决算总表</w:t>
      </w:r>
      <w:bookmarkEnd w:id="57"/>
    </w:p>
    <w:p>
      <w:pPr>
        <w:pStyle w:val="4"/>
        <w:rPr>
          <w:rStyle w:val="17"/>
          <w:rFonts w:ascii="仿宋" w:hAnsi="仿宋" w:eastAsia="仿宋" w:cs="Times New Roman"/>
          <w:b w:val="0"/>
          <w:bCs w:val="0"/>
        </w:rPr>
      </w:pPr>
      <w:bookmarkStart w:id="58" w:name="_Toc15396623"/>
      <w:r>
        <w:rPr>
          <w:rStyle w:val="17"/>
          <w:rFonts w:hint="eastAsia" w:ascii="仿宋" w:hAnsi="仿宋" w:eastAsia="仿宋" w:cs="仿宋"/>
          <w:b w:val="0"/>
          <w:bCs w:val="0"/>
        </w:rPr>
        <w:t>五、</w:t>
      </w:r>
      <w:r>
        <w:rPr>
          <w:rFonts w:hint="eastAsia" w:ascii="仿宋" w:hAnsi="仿宋" w:eastAsia="仿宋" w:cs="仿宋"/>
          <w:b w:val="0"/>
          <w:bCs w:val="0"/>
        </w:rPr>
        <w:t>财</w:t>
      </w:r>
      <w:r>
        <w:rPr>
          <w:rStyle w:val="17"/>
          <w:rFonts w:hint="eastAsia" w:ascii="仿宋" w:hAnsi="仿宋" w:eastAsia="仿宋" w:cs="仿宋"/>
          <w:b w:val="0"/>
          <w:bCs w:val="0"/>
        </w:rPr>
        <w:t>政拨款支出决算明细表</w:t>
      </w:r>
      <w:bookmarkEnd w:id="58"/>
      <w:bookmarkStart w:id="59" w:name="_Toc15396624"/>
    </w:p>
    <w:p>
      <w:pPr>
        <w:pStyle w:val="4"/>
        <w:rPr>
          <w:rFonts w:ascii="仿宋" w:hAnsi="仿宋" w:eastAsia="仿宋" w:cs="Times New Roman"/>
        </w:rPr>
      </w:pPr>
      <w:r>
        <w:rPr>
          <w:rStyle w:val="17"/>
          <w:rFonts w:hint="eastAsia" w:ascii="仿宋" w:hAnsi="仿宋" w:eastAsia="仿宋" w:cs="仿宋"/>
          <w:b w:val="0"/>
          <w:bCs w:val="0"/>
        </w:rPr>
        <w:t>六、</w:t>
      </w:r>
      <w:r>
        <w:rPr>
          <w:rFonts w:hint="eastAsia" w:ascii="仿宋" w:hAnsi="仿宋" w:eastAsia="仿宋" w:cs="仿宋"/>
          <w:b w:val="0"/>
          <w:bCs w:val="0"/>
        </w:rPr>
        <w:t>一</w:t>
      </w:r>
      <w:r>
        <w:rPr>
          <w:rStyle w:val="17"/>
          <w:rFonts w:hint="eastAsia" w:ascii="仿宋" w:hAnsi="仿宋" w:eastAsia="仿宋" w:cs="仿宋"/>
          <w:b w:val="0"/>
          <w:bCs w:val="0"/>
        </w:rPr>
        <w:t>般公共预算财政拨款支出决算表</w:t>
      </w:r>
      <w:bookmarkEnd w:id="59"/>
    </w:p>
    <w:p>
      <w:pPr>
        <w:pStyle w:val="4"/>
        <w:rPr>
          <w:rFonts w:ascii="仿宋" w:hAnsi="仿宋" w:eastAsia="仿宋" w:cs="Times New Roman"/>
        </w:rPr>
      </w:pPr>
      <w:bookmarkStart w:id="60" w:name="_Toc15396625"/>
      <w:r>
        <w:rPr>
          <w:rStyle w:val="17"/>
          <w:rFonts w:hint="eastAsia" w:ascii="仿宋" w:hAnsi="仿宋" w:eastAsia="仿宋" w:cs="仿宋"/>
          <w:b w:val="0"/>
          <w:bCs w:val="0"/>
        </w:rPr>
        <w:t>七、</w:t>
      </w:r>
      <w:r>
        <w:rPr>
          <w:rFonts w:hint="eastAsia" w:ascii="仿宋" w:hAnsi="仿宋" w:eastAsia="仿宋" w:cs="仿宋"/>
          <w:b w:val="0"/>
          <w:bCs w:val="0"/>
        </w:rPr>
        <w:t>一</w:t>
      </w:r>
      <w:r>
        <w:rPr>
          <w:rStyle w:val="17"/>
          <w:rFonts w:hint="eastAsia" w:ascii="仿宋" w:hAnsi="仿宋" w:eastAsia="仿宋" w:cs="仿宋"/>
          <w:b w:val="0"/>
          <w:bCs w:val="0"/>
        </w:rPr>
        <w:t>般公共预算财政拨款支出决算明细表</w:t>
      </w:r>
      <w:bookmarkEnd w:id="60"/>
    </w:p>
    <w:p>
      <w:pPr>
        <w:pStyle w:val="4"/>
        <w:rPr>
          <w:rFonts w:ascii="仿宋" w:hAnsi="仿宋" w:eastAsia="仿宋" w:cs="Times New Roman"/>
        </w:rPr>
      </w:pPr>
      <w:bookmarkStart w:id="61" w:name="_Toc15396626"/>
      <w:r>
        <w:rPr>
          <w:rStyle w:val="17"/>
          <w:rFonts w:hint="eastAsia" w:ascii="仿宋" w:hAnsi="仿宋" w:eastAsia="仿宋" w:cs="仿宋"/>
          <w:b w:val="0"/>
          <w:bCs w:val="0"/>
        </w:rPr>
        <w:t>八、</w:t>
      </w:r>
      <w:r>
        <w:rPr>
          <w:rFonts w:hint="eastAsia" w:ascii="仿宋" w:hAnsi="仿宋" w:eastAsia="仿宋" w:cs="仿宋"/>
          <w:b w:val="0"/>
          <w:bCs w:val="0"/>
        </w:rPr>
        <w:t>一</w:t>
      </w:r>
      <w:r>
        <w:rPr>
          <w:rStyle w:val="17"/>
          <w:rFonts w:hint="eastAsia" w:ascii="仿宋" w:hAnsi="仿宋" w:eastAsia="仿宋" w:cs="仿宋"/>
          <w:b w:val="0"/>
          <w:bCs w:val="0"/>
        </w:rPr>
        <w:t>般公共预算财政拨款基本支出决算表</w:t>
      </w:r>
      <w:bookmarkEnd w:id="61"/>
    </w:p>
    <w:p>
      <w:pPr>
        <w:pStyle w:val="4"/>
        <w:rPr>
          <w:rFonts w:ascii="仿宋" w:hAnsi="仿宋" w:eastAsia="仿宋" w:cs="Times New Roman"/>
        </w:rPr>
      </w:pPr>
      <w:bookmarkStart w:id="62" w:name="_Toc15396627"/>
      <w:r>
        <w:rPr>
          <w:rStyle w:val="17"/>
          <w:rFonts w:hint="eastAsia" w:ascii="仿宋" w:hAnsi="仿宋" w:eastAsia="仿宋" w:cs="仿宋"/>
          <w:b w:val="0"/>
          <w:bCs w:val="0"/>
        </w:rPr>
        <w:t>九、</w:t>
      </w:r>
      <w:r>
        <w:rPr>
          <w:rFonts w:hint="eastAsia" w:ascii="仿宋" w:hAnsi="仿宋" w:eastAsia="仿宋" w:cs="仿宋"/>
          <w:b w:val="0"/>
          <w:bCs w:val="0"/>
        </w:rPr>
        <w:t>一</w:t>
      </w:r>
      <w:r>
        <w:rPr>
          <w:rStyle w:val="17"/>
          <w:rFonts w:hint="eastAsia" w:ascii="仿宋" w:hAnsi="仿宋" w:eastAsia="仿宋" w:cs="仿宋"/>
          <w:b w:val="0"/>
          <w:bCs w:val="0"/>
        </w:rPr>
        <w:t>般公共预算财政拨款项目支出决算表</w:t>
      </w:r>
      <w:bookmarkEnd w:id="62"/>
    </w:p>
    <w:p>
      <w:pPr>
        <w:pStyle w:val="4"/>
        <w:rPr>
          <w:rFonts w:ascii="仿宋" w:hAnsi="仿宋" w:eastAsia="仿宋" w:cs="Times New Roman"/>
        </w:rPr>
      </w:pPr>
      <w:bookmarkStart w:id="63" w:name="_Toc15396628"/>
      <w:r>
        <w:rPr>
          <w:rStyle w:val="17"/>
          <w:rFonts w:hint="eastAsia" w:ascii="仿宋" w:hAnsi="仿宋" w:eastAsia="仿宋" w:cs="仿宋"/>
          <w:b w:val="0"/>
          <w:bCs w:val="0"/>
        </w:rPr>
        <w:t>十、</w:t>
      </w:r>
      <w:bookmarkEnd w:id="63"/>
      <w:r>
        <w:rPr>
          <w:rFonts w:hint="eastAsia" w:ascii="仿宋" w:hAnsi="仿宋" w:eastAsia="仿宋" w:cs="仿宋"/>
          <w:b w:val="0"/>
          <w:bCs w:val="0"/>
        </w:rPr>
        <w:t>政</w:t>
      </w:r>
      <w:r>
        <w:rPr>
          <w:rStyle w:val="17"/>
          <w:rFonts w:hint="eastAsia" w:ascii="仿宋" w:hAnsi="仿宋" w:eastAsia="仿宋" w:cs="仿宋"/>
          <w:b w:val="0"/>
          <w:bCs w:val="0"/>
        </w:rPr>
        <w:t>府性基金预算财政拨款收入支出决算表（此表无数据）</w:t>
      </w:r>
    </w:p>
    <w:p>
      <w:pPr>
        <w:pStyle w:val="4"/>
        <w:rPr>
          <w:rFonts w:ascii="仿宋" w:hAnsi="仿宋" w:eastAsia="仿宋" w:cs="Times New Roman"/>
        </w:rPr>
      </w:pPr>
      <w:bookmarkStart w:id="64" w:name="_Toc15396629"/>
      <w:r>
        <w:rPr>
          <w:rStyle w:val="17"/>
          <w:rFonts w:hint="eastAsia" w:ascii="仿宋" w:hAnsi="仿宋" w:eastAsia="仿宋" w:cs="仿宋"/>
          <w:b w:val="0"/>
          <w:bCs w:val="0"/>
        </w:rPr>
        <w:t>十一、</w:t>
      </w:r>
      <w:bookmarkEnd w:id="64"/>
      <w:r>
        <w:rPr>
          <w:rFonts w:hint="eastAsia" w:ascii="仿宋" w:hAnsi="仿宋" w:eastAsia="仿宋" w:cs="仿宋"/>
          <w:b w:val="0"/>
          <w:bCs w:val="0"/>
        </w:rPr>
        <w:t>国</w:t>
      </w:r>
      <w:r>
        <w:rPr>
          <w:rStyle w:val="17"/>
          <w:rFonts w:hint="eastAsia" w:ascii="仿宋" w:hAnsi="仿宋" w:eastAsia="仿宋" w:cs="仿宋"/>
          <w:b w:val="0"/>
          <w:bCs w:val="0"/>
        </w:rPr>
        <w:t>有资本经营预算财政拨款收入支出决算表（此表无数据）</w:t>
      </w:r>
    </w:p>
    <w:p>
      <w:pPr>
        <w:pStyle w:val="4"/>
        <w:rPr>
          <w:rFonts w:ascii="仿宋" w:hAnsi="仿宋" w:eastAsia="仿宋" w:cs="Times New Roman"/>
        </w:rPr>
      </w:pPr>
      <w:bookmarkStart w:id="65" w:name="_Toc15396630"/>
      <w:r>
        <w:rPr>
          <w:rStyle w:val="17"/>
          <w:rFonts w:hint="eastAsia" w:ascii="仿宋" w:hAnsi="仿宋" w:eastAsia="仿宋" w:cs="仿宋"/>
          <w:b w:val="0"/>
          <w:bCs w:val="0"/>
        </w:rPr>
        <w:t>十二、</w:t>
      </w:r>
      <w:bookmarkEnd w:id="65"/>
      <w:r>
        <w:rPr>
          <w:rStyle w:val="17"/>
          <w:rFonts w:hint="eastAsia" w:ascii="仿宋" w:hAnsi="仿宋" w:eastAsia="仿宋" w:cs="仿宋"/>
          <w:b w:val="0"/>
          <w:bCs w:val="0"/>
        </w:rPr>
        <w:t>国有资本经营预算财政拨款支出决算表（此表无数据）</w:t>
      </w:r>
    </w:p>
    <w:p>
      <w:pPr>
        <w:pStyle w:val="4"/>
        <w:rPr>
          <w:rFonts w:eastAsia="仿宋" w:cs="Times New Roman"/>
        </w:rPr>
      </w:pPr>
      <w:bookmarkStart w:id="66" w:name="_Toc15396631"/>
      <w:r>
        <w:rPr>
          <w:rStyle w:val="17"/>
          <w:rFonts w:hint="eastAsia" w:ascii="仿宋" w:hAnsi="仿宋" w:eastAsia="仿宋" w:cs="仿宋"/>
          <w:b w:val="0"/>
          <w:bCs w:val="0"/>
        </w:rPr>
        <w:t>十三、</w:t>
      </w:r>
      <w:bookmarkEnd w:id="66"/>
      <w:r>
        <w:rPr>
          <w:rStyle w:val="17"/>
          <w:rFonts w:hint="eastAsia" w:ascii="仿宋" w:hAnsi="仿宋" w:eastAsia="仿宋" w:cs="仿宋"/>
          <w:b w:val="0"/>
          <w:bCs w:val="0"/>
        </w:rPr>
        <w:t>财政拨款“三公”经费支出决算表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2</w:t>
    </w:r>
    <w:r>
      <w:rPr>
        <w:lang w:val="zh-CN"/>
      </w:rPr>
      <w:fldChar w:fldCharType="end"/>
    </w:r>
  </w:p>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764"/>
    <w:rsid w:val="000468DB"/>
    <w:rsid w:val="0006487A"/>
    <w:rsid w:val="00065F8F"/>
    <w:rsid w:val="000674DD"/>
    <w:rsid w:val="00070A43"/>
    <w:rsid w:val="000768F2"/>
    <w:rsid w:val="0009184B"/>
    <w:rsid w:val="00094236"/>
    <w:rsid w:val="0009593C"/>
    <w:rsid w:val="00097322"/>
    <w:rsid w:val="000A6A92"/>
    <w:rsid w:val="000B047F"/>
    <w:rsid w:val="000B4A77"/>
    <w:rsid w:val="000B5923"/>
    <w:rsid w:val="000B5A48"/>
    <w:rsid w:val="000B6FF3"/>
    <w:rsid w:val="000C0B55"/>
    <w:rsid w:val="000C3467"/>
    <w:rsid w:val="000C3CA6"/>
    <w:rsid w:val="000D1267"/>
    <w:rsid w:val="000D1D50"/>
    <w:rsid w:val="000D5782"/>
    <w:rsid w:val="000E5641"/>
    <w:rsid w:val="000E6613"/>
    <w:rsid w:val="000E7119"/>
    <w:rsid w:val="000F3D30"/>
    <w:rsid w:val="00114E9B"/>
    <w:rsid w:val="00123991"/>
    <w:rsid w:val="00126E9F"/>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0F60"/>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70833"/>
    <w:rsid w:val="00280496"/>
    <w:rsid w:val="00294DC9"/>
    <w:rsid w:val="00295495"/>
    <w:rsid w:val="002A109E"/>
    <w:rsid w:val="002A31DE"/>
    <w:rsid w:val="002B2613"/>
    <w:rsid w:val="002D6D05"/>
    <w:rsid w:val="002E0CA1"/>
    <w:rsid w:val="002F1818"/>
    <w:rsid w:val="002F567B"/>
    <w:rsid w:val="003216A9"/>
    <w:rsid w:val="00325592"/>
    <w:rsid w:val="00335A74"/>
    <w:rsid w:val="003369F7"/>
    <w:rsid w:val="00353485"/>
    <w:rsid w:val="0036561B"/>
    <w:rsid w:val="0037013F"/>
    <w:rsid w:val="00372056"/>
    <w:rsid w:val="00380C92"/>
    <w:rsid w:val="003A484F"/>
    <w:rsid w:val="003A4883"/>
    <w:rsid w:val="003B0BE0"/>
    <w:rsid w:val="003B0C1B"/>
    <w:rsid w:val="003B688C"/>
    <w:rsid w:val="003C0291"/>
    <w:rsid w:val="003C39AE"/>
    <w:rsid w:val="003C7256"/>
    <w:rsid w:val="003C7B60"/>
    <w:rsid w:val="003D0C0F"/>
    <w:rsid w:val="003D1FB2"/>
    <w:rsid w:val="003D66DA"/>
    <w:rsid w:val="003E1310"/>
    <w:rsid w:val="003E6F55"/>
    <w:rsid w:val="003F3642"/>
    <w:rsid w:val="00406254"/>
    <w:rsid w:val="004223DE"/>
    <w:rsid w:val="00434489"/>
    <w:rsid w:val="00436B40"/>
    <w:rsid w:val="00437085"/>
    <w:rsid w:val="00443880"/>
    <w:rsid w:val="004464F4"/>
    <w:rsid w:val="00464B39"/>
    <w:rsid w:val="00471401"/>
    <w:rsid w:val="00473F31"/>
    <w:rsid w:val="0048263A"/>
    <w:rsid w:val="00485945"/>
    <w:rsid w:val="00487A5C"/>
    <w:rsid w:val="00487E5D"/>
    <w:rsid w:val="004A711F"/>
    <w:rsid w:val="004B199D"/>
    <w:rsid w:val="004B4690"/>
    <w:rsid w:val="004E0A2D"/>
    <w:rsid w:val="004E206B"/>
    <w:rsid w:val="004E6DF7"/>
    <w:rsid w:val="004F0FBD"/>
    <w:rsid w:val="005023B6"/>
    <w:rsid w:val="00505A47"/>
    <w:rsid w:val="00512FDA"/>
    <w:rsid w:val="00520DA0"/>
    <w:rsid w:val="005664BB"/>
    <w:rsid w:val="00566FFA"/>
    <w:rsid w:val="0057481D"/>
    <w:rsid w:val="0058486E"/>
    <w:rsid w:val="00584DF1"/>
    <w:rsid w:val="00585B33"/>
    <w:rsid w:val="0059014D"/>
    <w:rsid w:val="005A049A"/>
    <w:rsid w:val="005B145D"/>
    <w:rsid w:val="005B5C64"/>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0379"/>
    <w:rsid w:val="00681A31"/>
    <w:rsid w:val="00683E73"/>
    <w:rsid w:val="006A3141"/>
    <w:rsid w:val="006A5E34"/>
    <w:rsid w:val="006B2422"/>
    <w:rsid w:val="006B2B9A"/>
    <w:rsid w:val="006C1937"/>
    <w:rsid w:val="006F020C"/>
    <w:rsid w:val="007127B7"/>
    <w:rsid w:val="0071798E"/>
    <w:rsid w:val="00721B12"/>
    <w:rsid w:val="007416B6"/>
    <w:rsid w:val="00746F48"/>
    <w:rsid w:val="0075404D"/>
    <w:rsid w:val="0076182A"/>
    <w:rsid w:val="00767B7E"/>
    <w:rsid w:val="007770C3"/>
    <w:rsid w:val="00784D24"/>
    <w:rsid w:val="00785FBA"/>
    <w:rsid w:val="00786E4A"/>
    <w:rsid w:val="007875EB"/>
    <w:rsid w:val="00787AB1"/>
    <w:rsid w:val="0079426B"/>
    <w:rsid w:val="007B0088"/>
    <w:rsid w:val="007B5AB0"/>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77F0B"/>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45F2"/>
    <w:rsid w:val="009F6549"/>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7ED"/>
    <w:rsid w:val="00BE7F1B"/>
    <w:rsid w:val="00BF5BD6"/>
    <w:rsid w:val="00C03E31"/>
    <w:rsid w:val="00C33E72"/>
    <w:rsid w:val="00C354B2"/>
    <w:rsid w:val="00C35554"/>
    <w:rsid w:val="00C42709"/>
    <w:rsid w:val="00C533CC"/>
    <w:rsid w:val="00C5751C"/>
    <w:rsid w:val="00C604FB"/>
    <w:rsid w:val="00C61BFC"/>
    <w:rsid w:val="00C62B85"/>
    <w:rsid w:val="00C65438"/>
    <w:rsid w:val="00C7524A"/>
    <w:rsid w:val="00C84970"/>
    <w:rsid w:val="00C87FD8"/>
    <w:rsid w:val="00C91381"/>
    <w:rsid w:val="00C91CBB"/>
    <w:rsid w:val="00CB4E70"/>
    <w:rsid w:val="00CC09B6"/>
    <w:rsid w:val="00CC666F"/>
    <w:rsid w:val="00CD1E3F"/>
    <w:rsid w:val="00CE2C05"/>
    <w:rsid w:val="00CE44F6"/>
    <w:rsid w:val="00CE49DA"/>
    <w:rsid w:val="00CE7B61"/>
    <w:rsid w:val="00D00095"/>
    <w:rsid w:val="00D010FB"/>
    <w:rsid w:val="00D114F0"/>
    <w:rsid w:val="00D20620"/>
    <w:rsid w:val="00D254F7"/>
    <w:rsid w:val="00D26091"/>
    <w:rsid w:val="00D2685C"/>
    <w:rsid w:val="00D3227F"/>
    <w:rsid w:val="00D34E7C"/>
    <w:rsid w:val="00D35489"/>
    <w:rsid w:val="00D36AFE"/>
    <w:rsid w:val="00D51276"/>
    <w:rsid w:val="00D7035F"/>
    <w:rsid w:val="00D95957"/>
    <w:rsid w:val="00DA634F"/>
    <w:rsid w:val="00DA65AC"/>
    <w:rsid w:val="00DB1913"/>
    <w:rsid w:val="00DC3DA5"/>
    <w:rsid w:val="00DC410D"/>
    <w:rsid w:val="00DC5A81"/>
    <w:rsid w:val="00DC68CA"/>
    <w:rsid w:val="00DC7CBA"/>
    <w:rsid w:val="00DD4DB3"/>
    <w:rsid w:val="00DD73B7"/>
    <w:rsid w:val="00DF28BC"/>
    <w:rsid w:val="00DF34B9"/>
    <w:rsid w:val="00E01053"/>
    <w:rsid w:val="00E07ACF"/>
    <w:rsid w:val="00E169B1"/>
    <w:rsid w:val="00E331A1"/>
    <w:rsid w:val="00E33202"/>
    <w:rsid w:val="00E336A9"/>
    <w:rsid w:val="00E472B1"/>
    <w:rsid w:val="00E50624"/>
    <w:rsid w:val="00E568DF"/>
    <w:rsid w:val="00E64269"/>
    <w:rsid w:val="00E8126D"/>
    <w:rsid w:val="00E82267"/>
    <w:rsid w:val="00E853CE"/>
    <w:rsid w:val="00E867B6"/>
    <w:rsid w:val="00EA010F"/>
    <w:rsid w:val="00EC3DA1"/>
    <w:rsid w:val="00EC5CC0"/>
    <w:rsid w:val="00ED1B63"/>
    <w:rsid w:val="00ED3C1F"/>
    <w:rsid w:val="00ED4085"/>
    <w:rsid w:val="00ED420E"/>
    <w:rsid w:val="00ED6FBE"/>
    <w:rsid w:val="00EE2F57"/>
    <w:rsid w:val="00EF4C34"/>
    <w:rsid w:val="00EF77C6"/>
    <w:rsid w:val="00F05438"/>
    <w:rsid w:val="00F06B55"/>
    <w:rsid w:val="00F10D1C"/>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60B8"/>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 w:val="9E3A10E2"/>
    <w:rsid w:val="A9AB339B"/>
    <w:rsid w:val="C9DF9FCC"/>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qFormat/>
    <w:uiPriority w:val="39"/>
    <w:pPr>
      <w:tabs>
        <w:tab w:val="right" w:leader="dot" w:pos="8296"/>
      </w:tabs>
      <w:adjustRightInd w:val="0"/>
      <w:snapToGrid w:val="0"/>
      <w:spacing w:line="440" w:lineRule="exact"/>
      <w:jc w:val="left"/>
    </w:pPr>
    <w:rPr>
      <w:rFonts w:ascii="仿宋" w:hAnsi="仿宋" w:eastAsia="仿宋" w:cs="仿宋"/>
      <w:sz w:val="24"/>
      <w:szCs w:val="24"/>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标题 1 Char"/>
    <w:basedOn w:val="13"/>
    <w:link w:val="3"/>
    <w:qFormat/>
    <w:locked/>
    <w:uiPriority w:val="99"/>
    <w:rPr>
      <w:rFonts w:ascii="Times New Roman" w:hAnsi="Times New Roman" w:cs="Times New Roman"/>
      <w:b/>
      <w:bCs/>
      <w:kern w:val="44"/>
      <w:sz w:val="44"/>
      <w:szCs w:val="44"/>
    </w:rPr>
  </w:style>
  <w:style w:type="character" w:customStyle="1" w:styleId="17">
    <w:name w:val="标题 2 Char"/>
    <w:basedOn w:val="13"/>
    <w:link w:val="4"/>
    <w:qFormat/>
    <w:locked/>
    <w:uiPriority w:val="99"/>
    <w:rPr>
      <w:rFonts w:ascii="Cambria" w:hAnsi="Cambria" w:eastAsia="宋体" w:cs="Cambria"/>
      <w:b/>
      <w:bCs/>
      <w:kern w:val="2"/>
      <w:sz w:val="32"/>
      <w:szCs w:val="32"/>
    </w:rPr>
  </w:style>
  <w:style w:type="character" w:customStyle="1" w:styleId="18">
    <w:name w:val="标题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szCs w:val="18"/>
    </w:rPr>
  </w:style>
  <w:style w:type="character" w:customStyle="1" w:styleId="24">
    <w:name w:val="页脚 Char"/>
    <w:link w:val="8"/>
    <w:qFormat/>
    <w:locked/>
    <w:uiPriority w:val="99"/>
    <w:rPr>
      <w:sz w:val="18"/>
      <w:szCs w:val="18"/>
    </w:rPr>
  </w:style>
  <w:style w:type="character" w:customStyle="1" w:styleId="25">
    <w:name w:val="正文文本 Char"/>
    <w:link w:val="2"/>
    <w:qFormat/>
    <w:locked/>
    <w:uiPriority w:val="99"/>
    <w:rPr>
      <w:rFonts w:ascii="仿宋_GB2312" w:hAnsi="Times New Roman" w:eastAsia="仿宋_GB2312" w:cs="仿宋_GB2312"/>
      <w:sz w:val="24"/>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9">
    <w:name w:val="TOC 标题2"/>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invertIfNegative val="false"/>
          <c:dLbls>
            <c:delete val="true"/>
          </c:dLbls>
          <c:cat>
            <c:strRef>
              <c:f>Sheet1!$A$2:$A$3</c:f>
              <c:strCache>
                <c:ptCount val="2"/>
                <c:pt idx="0">
                  <c:v>2021年</c:v>
                </c:pt>
                <c:pt idx="1">
                  <c:v>2022年</c:v>
                </c:pt>
              </c:strCache>
            </c:strRef>
          </c:cat>
          <c:val>
            <c:numRef>
              <c:f>Sheet1!$B$2:$B$3</c:f>
              <c:numCache>
                <c:formatCode>General</c:formatCode>
                <c:ptCount val="2"/>
                <c:pt idx="0">
                  <c:v>705.87</c:v>
                </c:pt>
                <c:pt idx="1">
                  <c:v>317.13</c:v>
                </c:pt>
              </c:numCache>
            </c:numRef>
          </c:val>
        </c:ser>
        <c:ser>
          <c:idx val="1"/>
          <c:order val="1"/>
          <c:tx>
            <c:strRef>
              <c:f>Sheet1!$C$1</c:f>
              <c:strCache>
                <c:ptCount val="1"/>
                <c:pt idx="0">
                  <c:v>支出</c:v>
                </c:pt>
              </c:strCache>
            </c:strRef>
          </c:tx>
          <c:invertIfNegative val="false"/>
          <c:dLbls>
            <c:delete val="true"/>
          </c:dLbls>
          <c:cat>
            <c:strRef>
              <c:f>Sheet1!$A$2:$A$3</c:f>
              <c:strCache>
                <c:ptCount val="2"/>
                <c:pt idx="0">
                  <c:v>2021年</c:v>
                </c:pt>
                <c:pt idx="1">
                  <c:v>2022年</c:v>
                </c:pt>
              </c:strCache>
            </c:strRef>
          </c:cat>
          <c:val>
            <c:numRef>
              <c:f>Sheet1!$C$2:$C$3</c:f>
              <c:numCache>
                <c:formatCode>General</c:formatCode>
                <c:ptCount val="2"/>
                <c:pt idx="0">
                  <c:v>722.88</c:v>
                </c:pt>
                <c:pt idx="1">
                  <c:v>336.15</c:v>
                </c:pt>
              </c:numCache>
            </c:numRef>
          </c:val>
        </c:ser>
        <c:dLbls>
          <c:showLegendKey val="false"/>
          <c:showVal val="false"/>
          <c:showCatName val="false"/>
          <c:showSerName val="false"/>
          <c:showPercent val="false"/>
          <c:showBubbleSize val="false"/>
        </c:dLbls>
        <c:gapWidth val="150"/>
        <c:axId val="254518784"/>
        <c:axId val="254520320"/>
      </c:barChart>
      <c:catAx>
        <c:axId val="25451878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4520320"/>
        <c:crosses val="autoZero"/>
        <c:auto val="true"/>
        <c:lblAlgn val="ctr"/>
        <c:lblOffset val="100"/>
        <c:noMultiLvlLbl val="false"/>
      </c:catAx>
      <c:valAx>
        <c:axId val="2545203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4518784"/>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a:t>2022</a:t>
            </a:r>
            <a:r>
              <a:rPr lang="zh-CN" altLang="en-US"/>
              <a:t>年收入</a:t>
            </a:r>
            <a:endParaRPr lang="zh-CN" altLang="en-US"/>
          </a:p>
        </c:rich>
      </c:tx>
      <c:layout/>
      <c:overlay val="false"/>
    </c:title>
    <c:autoTitleDeleted val="false"/>
    <c:plotArea>
      <c:layout/>
      <c:pieChart>
        <c:varyColors val="true"/>
        <c:ser>
          <c:idx val="0"/>
          <c:order val="0"/>
          <c:tx>
            <c:strRef>
              <c:f>Sheet1!$B$1</c:f>
              <c:strCache>
                <c:ptCount val="1"/>
                <c:pt idx="0">
                  <c:v>2022年收入</c:v>
                </c:pt>
              </c:strCache>
            </c:strRef>
          </c:tx>
          <c:explosion val="0"/>
          <c:dPt>
            <c:idx val="0"/>
            <c:bubble3D val="false"/>
          </c:dPt>
          <c:dLbls>
            <c:delete val="true"/>
          </c:dLbls>
          <c:cat>
            <c:strRef>
              <c:f>Sheet1!$A$2</c:f>
              <c:strCache>
                <c:ptCount val="1"/>
                <c:pt idx="0">
                  <c:v>一般公共预算财政拨款收入</c:v>
                </c:pt>
              </c:strCache>
            </c:strRef>
          </c:cat>
          <c:val>
            <c:numRef>
              <c:f>Sheet1!$B$2</c:f>
              <c:numCache>
                <c:formatCode>General</c:formatCode>
                <c:ptCount val="1"/>
                <c:pt idx="0">
                  <c:v>317.13</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2022年支出</c:v>
                </c:pt>
              </c:strCache>
            </c:strRef>
          </c:tx>
          <c:explosion val="0"/>
          <c:dPt>
            <c:idx val="0"/>
            <c:bubble3D val="false"/>
          </c:dPt>
          <c:dPt>
            <c:idx val="1"/>
            <c:bubble3D val="false"/>
          </c:dPt>
          <c:dLbls>
            <c:delete val="true"/>
          </c:dLbls>
          <c:cat>
            <c:strRef>
              <c:f>Sheet1!$A$2:$A$3</c:f>
              <c:strCache>
                <c:ptCount val="2"/>
                <c:pt idx="0">
                  <c:v>基本支出</c:v>
                </c:pt>
                <c:pt idx="1">
                  <c:v>项目支出</c:v>
                </c:pt>
              </c:strCache>
            </c:strRef>
          </c:cat>
          <c:val>
            <c:numRef>
              <c:f>Sheet1!$B$2:$B$3</c:f>
              <c:numCache>
                <c:formatCode>General</c:formatCode>
                <c:ptCount val="2"/>
                <c:pt idx="0">
                  <c:v>279.75</c:v>
                </c:pt>
                <c:pt idx="1">
                  <c:v>56.4</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财政拨款收入</c:v>
                </c:pt>
              </c:strCache>
            </c:strRef>
          </c:tx>
          <c:invertIfNegative val="false"/>
          <c:dLbls>
            <c:delete val="true"/>
          </c:dLbls>
          <c:cat>
            <c:strRef>
              <c:f>Sheet1!$A$2:$A$3</c:f>
              <c:strCache>
                <c:ptCount val="2"/>
                <c:pt idx="0">
                  <c:v>2021年</c:v>
                </c:pt>
                <c:pt idx="1">
                  <c:v>2022年</c:v>
                </c:pt>
              </c:strCache>
            </c:strRef>
          </c:cat>
          <c:val>
            <c:numRef>
              <c:f>Sheet1!$B$2:$B$3</c:f>
              <c:numCache>
                <c:formatCode>General</c:formatCode>
                <c:ptCount val="2"/>
                <c:pt idx="0">
                  <c:v>705.87</c:v>
                </c:pt>
                <c:pt idx="1">
                  <c:v>317.13</c:v>
                </c:pt>
              </c:numCache>
            </c:numRef>
          </c:val>
        </c:ser>
        <c:ser>
          <c:idx val="1"/>
          <c:order val="1"/>
          <c:tx>
            <c:strRef>
              <c:f>Sheet1!$C$1</c:f>
              <c:strCache>
                <c:ptCount val="1"/>
                <c:pt idx="0">
                  <c:v>财政拨款支出</c:v>
                </c:pt>
              </c:strCache>
            </c:strRef>
          </c:tx>
          <c:invertIfNegative val="false"/>
          <c:dLbls>
            <c:delete val="true"/>
          </c:dLbls>
          <c:cat>
            <c:strRef>
              <c:f>Sheet1!$A$2:$A$3</c:f>
              <c:strCache>
                <c:ptCount val="2"/>
                <c:pt idx="0">
                  <c:v>2021年</c:v>
                </c:pt>
                <c:pt idx="1">
                  <c:v>2022年</c:v>
                </c:pt>
              </c:strCache>
            </c:strRef>
          </c:cat>
          <c:val>
            <c:numRef>
              <c:f>Sheet1!$C$2:$C$3</c:f>
              <c:numCache>
                <c:formatCode>General</c:formatCode>
                <c:ptCount val="2"/>
                <c:pt idx="0">
                  <c:v>722.88</c:v>
                </c:pt>
                <c:pt idx="1">
                  <c:v>336.15</c:v>
                </c:pt>
              </c:numCache>
            </c:numRef>
          </c:val>
        </c:ser>
        <c:dLbls>
          <c:showLegendKey val="false"/>
          <c:showVal val="false"/>
          <c:showCatName val="false"/>
          <c:showSerName val="false"/>
          <c:showPercent val="false"/>
          <c:showBubbleSize val="false"/>
        </c:dLbls>
        <c:gapWidth val="150"/>
        <c:axId val="254782080"/>
        <c:axId val="254816640"/>
      </c:barChart>
      <c:catAx>
        <c:axId val="2547820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4816640"/>
        <c:crosses val="autoZero"/>
        <c:auto val="true"/>
        <c:lblAlgn val="ctr"/>
        <c:lblOffset val="100"/>
        <c:noMultiLvlLbl val="false"/>
      </c:catAx>
      <c:valAx>
        <c:axId val="25481664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4782080"/>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c:v>
                </c:pt>
              </c:strCache>
            </c:strRef>
          </c:tx>
          <c:invertIfNegative val="false"/>
          <c:dLbls>
            <c:delete val="true"/>
          </c:dLbls>
          <c:cat>
            <c:strRef>
              <c:f>Sheet1!$A$2:$A$3</c:f>
              <c:strCache>
                <c:ptCount val="2"/>
                <c:pt idx="0">
                  <c:v>2021年</c:v>
                </c:pt>
                <c:pt idx="1">
                  <c:v>2022年</c:v>
                </c:pt>
              </c:strCache>
            </c:strRef>
          </c:cat>
          <c:val>
            <c:numRef>
              <c:f>Sheet1!$B$2:$B$3</c:f>
              <c:numCache>
                <c:formatCode>General</c:formatCode>
                <c:ptCount val="2"/>
                <c:pt idx="0">
                  <c:v>722.88</c:v>
                </c:pt>
                <c:pt idx="1">
                  <c:v>336.15</c:v>
                </c:pt>
              </c:numCache>
            </c:numRef>
          </c:val>
        </c:ser>
        <c:dLbls>
          <c:showLegendKey val="false"/>
          <c:showVal val="false"/>
          <c:showCatName val="false"/>
          <c:showSerName val="false"/>
          <c:showPercent val="false"/>
          <c:showBubbleSize val="false"/>
        </c:dLbls>
        <c:gapWidth val="150"/>
        <c:axId val="84545536"/>
        <c:axId val="84547072"/>
      </c:barChart>
      <c:catAx>
        <c:axId val="8454553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84547072"/>
        <c:crosses val="autoZero"/>
        <c:auto val="true"/>
        <c:lblAlgn val="ctr"/>
        <c:lblOffset val="100"/>
        <c:noMultiLvlLbl val="false"/>
      </c:catAx>
      <c:valAx>
        <c:axId val="8454707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84545536"/>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2022年一般公共预算财政拨款支出</c:v>
                </c:pt>
              </c:strCache>
            </c:strRef>
          </c:tx>
          <c:explosion val="0"/>
          <c:dPt>
            <c:idx val="0"/>
            <c:bubble3D val="false"/>
          </c:dPt>
          <c:dPt>
            <c:idx val="1"/>
            <c:bubble3D val="false"/>
          </c:dPt>
          <c:dPt>
            <c:idx val="2"/>
            <c:bubble3D val="false"/>
          </c:dPt>
          <c:dLbls>
            <c:delete val="true"/>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45.96</c:v>
                </c:pt>
                <c:pt idx="1">
                  <c:v>271.98</c:v>
                </c:pt>
                <c:pt idx="2">
                  <c:v>18.21</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2022年“三公”经费财政拨款支出决算</c:v>
                </c:pt>
              </c:strCache>
            </c:strRef>
          </c:tx>
          <c:explosion val="0"/>
          <c:dPt>
            <c:idx val="0"/>
            <c:bubble3D val="false"/>
          </c:dPt>
          <c:dPt>
            <c:idx val="1"/>
            <c:bubble3D val="false"/>
          </c:dPt>
          <c:dPt>
            <c:idx val="2"/>
            <c:bubble3D val="false"/>
          </c:dPt>
          <c:dLbls>
            <c:delete val="true"/>
          </c:dLbls>
          <c:cat>
            <c:strRef>
              <c:f>Sheet1!$A$2:$A$4</c:f>
              <c:strCache>
                <c:ptCount val="3"/>
                <c:pt idx="0">
                  <c:v>因公出国（境）费支出决算</c:v>
                </c:pt>
                <c:pt idx="1">
                  <c:v>公务用车购置及运行维护费支出决算</c:v>
                </c:pt>
                <c:pt idx="2">
                  <c:v>公务接待费支出决算</c:v>
                </c:pt>
              </c:strCache>
            </c:strRef>
          </c:cat>
          <c:val>
            <c:numRef>
              <c:f>Sheet1!$B$2:$B$4</c:f>
              <c:numCache>
                <c:formatCode>General</c:formatCode>
                <c:ptCount val="3"/>
                <c:pt idx="0">
                  <c:v>0</c:v>
                </c:pt>
                <c:pt idx="1">
                  <c:v>0.56</c:v>
                </c:pt>
                <c:pt idx="2">
                  <c:v>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734</Words>
  <Characters>4184</Characters>
  <Lines>34</Lines>
  <Paragraphs>9</Paragraphs>
  <TotalTime>1469</TotalTime>
  <ScaleCrop>false</ScaleCrop>
  <LinksUpToDate>false</LinksUpToDate>
  <CharactersWithSpaces>4909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2023-07-31T18:35:00Z</cp:lastPrinted>
  <dcterms:modified xsi:type="dcterms:W3CDTF">2023-09-13T18:16:28Z</dcterms:modified>
  <dc:title>四川省***</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