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8441"/>
      <w:bookmarkStart w:id="4" w:name="_Toc15377193"/>
      <w:bookmarkStart w:id="5" w:name="_Toc15377425"/>
      <w:bookmarkStart w:id="6" w:name="_Toc10048"/>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476"/>
      <w:bookmarkStart w:id="8" w:name="_Toc15377426"/>
      <w:bookmarkStart w:id="9" w:name="_Toc15378442"/>
      <w:bookmarkStart w:id="10" w:name="_Toc15377194"/>
      <w:bookmarkStart w:id="11" w:name="_Toc15396598"/>
      <w:bookmarkStart w:id="12" w:name="_Toc11386"/>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rPr>
        <w:t>攀枝花市卫生健康委员会部门决算</w:t>
      </w:r>
      <w:bookmarkEnd w:id="7"/>
      <w:bookmarkEnd w:id="8"/>
      <w:bookmarkEnd w:id="9"/>
      <w:bookmarkEnd w:id="10"/>
      <w:bookmarkEnd w:id="11"/>
      <w:bookmarkEnd w:id="13"/>
      <w:r>
        <w:rPr>
          <w:rFonts w:hint="eastAsia" w:ascii="方正小标宋简体" w:hAnsi="宋体" w:eastAsia="方正小标宋简体"/>
          <w:color w:val="000000"/>
          <w:sz w:val="72"/>
          <w:szCs w:val="72"/>
        </w:rPr>
        <w:t>(本级）</w:t>
      </w:r>
      <w:bookmarkEnd w:id="12"/>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1"/>
      </w:pPr>
      <w:r>
        <w:rPr>
          <w:rFonts w:hint="eastAsia"/>
        </w:rPr>
        <w:t>公开时间：</w:t>
      </w:r>
      <w:r>
        <w:t>2021</w:t>
      </w:r>
      <w:r>
        <w:rPr>
          <w:rFonts w:hint="eastAsia"/>
        </w:rPr>
        <w:t>年9月10日</w:t>
      </w:r>
    </w:p>
    <w:sdt>
      <w:sdtPr>
        <w:rPr>
          <w:rFonts w:ascii="宋体" w:hAnsi="宋体"/>
          <w:kern w:val="2"/>
          <w:sz w:val="21"/>
          <w:szCs w:val="24"/>
        </w:rPr>
        <w:id w:val="147461113"/>
        <w15:color w:val="DBDBDB"/>
        <w:docPartObj>
          <w:docPartGallery w:val="Table of Contents"/>
          <w:docPartUnique/>
        </w:docPartObj>
      </w:sdtPr>
      <w:sdtEndPr>
        <w:rPr>
          <w:rFonts w:ascii="仿宋" w:hAnsi="仿宋" w:eastAsia="仿宋"/>
          <w:b/>
          <w:bCs/>
          <w:kern w:val="44"/>
          <w:sz w:val="21"/>
          <w:szCs w:val="24"/>
        </w:rPr>
      </w:sdtEndPr>
      <w:sdtContent>
        <w:p>
          <w:pPr>
            <w:pStyle w:val="33"/>
            <w:tabs>
              <w:tab w:val="right" w:leader="dot" w:pos="8306"/>
            </w:tabs>
            <w:rPr>
              <w:b/>
            </w:rPr>
          </w:pPr>
          <w:bookmarkStart w:id="14" w:name="_Toc15396599"/>
          <w:bookmarkStart w:id="15" w:name="_Toc15377196"/>
          <w:r>
            <w:rPr>
              <w:rFonts w:ascii="仿宋" w:hAnsi="仿宋" w:eastAsia="仿宋"/>
              <w:bCs/>
              <w:kern w:val="44"/>
              <w:sz w:val="24"/>
            </w:rPr>
            <w:fldChar w:fldCharType="begin"/>
          </w:r>
          <w:r>
            <w:rPr>
              <w:rFonts w:ascii="仿宋" w:hAnsi="仿宋" w:eastAsia="仿宋"/>
              <w:bCs/>
              <w:kern w:val="44"/>
              <w:sz w:val="24"/>
            </w:rPr>
            <w:instrText xml:space="preserve">TOC \o "1-2" \h \u </w:instrText>
          </w:r>
          <w:r>
            <w:rPr>
              <w:rFonts w:ascii="仿宋" w:hAnsi="仿宋" w:eastAsia="仿宋"/>
              <w:bCs/>
              <w:kern w:val="44"/>
              <w:sz w:val="24"/>
            </w:rPr>
            <w:fldChar w:fldCharType="separate"/>
          </w:r>
        </w:p>
        <w:p>
          <w:pPr>
            <w:pStyle w:val="33"/>
            <w:tabs>
              <w:tab w:val="right" w:leader="dot" w:pos="8306"/>
            </w:tabs>
            <w:rPr>
              <w:b/>
            </w:rPr>
          </w:pPr>
          <w:r>
            <w:fldChar w:fldCharType="begin"/>
          </w:r>
          <w:r>
            <w:instrText xml:space="preserve"> HYPERLINK \l "_Toc120" </w:instrText>
          </w:r>
          <w:r>
            <w:fldChar w:fldCharType="separate"/>
          </w:r>
          <w:r>
            <w:rPr>
              <w:rFonts w:hint="eastAsia" w:ascii="黑体" w:hAnsi="黑体" w:eastAsia="黑体"/>
              <w:b/>
            </w:rPr>
            <w:t>第一部分</w:t>
          </w:r>
          <w:r>
            <w:rPr>
              <w:rFonts w:ascii="黑体" w:hAnsi="黑体" w:eastAsia="黑体"/>
              <w:b/>
            </w:rPr>
            <w:t xml:space="preserve"> </w:t>
          </w:r>
          <w:r>
            <w:rPr>
              <w:rFonts w:hint="eastAsia" w:ascii="黑体" w:hAnsi="黑体" w:eastAsia="黑体"/>
              <w:b/>
            </w:rPr>
            <w:t>部门概况</w:t>
          </w:r>
          <w:r>
            <w:rPr>
              <w:b/>
            </w:rPr>
            <w:tab/>
          </w:r>
          <w:r>
            <w:rPr>
              <w:b/>
            </w:rPr>
            <w:fldChar w:fldCharType="begin"/>
          </w:r>
          <w:r>
            <w:rPr>
              <w:b/>
            </w:rPr>
            <w:instrText xml:space="preserve"> PAGEREF _Toc120 \h </w:instrText>
          </w:r>
          <w:r>
            <w:rPr>
              <w:b/>
            </w:rPr>
            <w:fldChar w:fldCharType="separate"/>
          </w:r>
          <w:r>
            <w:rPr>
              <w:b/>
            </w:rPr>
            <w:t>3</w:t>
          </w:r>
          <w:r>
            <w:rPr>
              <w:b/>
            </w:rPr>
            <w:fldChar w:fldCharType="end"/>
          </w:r>
          <w:r>
            <w:rPr>
              <w:b/>
            </w:rPr>
            <w:fldChar w:fldCharType="end"/>
          </w:r>
        </w:p>
        <w:p>
          <w:pPr>
            <w:pStyle w:val="34"/>
            <w:tabs>
              <w:tab w:val="right" w:leader="dot" w:pos="8306"/>
            </w:tabs>
            <w:ind w:left="420"/>
          </w:pPr>
          <w:r>
            <w:fldChar w:fldCharType="begin"/>
          </w:r>
          <w:r>
            <w:instrText xml:space="preserve"> HYPERLINK \l "_Toc19818" </w:instrText>
          </w:r>
          <w:r>
            <w:fldChar w:fldCharType="separate"/>
          </w:r>
          <w:r>
            <w:rPr>
              <w:rFonts w:hint="eastAsia" w:ascii="黑体" w:hAnsi="黑体" w:eastAsia="黑体"/>
            </w:rPr>
            <w:t>一、基本职能及主要工作</w:t>
          </w:r>
          <w:r>
            <w:tab/>
          </w:r>
          <w:r>
            <w:fldChar w:fldCharType="begin"/>
          </w:r>
          <w:r>
            <w:instrText xml:space="preserve"> PAGEREF _Toc19818 \h </w:instrText>
          </w:r>
          <w:r>
            <w:fldChar w:fldCharType="separate"/>
          </w:r>
          <w:r>
            <w:t>3</w:t>
          </w:r>
          <w:r>
            <w:fldChar w:fldCharType="end"/>
          </w:r>
          <w:r>
            <w:fldChar w:fldCharType="end"/>
          </w:r>
        </w:p>
        <w:p>
          <w:pPr>
            <w:pStyle w:val="34"/>
            <w:tabs>
              <w:tab w:val="right" w:leader="dot" w:pos="8306"/>
            </w:tabs>
            <w:ind w:left="420"/>
          </w:pPr>
          <w:r>
            <w:fldChar w:fldCharType="begin"/>
          </w:r>
          <w:r>
            <w:instrText xml:space="preserve"> HYPERLINK \l "_Toc28674" </w:instrText>
          </w:r>
          <w:r>
            <w:fldChar w:fldCharType="separate"/>
          </w:r>
          <w:r>
            <w:rPr>
              <w:rFonts w:hint="eastAsia" w:ascii="黑体" w:eastAsia="黑体"/>
            </w:rPr>
            <w:t>二、</w:t>
          </w:r>
          <w:r>
            <w:rPr>
              <w:rFonts w:hint="eastAsia" w:ascii="黑体" w:hAnsi="黑体" w:eastAsia="黑体"/>
            </w:rPr>
            <w:t>机构设置</w:t>
          </w:r>
          <w:r>
            <w:tab/>
          </w:r>
          <w:r>
            <w:fldChar w:fldCharType="begin"/>
          </w:r>
          <w:r>
            <w:instrText xml:space="preserve"> PAGEREF _Toc28674 \h </w:instrText>
          </w:r>
          <w:r>
            <w:fldChar w:fldCharType="separate"/>
          </w:r>
          <w:r>
            <w:t>12</w:t>
          </w:r>
          <w:r>
            <w:fldChar w:fldCharType="end"/>
          </w:r>
          <w:r>
            <w:fldChar w:fldCharType="end"/>
          </w:r>
        </w:p>
        <w:p>
          <w:pPr>
            <w:pStyle w:val="33"/>
            <w:tabs>
              <w:tab w:val="right" w:leader="dot" w:pos="8306"/>
            </w:tabs>
            <w:rPr>
              <w:b/>
            </w:rPr>
          </w:pPr>
          <w:r>
            <w:fldChar w:fldCharType="begin"/>
          </w:r>
          <w:r>
            <w:instrText xml:space="preserve"> HYPERLINK \l "_Toc32607" </w:instrText>
          </w:r>
          <w:r>
            <w:fldChar w:fldCharType="separate"/>
          </w:r>
          <w:r>
            <w:rPr>
              <w:rFonts w:hint="eastAsia" w:ascii="黑体" w:hAnsi="黑体" w:eastAsia="黑体"/>
              <w:b/>
            </w:rPr>
            <w:t>第二部分</w:t>
          </w:r>
          <w:r>
            <w:rPr>
              <w:rFonts w:ascii="黑体" w:hAnsi="黑体" w:eastAsia="黑体"/>
              <w:b/>
            </w:rPr>
            <w:t xml:space="preserve"> 2020</w:t>
          </w:r>
          <w:r>
            <w:rPr>
              <w:rFonts w:hint="eastAsia" w:ascii="黑体" w:hAnsi="黑体" w:eastAsia="黑体"/>
              <w:b/>
            </w:rPr>
            <w:t>年度部门决算情况说明</w:t>
          </w:r>
          <w:r>
            <w:rPr>
              <w:b/>
            </w:rPr>
            <w:tab/>
          </w:r>
          <w:r>
            <w:rPr>
              <w:b/>
            </w:rPr>
            <w:fldChar w:fldCharType="begin"/>
          </w:r>
          <w:r>
            <w:rPr>
              <w:b/>
            </w:rPr>
            <w:instrText xml:space="preserve"> PAGEREF _Toc32607 \h </w:instrText>
          </w:r>
          <w:r>
            <w:rPr>
              <w:b/>
            </w:rPr>
            <w:fldChar w:fldCharType="separate"/>
          </w:r>
          <w:r>
            <w:rPr>
              <w:b/>
            </w:rPr>
            <w:t>12</w:t>
          </w:r>
          <w:r>
            <w:rPr>
              <w:b/>
            </w:rPr>
            <w:fldChar w:fldCharType="end"/>
          </w:r>
          <w:r>
            <w:rPr>
              <w:b/>
            </w:rPr>
            <w:fldChar w:fldCharType="end"/>
          </w:r>
        </w:p>
        <w:p>
          <w:pPr>
            <w:pStyle w:val="34"/>
            <w:tabs>
              <w:tab w:val="right" w:leader="dot" w:pos="8306"/>
            </w:tabs>
            <w:ind w:left="420"/>
          </w:pPr>
          <w:r>
            <w:fldChar w:fldCharType="begin"/>
          </w:r>
          <w:r>
            <w:instrText xml:space="preserve"> HYPERLINK \l "_Toc29064"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_Toc29064 \h </w:instrText>
          </w:r>
          <w:r>
            <w:fldChar w:fldCharType="separate"/>
          </w:r>
          <w:r>
            <w:t>12</w:t>
          </w:r>
          <w:r>
            <w:fldChar w:fldCharType="end"/>
          </w:r>
          <w:r>
            <w:fldChar w:fldCharType="end"/>
          </w:r>
        </w:p>
        <w:p>
          <w:pPr>
            <w:pStyle w:val="34"/>
            <w:tabs>
              <w:tab w:val="right" w:leader="dot" w:pos="8306"/>
            </w:tabs>
            <w:ind w:left="420"/>
          </w:pPr>
          <w:r>
            <w:fldChar w:fldCharType="begin"/>
          </w:r>
          <w:r>
            <w:instrText xml:space="preserve"> HYPERLINK \l "_Toc19119"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_Toc19119 \h </w:instrText>
          </w:r>
          <w:r>
            <w:fldChar w:fldCharType="separate"/>
          </w:r>
          <w:r>
            <w:t>12</w:t>
          </w:r>
          <w:r>
            <w:fldChar w:fldCharType="end"/>
          </w:r>
          <w:r>
            <w:fldChar w:fldCharType="end"/>
          </w:r>
        </w:p>
        <w:p>
          <w:pPr>
            <w:pStyle w:val="34"/>
            <w:tabs>
              <w:tab w:val="right" w:leader="dot" w:pos="8306"/>
            </w:tabs>
            <w:ind w:left="420"/>
          </w:pPr>
          <w:r>
            <w:fldChar w:fldCharType="begin"/>
          </w:r>
          <w:r>
            <w:instrText xml:space="preserve"> HYPERLINK \l "_Toc24732"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_Toc24732 \h </w:instrText>
          </w:r>
          <w:r>
            <w:fldChar w:fldCharType="separate"/>
          </w:r>
          <w:r>
            <w:t>13</w:t>
          </w:r>
          <w:r>
            <w:fldChar w:fldCharType="end"/>
          </w:r>
          <w:r>
            <w:fldChar w:fldCharType="end"/>
          </w:r>
        </w:p>
        <w:p>
          <w:pPr>
            <w:pStyle w:val="34"/>
            <w:tabs>
              <w:tab w:val="right" w:leader="dot" w:pos="8306"/>
            </w:tabs>
            <w:ind w:left="420"/>
          </w:pPr>
          <w:r>
            <w:fldChar w:fldCharType="begin"/>
          </w:r>
          <w:r>
            <w:instrText xml:space="preserve"> HYPERLINK \l "_Toc26269"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_Toc26269 \h </w:instrText>
          </w:r>
          <w:r>
            <w:fldChar w:fldCharType="separate"/>
          </w:r>
          <w:r>
            <w:t>13</w:t>
          </w:r>
          <w:r>
            <w:fldChar w:fldCharType="end"/>
          </w:r>
          <w:r>
            <w:fldChar w:fldCharType="end"/>
          </w:r>
        </w:p>
        <w:p>
          <w:pPr>
            <w:pStyle w:val="34"/>
            <w:tabs>
              <w:tab w:val="right" w:leader="dot" w:pos="8306"/>
            </w:tabs>
            <w:ind w:left="420"/>
          </w:pPr>
          <w:r>
            <w:fldChar w:fldCharType="begin"/>
          </w:r>
          <w:r>
            <w:instrText xml:space="preserve"> HYPERLINK \l "_Toc21584"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_Toc21584 \h </w:instrText>
          </w:r>
          <w:r>
            <w:fldChar w:fldCharType="separate"/>
          </w:r>
          <w:r>
            <w:t>14</w:t>
          </w:r>
          <w:r>
            <w:fldChar w:fldCharType="end"/>
          </w:r>
          <w:r>
            <w:fldChar w:fldCharType="end"/>
          </w:r>
        </w:p>
        <w:p>
          <w:pPr>
            <w:pStyle w:val="34"/>
            <w:tabs>
              <w:tab w:val="right" w:leader="dot" w:pos="8306"/>
            </w:tabs>
            <w:ind w:left="420"/>
          </w:pPr>
          <w:r>
            <w:fldChar w:fldCharType="begin"/>
          </w:r>
          <w:r>
            <w:instrText xml:space="preserve"> HYPERLINK \l "_Toc5873"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_Toc5873 \h </w:instrText>
          </w:r>
          <w:r>
            <w:fldChar w:fldCharType="separate"/>
          </w:r>
          <w:r>
            <w:t>16</w:t>
          </w:r>
          <w:r>
            <w:fldChar w:fldCharType="end"/>
          </w:r>
          <w:r>
            <w:fldChar w:fldCharType="end"/>
          </w:r>
        </w:p>
        <w:p>
          <w:pPr>
            <w:pStyle w:val="34"/>
            <w:tabs>
              <w:tab w:val="right" w:leader="dot" w:pos="8306"/>
            </w:tabs>
            <w:ind w:left="420"/>
          </w:pPr>
          <w:r>
            <w:fldChar w:fldCharType="begin"/>
          </w:r>
          <w:r>
            <w:instrText xml:space="preserve"> HYPERLINK \l "_Toc8403"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_Toc8403 \h </w:instrText>
          </w:r>
          <w:r>
            <w:fldChar w:fldCharType="separate"/>
          </w:r>
          <w:r>
            <w:t>17</w:t>
          </w:r>
          <w:r>
            <w:fldChar w:fldCharType="end"/>
          </w:r>
          <w:r>
            <w:fldChar w:fldCharType="end"/>
          </w:r>
        </w:p>
        <w:p>
          <w:pPr>
            <w:pStyle w:val="34"/>
            <w:tabs>
              <w:tab w:val="right" w:leader="dot" w:pos="8306"/>
            </w:tabs>
            <w:ind w:left="420"/>
          </w:pPr>
          <w:r>
            <w:fldChar w:fldCharType="begin"/>
          </w:r>
          <w:r>
            <w:instrText xml:space="preserve"> HYPERLINK \l "_Toc28427"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_Toc28427 \h </w:instrText>
          </w:r>
          <w:r>
            <w:fldChar w:fldCharType="separate"/>
          </w:r>
          <w:r>
            <w:t>19</w:t>
          </w:r>
          <w:r>
            <w:fldChar w:fldCharType="end"/>
          </w:r>
          <w:r>
            <w:fldChar w:fldCharType="end"/>
          </w:r>
        </w:p>
        <w:p>
          <w:pPr>
            <w:pStyle w:val="34"/>
            <w:tabs>
              <w:tab w:val="right" w:leader="dot" w:pos="8306"/>
            </w:tabs>
            <w:ind w:left="420"/>
          </w:pPr>
          <w:r>
            <w:fldChar w:fldCharType="begin"/>
          </w:r>
          <w:r>
            <w:instrText xml:space="preserve"> HYPERLINK \l "_Toc23868" </w:instrText>
          </w:r>
          <w:r>
            <w:fldChar w:fldCharType="separate"/>
          </w:r>
          <w:r>
            <w:rPr>
              <w:rFonts w:hint="eastAsia" w:ascii="黑体" w:hAnsi="黑体" w:eastAsia="黑体"/>
            </w:rPr>
            <w:t>九、 国有资本经营预算支出决算情况说明</w:t>
          </w:r>
          <w:r>
            <w:tab/>
          </w:r>
          <w:r>
            <w:fldChar w:fldCharType="begin"/>
          </w:r>
          <w:r>
            <w:instrText xml:space="preserve"> PAGEREF _Toc23868 \h </w:instrText>
          </w:r>
          <w:r>
            <w:fldChar w:fldCharType="separate"/>
          </w:r>
          <w:r>
            <w:t>19</w:t>
          </w:r>
          <w:r>
            <w:fldChar w:fldCharType="end"/>
          </w:r>
          <w:r>
            <w:fldChar w:fldCharType="end"/>
          </w:r>
        </w:p>
        <w:p>
          <w:pPr>
            <w:pStyle w:val="34"/>
            <w:tabs>
              <w:tab w:val="right" w:leader="dot" w:pos="8306"/>
            </w:tabs>
            <w:ind w:left="420"/>
          </w:pPr>
          <w:r>
            <w:fldChar w:fldCharType="begin"/>
          </w:r>
          <w:r>
            <w:instrText xml:space="preserve"> HYPERLINK \l "_Toc29385"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_Toc29385 \h </w:instrText>
          </w:r>
          <w:r>
            <w:fldChar w:fldCharType="separate"/>
          </w:r>
          <w:r>
            <w:t>19</w:t>
          </w:r>
          <w:r>
            <w:fldChar w:fldCharType="end"/>
          </w:r>
          <w:r>
            <w:fldChar w:fldCharType="end"/>
          </w:r>
        </w:p>
        <w:p>
          <w:pPr>
            <w:pStyle w:val="33"/>
            <w:tabs>
              <w:tab w:val="right" w:leader="dot" w:pos="8306"/>
            </w:tabs>
            <w:rPr>
              <w:b/>
            </w:rPr>
          </w:pPr>
          <w:r>
            <w:fldChar w:fldCharType="begin"/>
          </w:r>
          <w:r>
            <w:instrText xml:space="preserve"> HYPERLINK \l "_Toc4532" </w:instrText>
          </w:r>
          <w: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_Toc4532 \h </w:instrText>
          </w:r>
          <w:r>
            <w:rPr>
              <w:b/>
            </w:rPr>
            <w:fldChar w:fldCharType="separate"/>
          </w:r>
          <w:r>
            <w:rPr>
              <w:b/>
            </w:rPr>
            <w:t>27</w:t>
          </w:r>
          <w:r>
            <w:rPr>
              <w:b/>
            </w:rPr>
            <w:fldChar w:fldCharType="end"/>
          </w:r>
          <w:r>
            <w:rPr>
              <w:b/>
            </w:rPr>
            <w:fldChar w:fldCharType="end"/>
          </w:r>
        </w:p>
        <w:p>
          <w:pPr>
            <w:pStyle w:val="33"/>
            <w:tabs>
              <w:tab w:val="right" w:leader="dot" w:pos="8306"/>
            </w:tabs>
            <w:rPr>
              <w:b/>
            </w:rPr>
          </w:pPr>
          <w:r>
            <w:fldChar w:fldCharType="begin"/>
          </w:r>
          <w:r>
            <w:instrText xml:space="preserve"> HYPERLINK \l "_Toc22125" </w:instrText>
          </w:r>
          <w:r>
            <w:fldChar w:fldCharType="separate"/>
          </w:r>
          <w:r>
            <w:rPr>
              <w:rFonts w:hint="eastAsia" w:ascii="黑体" w:hAnsi="黑体" w:eastAsia="黑体"/>
              <w:b/>
              <w:szCs w:val="44"/>
            </w:rPr>
            <w:t>第</w:t>
          </w:r>
          <w:r>
            <w:rPr>
              <w:rFonts w:hint="eastAsia" w:ascii="黑体" w:hAnsi="黑体" w:eastAsia="黑体"/>
              <w:b/>
            </w:rPr>
            <w:t>四部分</w:t>
          </w:r>
          <w:r>
            <w:rPr>
              <w:rFonts w:ascii="黑体" w:hAnsi="黑体" w:eastAsia="黑体"/>
              <w:b/>
            </w:rPr>
            <w:t xml:space="preserve"> </w:t>
          </w:r>
          <w:r>
            <w:rPr>
              <w:rFonts w:hint="eastAsia" w:ascii="黑体" w:hAnsi="黑体" w:eastAsia="黑体"/>
              <w:b/>
            </w:rPr>
            <w:t>附件</w:t>
          </w:r>
          <w:r>
            <w:rPr>
              <w:b/>
            </w:rPr>
            <w:tab/>
          </w:r>
          <w:r>
            <w:rPr>
              <w:b/>
            </w:rPr>
            <w:fldChar w:fldCharType="begin"/>
          </w:r>
          <w:r>
            <w:rPr>
              <w:b/>
            </w:rPr>
            <w:instrText xml:space="preserve"> PAGEREF _Toc22125 \h </w:instrText>
          </w:r>
          <w:r>
            <w:rPr>
              <w:b/>
            </w:rPr>
            <w:fldChar w:fldCharType="separate"/>
          </w:r>
          <w:r>
            <w:rPr>
              <w:b/>
            </w:rPr>
            <w:t>32</w:t>
          </w:r>
          <w:r>
            <w:rPr>
              <w:b/>
            </w:rPr>
            <w:fldChar w:fldCharType="end"/>
          </w:r>
          <w:r>
            <w:rPr>
              <w:b/>
            </w:rPr>
            <w:fldChar w:fldCharType="end"/>
          </w:r>
        </w:p>
        <w:p>
          <w:pPr>
            <w:pStyle w:val="33"/>
            <w:tabs>
              <w:tab w:val="right" w:leader="dot" w:pos="8306"/>
            </w:tabs>
            <w:rPr>
              <w:rFonts w:ascii="仿宋" w:hAnsi="仿宋" w:eastAsia="仿宋"/>
              <w:b/>
              <w:bCs/>
              <w:kern w:val="44"/>
            </w:rPr>
          </w:pPr>
          <w:r>
            <w:fldChar w:fldCharType="begin"/>
          </w:r>
          <w:r>
            <w:instrText xml:space="preserve"> HYPERLINK \l "_Toc9029" </w:instrText>
          </w:r>
          <w:r>
            <w:fldChar w:fldCharType="separate"/>
          </w:r>
          <w:r>
            <w:rPr>
              <w:rFonts w:hint="eastAsia" w:ascii="黑体" w:hAnsi="黑体" w:eastAsia="黑体" w:cs="黑体"/>
              <w:b/>
              <w:szCs w:val="32"/>
            </w:rPr>
            <w:t>附件</w:t>
          </w:r>
          <w:r>
            <w:rPr>
              <w:rFonts w:ascii="黑体" w:hAnsi="黑体" w:eastAsia="黑体" w:cs="黑体"/>
              <w:b/>
              <w:szCs w:val="32"/>
            </w:rPr>
            <w:t>1</w:t>
          </w:r>
          <w:r>
            <w:rPr>
              <w:b/>
            </w:rPr>
            <w:tab/>
          </w:r>
          <w:r>
            <w:rPr>
              <w:b/>
            </w:rPr>
            <w:fldChar w:fldCharType="begin"/>
          </w:r>
          <w:r>
            <w:rPr>
              <w:b/>
            </w:rPr>
            <w:instrText xml:space="preserve"> PAGEREF _Toc9029 \h </w:instrText>
          </w:r>
          <w:r>
            <w:rPr>
              <w:b/>
            </w:rPr>
            <w:fldChar w:fldCharType="separate"/>
          </w:r>
          <w:r>
            <w:rPr>
              <w:b/>
            </w:rPr>
            <w:t>32</w:t>
          </w:r>
          <w:r>
            <w:rPr>
              <w:b/>
            </w:rPr>
            <w:fldChar w:fldCharType="end"/>
          </w:r>
          <w:r>
            <w:rPr>
              <w:b/>
            </w:rPr>
            <w:fldChar w:fldCharType="end"/>
          </w:r>
        </w:p>
        <w:p>
          <w:pPr>
            <w:pStyle w:val="33"/>
            <w:tabs>
              <w:tab w:val="right" w:leader="dot" w:pos="8306"/>
            </w:tabs>
            <w:rPr>
              <w:rFonts w:ascii="仿宋" w:hAnsi="仿宋" w:eastAsia="仿宋"/>
              <w:b/>
              <w:bCs/>
              <w:kern w:val="44"/>
            </w:rPr>
          </w:pPr>
          <w:r>
            <w:fldChar w:fldCharType="begin"/>
          </w:r>
          <w:r>
            <w:instrText xml:space="preserve"> HYPERLINK \l "_Toc9029" </w:instrText>
          </w:r>
          <w:r>
            <w:fldChar w:fldCharType="separate"/>
          </w:r>
          <w:r>
            <w:rPr>
              <w:rFonts w:hint="eastAsia" w:ascii="黑体" w:hAnsi="黑体" w:eastAsia="黑体" w:cs="黑体"/>
              <w:b/>
              <w:szCs w:val="32"/>
            </w:rPr>
            <w:t>附件2</w:t>
          </w:r>
          <w:r>
            <w:rPr>
              <w:b/>
            </w:rPr>
            <w:tab/>
          </w:r>
          <w:r>
            <w:rPr>
              <w:b/>
            </w:rPr>
            <w:fldChar w:fldCharType="begin"/>
          </w:r>
          <w:r>
            <w:rPr>
              <w:b/>
            </w:rPr>
            <w:instrText xml:space="preserve"> PAGEREF _Toc9029 \h </w:instrText>
          </w:r>
          <w:r>
            <w:rPr>
              <w:b/>
            </w:rPr>
            <w:fldChar w:fldCharType="separate"/>
          </w:r>
          <w:r>
            <w:rPr>
              <w:b/>
            </w:rPr>
            <w:t>3</w:t>
          </w:r>
          <w:r>
            <w:rPr>
              <w:rFonts w:hint="eastAsia"/>
              <w:b/>
            </w:rPr>
            <w:t>8</w:t>
          </w:r>
          <w:r>
            <w:rPr>
              <w:b/>
            </w:rPr>
            <w:fldChar w:fldCharType="end"/>
          </w:r>
          <w:r>
            <w:rPr>
              <w:b/>
            </w:rPr>
            <w:fldChar w:fldCharType="end"/>
          </w:r>
        </w:p>
        <w:p>
          <w:pPr>
            <w:pStyle w:val="34"/>
            <w:tabs>
              <w:tab w:val="right" w:leader="dot" w:pos="8306"/>
            </w:tabs>
            <w:ind w:left="0" w:leftChars="0"/>
          </w:pPr>
          <w:r>
            <w:fldChar w:fldCharType="begin"/>
          </w:r>
          <w:r>
            <w:instrText xml:space="preserve"> HYPERLINK \l "_Toc11617" </w:instrText>
          </w:r>
          <w:r>
            <w:fldChar w:fldCharType="separate"/>
          </w:r>
          <w:r>
            <w:rPr>
              <w:rFonts w:hint="eastAsia" w:ascii="黑体" w:hAnsi="黑体" w:eastAsia="黑体"/>
              <w:b/>
            </w:rPr>
            <w:t>第五部分  附表</w:t>
          </w:r>
          <w:r>
            <w:tab/>
          </w:r>
          <w:r>
            <w:fldChar w:fldCharType="begin"/>
          </w:r>
          <w:r>
            <w:instrText xml:space="preserve"> PAGEREF _Toc11617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"_Toc14359" </w:instrText>
          </w:r>
          <w:r>
            <w:fldChar w:fldCharType="separate"/>
          </w:r>
          <w:r>
            <w:rPr>
              <w:rFonts w:hint="eastAsia" w:ascii="仿宋" w:hAnsi="仿宋" w:eastAsia="仿宋"/>
            </w:rPr>
            <w:t>一、收入支出决算总表</w:t>
          </w:r>
          <w:r>
            <w:tab/>
          </w:r>
          <w:r>
            <w:fldChar w:fldCharType="begin"/>
          </w:r>
          <w:r>
            <w:instrText xml:space="preserve"> PAGEREF _Toc14359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"_Toc27653" </w:instrText>
          </w:r>
          <w:r>
            <w:fldChar w:fldCharType="separate"/>
          </w:r>
          <w:r>
            <w:rPr>
              <w:rFonts w:hint="eastAsia" w:ascii="仿宋" w:hAnsi="仿宋" w:eastAsia="仿宋"/>
            </w:rPr>
            <w:t>二、收入决算表</w:t>
          </w:r>
          <w:r>
            <w:tab/>
          </w:r>
          <w:r>
            <w:fldChar w:fldCharType="begin"/>
          </w:r>
          <w:r>
            <w:instrText xml:space="preserve"> PAGEREF _Toc27653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"_Toc9847" </w:instrText>
          </w:r>
          <w:r>
            <w:fldChar w:fldCharType="separate"/>
          </w:r>
          <w:r>
            <w:rPr>
              <w:rFonts w:hint="eastAsia" w:ascii="仿宋" w:hAnsi="仿宋" w:eastAsia="仿宋"/>
            </w:rPr>
            <w:t>三、支出决算表</w:t>
          </w:r>
          <w:r>
            <w:tab/>
          </w:r>
          <w:r>
            <w:fldChar w:fldCharType="begin"/>
          </w:r>
          <w:r>
            <w:instrText xml:space="preserve"> PAGEREF _Toc9847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"_Toc15650" </w:instrText>
          </w:r>
          <w:r>
            <w:fldChar w:fldCharType="separate"/>
          </w:r>
          <w:r>
            <w:rPr>
              <w:rFonts w:hint="eastAsia" w:ascii="仿宋" w:hAnsi="仿宋" w:eastAsia="仿宋"/>
            </w:rPr>
            <w:t>四、财政拨款收入支出决算总表</w:t>
          </w:r>
          <w:r>
            <w:tab/>
          </w:r>
          <w:r>
            <w:fldChar w:fldCharType="begin"/>
          </w:r>
          <w:r>
            <w:instrText xml:space="preserve"> PAGEREF _Toc15650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"_Toc3341" </w:instrText>
          </w:r>
          <w:r>
            <w:fldChar w:fldCharType="separate"/>
          </w:r>
          <w:r>
            <w:rPr>
              <w:rFonts w:hint="eastAsia" w:ascii="仿宋" w:hAnsi="仿宋" w:eastAsia="仿宋"/>
            </w:rPr>
            <w:t>五、财政拨款支出决算明细表</w:t>
          </w:r>
          <w:r>
            <w:tab/>
          </w:r>
          <w:r>
            <w:fldChar w:fldCharType="begin"/>
          </w:r>
          <w:r>
            <w:instrText xml:space="preserve"> PAGEREF _Toc3341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"_Toc28595" </w:instrText>
          </w:r>
          <w:r>
            <w:fldChar w:fldCharType="separate"/>
          </w:r>
          <w:r>
            <w:rPr>
              <w:rFonts w:hint="eastAsia" w:ascii="仿宋" w:hAnsi="仿宋" w:eastAsia="仿宋"/>
            </w:rPr>
            <w:t>六、一般公共预算财政拨款支出决算表</w:t>
          </w:r>
          <w:r>
            <w:tab/>
          </w:r>
          <w:r>
            <w:fldChar w:fldCharType="begin"/>
          </w:r>
          <w:r>
            <w:instrText xml:space="preserve"> PAGEREF _Toc28595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"_Toc26109" </w:instrText>
          </w:r>
          <w:r>
            <w:fldChar w:fldCharType="separate"/>
          </w:r>
          <w:r>
            <w:rPr>
              <w:rFonts w:hint="eastAsia" w:ascii="仿宋" w:hAnsi="仿宋" w:eastAsia="仿宋"/>
            </w:rPr>
            <w:t>七、一般公共预算财政拨款支出决算明细表</w:t>
          </w:r>
          <w:r>
            <w:tab/>
          </w:r>
          <w:r>
            <w:fldChar w:fldCharType="begin"/>
          </w:r>
          <w:r>
            <w:instrText xml:space="preserve"> PAGEREF _Toc26109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"_Toc10267" </w:instrText>
          </w:r>
          <w:r>
            <w:fldChar w:fldCharType="separate"/>
          </w:r>
          <w:r>
            <w:rPr>
              <w:rFonts w:hint="eastAsia" w:ascii="仿宋" w:hAnsi="仿宋" w:eastAsia="仿宋"/>
            </w:rPr>
            <w:t>八、一般公共预算财政拨款基本支出决算表</w:t>
          </w:r>
          <w:r>
            <w:tab/>
          </w:r>
          <w:r>
            <w:fldChar w:fldCharType="begin"/>
          </w:r>
          <w:r>
            <w:instrText xml:space="preserve"> PAGEREF _Toc10267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"_Toc13246" </w:instrText>
          </w:r>
          <w:r>
            <w:fldChar w:fldCharType="separate"/>
          </w:r>
          <w:r>
            <w:rPr>
              <w:rFonts w:hint="eastAsia" w:ascii="仿宋" w:hAnsi="仿宋" w:eastAsia="仿宋"/>
            </w:rPr>
            <w:t>九、一般公共预算财政拨款项目支出决算表</w:t>
          </w:r>
          <w:r>
            <w:tab/>
          </w:r>
          <w:r>
            <w:fldChar w:fldCharType="begin"/>
          </w:r>
          <w:r>
            <w:instrText xml:space="preserve"> PAGEREF _Toc13246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"_Toc6158"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_Toc6158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"_Toc7655"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_Toc7655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"_Toc23215"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_Toc23215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"_Toc17743"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_Toc17743 \h </w:instrText>
          </w:r>
          <w:r>
            <w:fldChar w:fldCharType="separate"/>
          </w:r>
          <w:r>
            <w:t>41</w:t>
          </w:r>
          <w:r>
            <w:fldChar w:fldCharType="end"/>
          </w:r>
          <w:r>
            <w:fldChar w:fldCharType="end"/>
          </w:r>
        </w:p>
        <w:p>
          <w:pPr>
            <w:pStyle w:val="34"/>
            <w:tabs>
              <w:tab w:val="right" w:leader="dot" w:pos="8306"/>
            </w:tabs>
            <w:ind w:left="420"/>
          </w:pPr>
          <w:r>
            <w:fldChar w:fldCharType="begin"/>
          </w:r>
          <w:r>
            <w:instrText xml:space="preserve"> HYPERLINK \l "_Toc16051"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_Toc16051 \h </w:instrText>
          </w:r>
          <w:r>
            <w:fldChar w:fldCharType="separate"/>
          </w:r>
          <w:r>
            <w:t>41</w:t>
          </w:r>
          <w:r>
            <w:fldChar w:fldCharType="end"/>
          </w:r>
          <w:r>
            <w:fldChar w:fldCharType="end"/>
          </w:r>
        </w:p>
        <w:p>
          <w:pPr>
            <w:widowControl/>
            <w:spacing w:line="440" w:lineRule="exact"/>
            <w:ind w:firstLine="422" w:firstLineChars="200"/>
            <w:jc w:val="left"/>
            <w:rPr>
              <w:rFonts w:ascii="仿宋" w:hAnsi="仿宋" w:eastAsia="仿宋"/>
              <w:bCs/>
              <w:kern w:val="44"/>
              <w:sz w:val="24"/>
            </w:rPr>
          </w:pPr>
          <w:r>
            <w:rPr>
              <w:rFonts w:ascii="仿宋" w:hAnsi="仿宋" w:eastAsia="仿宋"/>
              <w:b/>
              <w:bCs/>
              <w:kern w:val="44"/>
            </w:rPr>
            <w:fldChar w:fldCharType="end"/>
          </w:r>
        </w:p>
      </w:sdtContent>
    </w:sdt>
    <w:p>
      <w:pPr>
        <w:pStyle w:val="3"/>
        <w:jc w:val="center"/>
        <w:rPr>
          <w:rStyle w:val="17"/>
          <w:rFonts w:ascii="黑体" w:hAnsi="黑体" w:eastAsia="黑体"/>
          <w:b/>
          <w:bCs w:val="0"/>
        </w:rPr>
      </w:pPr>
      <w:bookmarkStart w:id="16" w:name="_Toc120"/>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4"/>
      <w:bookmarkEnd w:id="15"/>
      <w:bookmarkEnd w:id="16"/>
    </w:p>
    <w:p>
      <w:pPr>
        <w:widowControl/>
        <w:jc w:val="left"/>
        <w:rPr>
          <w:rFonts w:ascii="黑体" w:eastAsia="黑体"/>
          <w:color w:val="000000"/>
          <w:sz w:val="32"/>
          <w:szCs w:val="32"/>
        </w:rPr>
      </w:pPr>
    </w:p>
    <w:p>
      <w:pPr>
        <w:pStyle w:val="4"/>
        <w:rPr>
          <w:rStyle w:val="31"/>
          <w:rFonts w:ascii="仿宋" w:hAnsi="仿宋" w:eastAsia="仿宋"/>
          <w:b w:val="0"/>
          <w:bCs w:val="0"/>
        </w:rPr>
      </w:pPr>
      <w:bookmarkStart w:id="17" w:name="_Toc19818"/>
      <w:bookmarkStart w:id="18" w:name="_Toc1786"/>
      <w:bookmarkStart w:id="19" w:name="_Toc15396600"/>
      <w:bookmarkStart w:id="20" w:name="_Toc15377197"/>
      <w:r>
        <w:rPr>
          <w:rFonts w:hint="eastAsia" w:ascii="黑体" w:hAnsi="黑体" w:eastAsia="黑体"/>
          <w:b w:val="0"/>
          <w:color w:val="000000"/>
        </w:rPr>
        <w:t>一、基</w:t>
      </w:r>
      <w:r>
        <w:rPr>
          <w:rStyle w:val="31"/>
          <w:rFonts w:hint="eastAsia" w:ascii="黑体" w:hAnsi="黑体" w:eastAsia="黑体"/>
          <w:b w:val="0"/>
          <w:bCs w:val="0"/>
        </w:rPr>
        <w:t>本职能及主要工作</w:t>
      </w:r>
      <w:bookmarkEnd w:id="17"/>
      <w:bookmarkEnd w:id="18"/>
      <w:bookmarkEnd w:id="19"/>
      <w:bookmarkEnd w:id="20"/>
    </w:p>
    <w:p>
      <w:pPr>
        <w:pStyle w:val="6"/>
        <w:adjustRightInd w:val="0"/>
        <w:snapToGrid w:val="0"/>
        <w:spacing w:before="93" w:line="600" w:lineRule="exact"/>
        <w:ind w:firstLine="675" w:firstLineChars="210"/>
        <w:outlineLvl w:val="2"/>
        <w:rPr>
          <w:rFonts w:hAnsi="仿宋_GB2312" w:cs="仿宋_GB2312"/>
          <w:b/>
          <w:color w:val="000000"/>
          <w:sz w:val="32"/>
          <w:szCs w:val="32"/>
        </w:rPr>
      </w:pPr>
      <w:bookmarkStart w:id="21" w:name="_Toc15377198"/>
      <w:bookmarkStart w:id="22" w:name="_Toc15378445"/>
      <w:bookmarkStart w:id="23" w:name="_Toc24677"/>
      <w:bookmarkStart w:id="24" w:name="_Toc15378446"/>
      <w:bookmarkStart w:id="25" w:name="_Toc15377199"/>
      <w:r>
        <w:rPr>
          <w:rFonts w:hint="eastAsia" w:hAnsi="仿宋_GB2312" w:cs="仿宋_GB2312"/>
          <w:b/>
          <w:color w:val="000000"/>
          <w:sz w:val="32"/>
          <w:szCs w:val="32"/>
        </w:rPr>
        <w:t>（一）主要职能。</w:t>
      </w:r>
      <w:bookmarkEnd w:id="21"/>
      <w:bookmarkEnd w:id="22"/>
      <w:bookmarkEnd w:id="23"/>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26" w:name="_Toc22641"/>
      <w:r>
        <w:rPr>
          <w:rFonts w:hint="eastAsia" w:hAnsi="仿宋_GB2312" w:cs="仿宋_GB2312"/>
          <w:bCs/>
          <w:color w:val="000000"/>
          <w:sz w:val="32"/>
          <w:szCs w:val="32"/>
        </w:rPr>
        <w:t>攀枝花市卫生健康委员会是政府工作部门，根据《攀枝花市人民政府办公室关于印发攀枝花市卫生健康委员会主要职责内设机构和人员编制规定的通知》（攀委办[2019]34号），主要职责如下：</w:t>
      </w:r>
      <w:bookmarkEnd w:id="26"/>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27" w:name="_Toc9041"/>
      <w:r>
        <w:rPr>
          <w:rFonts w:hint="eastAsia" w:hAnsi="仿宋_GB2312" w:cs="仿宋_GB2312"/>
          <w:bCs/>
          <w:color w:val="000000"/>
          <w:sz w:val="32"/>
          <w:szCs w:val="32"/>
          <w:lang w:val="en-US"/>
        </w:rPr>
        <w:t>1.</w:t>
      </w:r>
      <w:r>
        <w:rPr>
          <w:rFonts w:hint="eastAsia" w:hAnsi="仿宋_GB2312" w:cs="仿宋_GB2312"/>
          <w:bCs/>
          <w:color w:val="000000"/>
          <w:sz w:val="32"/>
          <w:szCs w:val="32"/>
        </w:rPr>
        <w:t>组织拟订全市卫生健康政策。负责拟订卫生健康事业发展政策、规划并组织实施。统筹规划全市卫生健康资源配置。制定并组织实施推进卫生健康基本公共服务均等化、普惠化、便捷化和公共资源向基层延伸等政策措施。</w:t>
      </w:r>
      <w:bookmarkEnd w:id="27"/>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28" w:name="_Toc10714"/>
      <w:r>
        <w:rPr>
          <w:rFonts w:hint="eastAsia" w:hAnsi="仿宋_GB2312" w:cs="仿宋_GB2312"/>
          <w:bCs/>
          <w:color w:val="000000"/>
          <w:sz w:val="32"/>
          <w:szCs w:val="32"/>
          <w:lang w:val="en-US"/>
        </w:rPr>
        <w:t>2.</w:t>
      </w:r>
      <w:r>
        <w:rPr>
          <w:rFonts w:hint="eastAsia" w:hAnsi="仿宋_GB2312" w:cs="仿宋_GB2312"/>
          <w:bCs/>
          <w:color w:val="000000"/>
          <w:sz w:val="32"/>
          <w:szCs w:val="32"/>
        </w:rPr>
        <w:t>牵头推进全市深化医药卫生体制改革。研究提出深化改革重大政策、措施的建议。组织深化公立医院综合改革，建立健全现代医院管理制度。制定并组织实施推动卫生健康公共服务提供主体多元化、提供方式多样化的政策措施。</w:t>
      </w:r>
      <w:bookmarkEnd w:id="28"/>
    </w:p>
    <w:p>
      <w:pPr>
        <w:pStyle w:val="6"/>
        <w:adjustRightInd w:val="0"/>
        <w:snapToGrid w:val="0"/>
        <w:spacing w:before="93" w:line="600" w:lineRule="exact"/>
        <w:ind w:firstLine="640" w:firstLineChars="200"/>
        <w:outlineLvl w:val="2"/>
        <w:rPr>
          <w:rFonts w:hAnsi="仿宋_GB2312" w:cs="仿宋_GB2312"/>
          <w:bCs/>
          <w:color w:val="000000"/>
          <w:sz w:val="32"/>
          <w:szCs w:val="32"/>
        </w:rPr>
      </w:pPr>
      <w:bookmarkStart w:id="29" w:name="_Toc8244"/>
      <w:r>
        <w:rPr>
          <w:rFonts w:hint="eastAsia" w:hAnsi="仿宋_GB2312" w:cs="仿宋_GB2312"/>
          <w:bCs/>
          <w:color w:val="000000"/>
          <w:sz w:val="32"/>
          <w:szCs w:val="32"/>
          <w:lang w:val="en-US"/>
        </w:rPr>
        <w:t>3.</w:t>
      </w:r>
      <w:r>
        <w:rPr>
          <w:rFonts w:hint="eastAsia" w:hAnsi="仿宋_GB2312" w:cs="仿宋_GB2312"/>
          <w:bCs/>
          <w:color w:val="000000"/>
          <w:sz w:val="32"/>
          <w:szCs w:val="32"/>
        </w:rPr>
        <w:t>制定并组织落实全市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收集、报告法定传染病疫情信息、突发公共卫生事件应急处置信息。依照国家检疫传染病和监测传染病目录，参与开展检疫监测工作。</w:t>
      </w:r>
      <w:bookmarkEnd w:id="29"/>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30" w:name="_Toc8439"/>
      <w:r>
        <w:rPr>
          <w:rFonts w:hint="eastAsia" w:hAnsi="仿宋_GB2312" w:cs="仿宋_GB2312"/>
          <w:bCs/>
          <w:color w:val="000000"/>
          <w:sz w:val="32"/>
          <w:szCs w:val="32"/>
          <w:lang w:val="en-US"/>
        </w:rPr>
        <w:t>4.</w:t>
      </w:r>
      <w:r>
        <w:rPr>
          <w:rFonts w:hint="eastAsia" w:hAnsi="仿宋_GB2312" w:cs="仿宋_GB2312"/>
          <w:bCs/>
          <w:color w:val="000000"/>
          <w:sz w:val="32"/>
          <w:szCs w:val="32"/>
        </w:rPr>
        <w:t>贯彻落实国家应对人口老龄化政策措施。负责推进老年健康服务体系建设和医养结合工作。承担市老龄工作委员会日常工作。</w:t>
      </w:r>
      <w:bookmarkEnd w:id="30"/>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31" w:name="_Toc11817"/>
      <w:r>
        <w:rPr>
          <w:rFonts w:hint="eastAsia" w:hAnsi="仿宋_GB2312" w:cs="仿宋_GB2312"/>
          <w:bCs/>
          <w:color w:val="000000"/>
          <w:sz w:val="32"/>
          <w:szCs w:val="32"/>
          <w:lang w:val="en-US"/>
        </w:rPr>
        <w:t>5.</w:t>
      </w:r>
      <w:r>
        <w:rPr>
          <w:rFonts w:hint="eastAsia" w:hAnsi="仿宋_GB2312" w:cs="仿宋_GB2312"/>
          <w:bCs/>
          <w:color w:val="000000"/>
          <w:sz w:val="32"/>
          <w:szCs w:val="32"/>
        </w:rPr>
        <w:t>贯彻落实国家药物政策和国家基本药物制度。开展药械使用监测、临床综合评价和短缺药品预警，组织执行国家药典和国家基本药物目录，制定基本药物使用的政策措施。</w:t>
      </w:r>
      <w:bookmarkEnd w:id="31"/>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32" w:name="_Toc26452"/>
      <w:r>
        <w:rPr>
          <w:rFonts w:hint="eastAsia" w:hAnsi="仿宋_GB2312" w:cs="仿宋_GB2312"/>
          <w:bCs/>
          <w:color w:val="000000"/>
          <w:sz w:val="32"/>
          <w:szCs w:val="32"/>
          <w:lang w:val="en-US"/>
        </w:rPr>
        <w:t>6.</w:t>
      </w:r>
      <w:r>
        <w:rPr>
          <w:rFonts w:hint="eastAsia" w:hAnsi="仿宋_GB2312" w:cs="仿宋_GB2312"/>
          <w:bCs/>
          <w:color w:val="000000"/>
          <w:sz w:val="32"/>
          <w:szCs w:val="32"/>
        </w:rPr>
        <w:t>组织实施食品安全风险监测，开展食品安全企业标准备案，组织开展食品安全事故流行病学调查。</w:t>
      </w:r>
      <w:bookmarkEnd w:id="32"/>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33" w:name="_Toc11261"/>
      <w:r>
        <w:rPr>
          <w:rFonts w:hint="eastAsia" w:hAnsi="仿宋_GB2312" w:cs="仿宋_GB2312"/>
          <w:bCs/>
          <w:color w:val="000000"/>
          <w:sz w:val="32"/>
          <w:szCs w:val="32"/>
          <w:lang w:val="en-US"/>
        </w:rPr>
        <w:t>7.</w:t>
      </w:r>
      <w:r>
        <w:rPr>
          <w:rFonts w:hint="eastAsia" w:hAnsi="仿宋_GB2312" w:cs="仿宋_GB2312"/>
          <w:bCs/>
          <w:color w:val="000000"/>
          <w:sz w:val="32"/>
          <w:szCs w:val="32"/>
        </w:rPr>
        <w:t>负责职责范围内的职业卫生、放射卫生、环境卫生、学校卫生、公共场所卫生、饮用水卫生等公共卫生的监督管理。负责传染病防治监督，健全卫生健康综合监管体系。</w:t>
      </w:r>
      <w:bookmarkEnd w:id="33"/>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34" w:name="_Toc5684"/>
      <w:r>
        <w:rPr>
          <w:rFonts w:hint="eastAsia" w:hAnsi="仿宋_GB2312" w:cs="仿宋_GB2312"/>
          <w:bCs/>
          <w:color w:val="000000"/>
          <w:sz w:val="32"/>
          <w:szCs w:val="32"/>
          <w:lang w:val="en-US"/>
        </w:rPr>
        <w:t>8.</w:t>
      </w:r>
      <w:r>
        <w:rPr>
          <w:rFonts w:hint="eastAsia" w:hAnsi="仿宋_GB2312" w:cs="仿宋_GB2312"/>
          <w:bCs/>
          <w:color w:val="000000"/>
          <w:sz w:val="32"/>
          <w:szCs w:val="32"/>
        </w:rPr>
        <w:t>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bookmarkEnd w:id="34"/>
    </w:p>
    <w:p>
      <w:pPr>
        <w:pStyle w:val="6"/>
        <w:adjustRightInd w:val="0"/>
        <w:snapToGrid w:val="0"/>
        <w:spacing w:before="93" w:line="600" w:lineRule="exact"/>
        <w:ind w:firstLine="640" w:firstLineChars="200"/>
        <w:outlineLvl w:val="2"/>
        <w:rPr>
          <w:rFonts w:hAnsi="仿宋_GB2312" w:cs="仿宋_GB2312"/>
          <w:bCs/>
          <w:color w:val="000000"/>
          <w:sz w:val="32"/>
          <w:szCs w:val="32"/>
        </w:rPr>
      </w:pPr>
      <w:bookmarkStart w:id="35" w:name="_Toc21740"/>
      <w:r>
        <w:rPr>
          <w:rFonts w:hint="eastAsia" w:hAnsi="仿宋_GB2312" w:cs="仿宋_GB2312"/>
          <w:bCs/>
          <w:color w:val="000000"/>
          <w:sz w:val="32"/>
          <w:szCs w:val="32"/>
          <w:lang w:val="en-US"/>
        </w:rPr>
        <w:t>9.</w:t>
      </w:r>
      <w:r>
        <w:rPr>
          <w:rFonts w:hint="eastAsia" w:hAnsi="仿宋_GB2312" w:cs="仿宋_GB2312"/>
          <w:bCs/>
          <w:color w:val="000000"/>
          <w:sz w:val="32"/>
          <w:szCs w:val="32"/>
        </w:rPr>
        <w:t>制定全市中医药中长期发展规划，并纳入卫生健康事业发展总体规划和战略目标予以组织实施。</w:t>
      </w:r>
      <w:bookmarkEnd w:id="35"/>
    </w:p>
    <w:p>
      <w:pPr>
        <w:pStyle w:val="6"/>
        <w:adjustRightInd w:val="0"/>
        <w:snapToGrid w:val="0"/>
        <w:spacing w:before="93" w:line="600" w:lineRule="exact"/>
        <w:ind w:firstLine="640" w:firstLineChars="200"/>
        <w:outlineLvl w:val="2"/>
        <w:rPr>
          <w:rFonts w:hAnsi="仿宋_GB2312" w:cs="仿宋_GB2312"/>
          <w:bCs/>
          <w:color w:val="000000"/>
          <w:sz w:val="32"/>
          <w:szCs w:val="32"/>
        </w:rPr>
      </w:pPr>
      <w:bookmarkStart w:id="36" w:name="_Toc28379"/>
      <w:r>
        <w:rPr>
          <w:rFonts w:hint="eastAsia" w:hAnsi="仿宋_GB2312" w:cs="仿宋_GB2312"/>
          <w:bCs/>
          <w:color w:val="000000"/>
          <w:sz w:val="32"/>
          <w:szCs w:val="32"/>
          <w:lang w:val="en-US"/>
        </w:rPr>
        <w:t>10.</w:t>
      </w:r>
      <w:r>
        <w:rPr>
          <w:rFonts w:hint="eastAsia" w:hAnsi="仿宋_GB2312" w:cs="仿宋_GB2312"/>
          <w:bCs/>
          <w:color w:val="000000"/>
          <w:sz w:val="32"/>
          <w:szCs w:val="32"/>
        </w:rPr>
        <w:t>负责全市计划生育管理和服务工作，开展人口监测预警，研究提出人口与家庭发展相关政策建议，执行计划生育政策。指导市计划生育协会的业务工作。</w:t>
      </w:r>
      <w:bookmarkEnd w:id="36"/>
    </w:p>
    <w:p>
      <w:pPr>
        <w:pStyle w:val="6"/>
        <w:adjustRightInd w:val="0"/>
        <w:snapToGrid w:val="0"/>
        <w:spacing w:before="93" w:line="600" w:lineRule="exact"/>
        <w:ind w:firstLine="640" w:firstLineChars="200"/>
        <w:outlineLvl w:val="2"/>
        <w:rPr>
          <w:rFonts w:hAnsi="仿宋_GB2312" w:cs="仿宋_GB2312"/>
          <w:bCs/>
          <w:color w:val="000000"/>
          <w:sz w:val="32"/>
          <w:szCs w:val="32"/>
        </w:rPr>
      </w:pPr>
      <w:bookmarkStart w:id="37" w:name="_Toc29755"/>
      <w:r>
        <w:rPr>
          <w:rFonts w:hint="eastAsia" w:hAnsi="仿宋_GB2312" w:cs="仿宋_GB2312"/>
          <w:bCs/>
          <w:color w:val="000000"/>
          <w:sz w:val="32"/>
          <w:szCs w:val="32"/>
          <w:lang w:val="en-US"/>
        </w:rPr>
        <w:t>11.</w:t>
      </w:r>
      <w:r>
        <w:rPr>
          <w:rFonts w:hint="eastAsia" w:hAnsi="仿宋_GB2312" w:cs="仿宋_GB2312"/>
          <w:bCs/>
          <w:color w:val="000000"/>
          <w:sz w:val="32"/>
          <w:szCs w:val="32"/>
        </w:rPr>
        <w:t>指导县（区）卫生健康工作。指导基层医疗卫生、妇幼健康服务体系和基层卫生队伍建设。推进卫生健康科技创新发展。</w:t>
      </w:r>
      <w:bookmarkEnd w:id="37"/>
    </w:p>
    <w:p>
      <w:pPr>
        <w:pStyle w:val="6"/>
        <w:adjustRightInd w:val="0"/>
        <w:snapToGrid w:val="0"/>
        <w:spacing w:before="93" w:line="600" w:lineRule="exact"/>
        <w:ind w:firstLine="640" w:firstLineChars="200"/>
        <w:outlineLvl w:val="2"/>
        <w:rPr>
          <w:rFonts w:hAnsi="仿宋_GB2312" w:cs="仿宋_GB2312"/>
          <w:bCs/>
          <w:color w:val="000000"/>
          <w:sz w:val="32"/>
          <w:szCs w:val="32"/>
        </w:rPr>
      </w:pPr>
      <w:bookmarkStart w:id="38" w:name="_Toc10822"/>
      <w:r>
        <w:rPr>
          <w:rFonts w:hint="eastAsia" w:hAnsi="仿宋_GB2312" w:cs="仿宋_GB2312"/>
          <w:bCs/>
          <w:color w:val="000000"/>
          <w:sz w:val="32"/>
          <w:szCs w:val="32"/>
          <w:lang w:val="en-US"/>
        </w:rPr>
        <w:t>12.</w:t>
      </w:r>
      <w:r>
        <w:rPr>
          <w:rFonts w:hint="eastAsia" w:hAnsi="仿宋_GB2312" w:cs="仿宋_GB2312"/>
          <w:bCs/>
          <w:color w:val="000000"/>
          <w:sz w:val="32"/>
          <w:szCs w:val="32"/>
        </w:rPr>
        <w:t>负责市</w:t>
      </w:r>
      <w:r>
        <w:rPr>
          <w:rFonts w:hint="eastAsia" w:hAnsi="仿宋_GB2312" w:cs="仿宋_GB2312"/>
          <w:bCs/>
          <w:color w:val="000000"/>
          <w:sz w:val="32"/>
          <w:szCs w:val="32"/>
          <w:lang w:val="en-US"/>
        </w:rPr>
        <w:t>级</w:t>
      </w:r>
      <w:r>
        <w:rPr>
          <w:rFonts w:hint="eastAsia" w:hAnsi="仿宋_GB2312" w:cs="仿宋_GB2312"/>
          <w:bCs/>
          <w:color w:val="000000"/>
          <w:sz w:val="32"/>
          <w:szCs w:val="32"/>
        </w:rPr>
        <w:t>确定的保健对象医疗保健工作，负责市级有关部门（单位）离休干部医疗管理工作。负责重要会议与重大活动的医疗卫生保障工作。</w:t>
      </w:r>
      <w:bookmarkEnd w:id="38"/>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39" w:name="_Toc13971"/>
      <w:r>
        <w:rPr>
          <w:rFonts w:hint="eastAsia" w:hAnsi="仿宋_GB2312" w:cs="仿宋_GB2312"/>
          <w:bCs/>
          <w:color w:val="000000"/>
          <w:sz w:val="32"/>
          <w:szCs w:val="32"/>
          <w:lang w:val="en-US"/>
        </w:rPr>
        <w:t>13.</w:t>
      </w:r>
      <w:r>
        <w:rPr>
          <w:rFonts w:hint="eastAsia" w:hAnsi="仿宋_GB2312" w:cs="仿宋_GB2312"/>
          <w:bCs/>
          <w:color w:val="000000"/>
          <w:sz w:val="32"/>
          <w:szCs w:val="32"/>
        </w:rPr>
        <w:t>依法依规履行卫生健康行业安全生产监管职责，负责职责范围内的生态环境保护、审批服务便民化等工作。</w:t>
      </w:r>
      <w:bookmarkEnd w:id="39"/>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40" w:name="_Toc17299"/>
      <w:r>
        <w:rPr>
          <w:rFonts w:hint="eastAsia" w:hAnsi="仿宋_GB2312" w:cs="仿宋_GB2312"/>
          <w:bCs/>
          <w:color w:val="000000"/>
          <w:sz w:val="32"/>
          <w:szCs w:val="32"/>
          <w:lang w:val="en-US"/>
        </w:rPr>
        <w:t>14.</w:t>
      </w:r>
      <w:r>
        <w:rPr>
          <w:rFonts w:hint="eastAsia" w:hAnsi="仿宋_GB2312" w:cs="仿宋_GB2312"/>
          <w:bCs/>
          <w:color w:val="000000"/>
          <w:sz w:val="32"/>
          <w:szCs w:val="32"/>
        </w:rPr>
        <w:t>完成市委、市政府交办的其他任务。</w:t>
      </w:r>
      <w:bookmarkEnd w:id="40"/>
    </w:p>
    <w:p>
      <w:pPr>
        <w:pStyle w:val="6"/>
        <w:adjustRightInd w:val="0"/>
        <w:snapToGrid w:val="0"/>
        <w:spacing w:before="93" w:line="600" w:lineRule="exact"/>
        <w:ind w:firstLine="672" w:firstLineChars="210"/>
        <w:outlineLvl w:val="2"/>
        <w:rPr>
          <w:rFonts w:hAnsi="仿宋_GB2312" w:cs="仿宋_GB2312"/>
          <w:bCs/>
          <w:color w:val="000000"/>
          <w:sz w:val="32"/>
          <w:szCs w:val="32"/>
        </w:rPr>
      </w:pPr>
      <w:bookmarkStart w:id="41" w:name="_Toc3917"/>
      <w:r>
        <w:rPr>
          <w:rFonts w:hint="eastAsia" w:hAnsi="仿宋_GB2312" w:cs="仿宋_GB2312"/>
          <w:bCs/>
          <w:color w:val="000000"/>
          <w:sz w:val="32"/>
          <w:szCs w:val="32"/>
          <w:lang w:val="en-US"/>
        </w:rPr>
        <w:t>15.</w:t>
      </w:r>
      <w:r>
        <w:rPr>
          <w:rFonts w:hint="eastAsia" w:hAnsi="仿宋_GB2312" w:cs="仿宋_GB2312"/>
          <w:bCs/>
          <w:color w:val="000000"/>
          <w:sz w:val="32"/>
          <w:szCs w:val="32"/>
        </w:rPr>
        <w:t>职能转变。牢固树立大卫生、大健康理念，推动实施健康中国、健康四川和健康攀枝花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市；更加注重深化医药卫生体制改革的科学性和持续性，加快分级诊疗制度建设，加强医疗、医保、医药的联动改革，加大公立医院改革力度。</w:t>
      </w:r>
      <w:bookmarkEnd w:id="41"/>
    </w:p>
    <w:bookmarkEnd w:id="24"/>
    <w:bookmarkEnd w:id="25"/>
    <w:p>
      <w:pPr>
        <w:pStyle w:val="6"/>
        <w:adjustRightInd w:val="0"/>
        <w:snapToGrid w:val="0"/>
        <w:spacing w:before="93" w:line="600" w:lineRule="exact"/>
        <w:ind w:firstLine="675" w:firstLineChars="210"/>
        <w:outlineLvl w:val="2"/>
        <w:rPr>
          <w:rFonts w:hAnsi="仿宋_GB2312" w:cs="仿宋_GB2312"/>
          <w:b/>
          <w:sz w:val="32"/>
          <w:szCs w:val="32"/>
        </w:rPr>
      </w:pPr>
      <w:bookmarkStart w:id="42" w:name="_Toc31391"/>
      <w:bookmarkStart w:id="43" w:name="_Toc15396601"/>
      <w:bookmarkStart w:id="44" w:name="_Toc6420"/>
      <w:bookmarkStart w:id="45" w:name="_Toc15377200"/>
      <w:r>
        <w:rPr>
          <w:rFonts w:hint="eastAsia" w:hAnsi="仿宋_GB2312" w:cs="仿宋_GB2312"/>
          <w:b/>
          <w:sz w:val="32"/>
          <w:szCs w:val="32"/>
        </w:rPr>
        <w:t>（二）2020年重点工作完成情况</w:t>
      </w:r>
      <w:bookmarkEnd w:id="42"/>
    </w:p>
    <w:p>
      <w:p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1.全力抗击新冠肺炎疫情取得阶段性胜利。</w:t>
      </w:r>
      <w:r>
        <w:rPr>
          <w:rFonts w:hint="eastAsia" w:ascii="仿宋_GB2312" w:hAnsi="仿宋_GB2312" w:eastAsia="仿宋_GB2312" w:cs="仿宋_GB2312"/>
          <w:sz w:val="32"/>
          <w:szCs w:val="32"/>
        </w:rPr>
        <w:t>新冠肺炎疫情发生后，全系统干部职工闻令而动，日夜奋战，依法科学防控，迅速成立疫情防控领导小组，组建工作组，构建分类医疗救治体系，建立起覆盖全市卫生健康系统纵向到底、横向到边的防控工作组织体系。结合不同时间节点疫情防控需求，建立</w:t>
      </w:r>
      <w:r>
        <w:rPr>
          <w:rFonts w:hint="eastAsia" w:ascii="仿宋_GB2312" w:hAnsi="仿宋_GB2312" w:eastAsia="仿宋_GB2312" w:cs="仿宋_GB2312"/>
          <w:snapToGrid w:val="0"/>
          <w:sz w:val="32"/>
          <w:szCs w:val="32"/>
        </w:rPr>
        <w:t>完善每日会商、每日调度、全面联动的高效防控工作机制。组建党员先锋队、党员突击队等志愿到一线参与新冠肺炎患者救治，到定点救治医院参与患者救治，</w:t>
      </w:r>
      <w:r>
        <w:rPr>
          <w:rFonts w:hint="eastAsia" w:ascii="仿宋_GB2312" w:hAnsi="仿宋_GB2312" w:eastAsia="仿宋_GB2312" w:cs="仿宋_GB2312"/>
          <w:sz w:val="32"/>
          <w:szCs w:val="32"/>
        </w:rPr>
        <w:t>支持武汉抗疫，</w:t>
      </w:r>
      <w:r>
        <w:rPr>
          <w:rFonts w:hint="eastAsia" w:ascii="仿宋_GB2312" w:hAnsi="仿宋_GB2312" w:eastAsia="仿宋_GB2312" w:cs="仿宋_GB2312"/>
          <w:snapToGrid w:val="0"/>
          <w:sz w:val="32"/>
          <w:szCs w:val="32"/>
        </w:rPr>
        <w:t>以实际行动彰显“敬畏生命、救死扶伤、甘于奉献、大爱无疆”的职业精神。</w:t>
      </w:r>
      <w:r>
        <w:rPr>
          <w:rFonts w:hint="eastAsia" w:ascii="仿宋_GB2312" w:hAnsi="仿宋_GB2312" w:eastAsia="仿宋_GB2312" w:cs="仿宋_GB2312"/>
          <w:sz w:val="32"/>
          <w:szCs w:val="32"/>
        </w:rPr>
        <w:t>发挥攀枝花作为区域医疗卫生高地优势，全面落实“集中患者、集中专家、集中资源、集中救治、远程会诊”施治要求，统筹全市医疗资源全力救治患者，创新建立一患一策、每日会诊、中西医结合、心理疏导和康复治疗相结合的“五位一体”综合治疗模式，组建重症医护专班对危重患者进行24小时监护，中医团队根据患者体质进行全程中医药干预和辨证施治，中医药干预达100％，成为全省启动疫情防控最早、发现病例最晚、病例清零最快的市（州）。紧跟疫情形势，动态调整防控策略，充分发挥专业担当，制定100余个专业防控策略，</w:t>
      </w:r>
      <w:r>
        <w:rPr>
          <w:rFonts w:hint="eastAsia" w:ascii="仿宋_GB2312" w:hAnsi="仿宋_GB2312" w:eastAsia="仿宋_GB2312" w:cs="仿宋_GB2312"/>
          <w:color w:val="000000"/>
          <w:sz w:val="32"/>
          <w:szCs w:val="32"/>
        </w:rPr>
        <w:t>大中专学校、中小学校和托幼机构以及复工复产企业进行“新冠肺炎防控卫生员”培训。</w:t>
      </w:r>
      <w:r>
        <w:rPr>
          <w:rFonts w:hint="eastAsia" w:ascii="仿宋_GB2312" w:hAnsi="仿宋_GB2312" w:eastAsia="仿宋_GB2312" w:cs="仿宋_GB2312"/>
          <w:sz w:val="32"/>
          <w:szCs w:val="32"/>
        </w:rPr>
        <w:t>紧盯“外防输入、内防反弹”不放松，全面落实“四早”措施，建立预检分诊、病区管理、陪护探视管理等系列制度，全市二级以上医院建立“三通道”或“双通道”，基层医疗机构发热诊室（留观室）设置比例、二级以上医院感控督查员配置比例均达到100％，实现医务人员“零感染”、院感事件“零发生”预期目标。</w:t>
      </w:r>
      <w:r>
        <w:rPr>
          <w:rFonts w:hint="eastAsia" w:ascii="仿宋_GB2312" w:hAnsi="仿宋_GB2312" w:eastAsia="仿宋_GB2312" w:cs="仿宋_GB2312"/>
          <w:snapToGrid w:val="0"/>
          <w:sz w:val="32"/>
          <w:szCs w:val="32"/>
        </w:rPr>
        <w:t>建立健全常态化疫情防控机制。</w:t>
      </w:r>
      <w:r>
        <w:rPr>
          <w:rFonts w:hint="eastAsia" w:ascii="仿宋_GB2312" w:hAnsi="仿宋_GB2312" w:eastAsia="仿宋_GB2312" w:cs="仿宋_GB2312"/>
          <w:color w:val="000000"/>
          <w:sz w:val="32"/>
          <w:szCs w:val="32"/>
        </w:rPr>
        <w:t>坚持平战结合、常备不懈，落实重点场所、企业、学校、养老机构疫情防控措施，</w:t>
      </w:r>
      <w:r>
        <w:rPr>
          <w:rFonts w:hint="eastAsia" w:ascii="仿宋_GB2312" w:hAnsi="仿宋_GB2312" w:eastAsia="仿宋_GB2312" w:cs="仿宋_GB2312"/>
          <w:snapToGrid w:val="0"/>
          <w:sz w:val="32"/>
          <w:szCs w:val="32"/>
        </w:rPr>
        <w:t>加强防控救治和应急物资保障体系建设，</w:t>
      </w:r>
      <w:r>
        <w:rPr>
          <w:rFonts w:hint="eastAsia" w:ascii="仿宋_GB2312" w:hAnsi="仿宋_GB2312" w:eastAsia="仿宋_GB2312" w:cs="仿宋_GB2312"/>
          <w:sz w:val="32"/>
          <w:szCs w:val="32"/>
        </w:rPr>
        <w:t>提前完成重点人群新冠疫苗接种。加快完善公共卫生体系，</w:t>
      </w:r>
      <w:r>
        <w:rPr>
          <w:rFonts w:hint="eastAsia" w:ascii="仿宋_GB2312" w:hAnsi="仿宋_GB2312" w:eastAsia="仿宋_GB2312" w:cs="仿宋_GB2312"/>
          <w:snapToGrid w:val="0"/>
          <w:sz w:val="32"/>
          <w:szCs w:val="32"/>
        </w:rPr>
        <w:t>争取各级资金支持完善公共卫生体系建设项目，独立设置市紧急医学救援中心，</w:t>
      </w:r>
      <w:r>
        <w:rPr>
          <w:rFonts w:hint="eastAsia" w:ascii="仿宋_GB2312" w:hAnsi="仿宋_GB2312" w:eastAsia="仿宋_GB2312" w:cs="仿宋_GB2312"/>
          <w:sz w:val="32"/>
          <w:szCs w:val="32"/>
        </w:rPr>
        <w:t>成立专业卫生应急队伍，建立高效应急医疗救护体系，攀钢集团总医院航空医疗救援项目启动运行，成功争取四川省攀西紧急医学救援队落户攀枝花。</w:t>
      </w:r>
    </w:p>
    <w:p>
      <w:pPr>
        <w:spacing w:line="600" w:lineRule="exact"/>
        <w:ind w:firstLine="643"/>
        <w:rPr>
          <w:rFonts w:ascii="仿宋_GB2312" w:hAnsi="仿宋_GB2312" w:eastAsia="仿宋_GB2312" w:cs="仿宋_GB2312"/>
          <w:snapToGrid w:val="0"/>
          <w:sz w:val="32"/>
          <w:szCs w:val="32"/>
        </w:rPr>
      </w:pPr>
      <w:r>
        <w:rPr>
          <w:rFonts w:hint="eastAsia" w:ascii="仿宋_GB2312" w:hAnsi="仿宋_GB2312" w:eastAsia="仿宋_GB2312" w:cs="仿宋_GB2312"/>
          <w:b/>
          <w:bCs/>
          <w:snapToGrid w:val="0"/>
          <w:sz w:val="32"/>
          <w:szCs w:val="32"/>
        </w:rPr>
        <w:t>2.</w:t>
      </w:r>
      <w:r>
        <w:rPr>
          <w:rFonts w:hint="eastAsia" w:ascii="仿宋_GB2312" w:hAnsi="仿宋_GB2312" w:eastAsia="仿宋_GB2312" w:cs="仿宋_GB2312"/>
          <w:b/>
          <w:bCs/>
          <w:sz w:val="32"/>
          <w:szCs w:val="32"/>
        </w:rPr>
        <w:t>坚持政治引领，新时代党建任务全面落实。</w:t>
      </w:r>
      <w:r>
        <w:rPr>
          <w:rFonts w:hint="eastAsia" w:ascii="仿宋_GB2312" w:hAnsi="仿宋_GB2312" w:eastAsia="仿宋_GB2312" w:cs="仿宋_GB2312"/>
          <w:sz w:val="32"/>
          <w:szCs w:val="32"/>
        </w:rPr>
        <w:t>党建引领作用充分发挥，</w:t>
      </w:r>
      <w:r>
        <w:rPr>
          <w:rFonts w:hint="eastAsia" w:ascii="仿宋_GB2312" w:hAnsi="仿宋_GB2312" w:eastAsia="仿宋_GB2312" w:cs="仿宋_GB2312"/>
          <w:snapToGrid w:val="0"/>
          <w:sz w:val="32"/>
          <w:szCs w:val="32"/>
        </w:rPr>
        <w:t>以习近平新时代中国特色社会主义思想为指导，坚决贯彻落实中央、省、市决策部署和工作要求，紧紧围绕抓党建、转作风、促发展总体思路，扛主责、担主力、抓主业，为疫情防控和卫生健康事业高质量发展提供坚实组织保障。</w:t>
      </w:r>
      <w:r>
        <w:rPr>
          <w:rFonts w:hint="eastAsia" w:ascii="仿宋_GB2312" w:hAnsi="仿宋_GB2312" w:eastAsia="仿宋_GB2312" w:cs="仿宋_GB2312"/>
          <w:sz w:val="32"/>
          <w:szCs w:val="32"/>
        </w:rPr>
        <w:t>人才支撑更加有力，</w:t>
      </w:r>
      <w:r>
        <w:rPr>
          <w:rFonts w:hint="eastAsia" w:ascii="仿宋_GB2312" w:hAnsi="仿宋_GB2312" w:eastAsia="仿宋_GB2312" w:cs="仿宋_GB2312"/>
          <w:color w:val="000000"/>
          <w:sz w:val="32"/>
          <w:szCs w:val="32"/>
        </w:rPr>
        <w:t>坚持党管干部人才原则，树立重实干、重实绩的鲜明选人用人导向，注重高层次人才培养，</w:t>
      </w:r>
      <w:r>
        <w:rPr>
          <w:rFonts w:hint="eastAsia" w:ascii="仿宋_GB2312" w:hAnsi="仿宋_GB2312" w:eastAsia="仿宋_GB2312" w:cs="仿宋_GB2312"/>
          <w:sz w:val="32"/>
          <w:szCs w:val="32"/>
        </w:rPr>
        <w:t>充分发挥宣传凝魂聚力作用，与国家、省市媒体建立良好沟通合作机制，把卫生健康工作融入到全市重大宣传活动，多层次、多角度宣传工作成效，“健康攀枝花”官微影响力不断提升。编印的《中国公民健康素养基本知识与技能及释义66条绘本》手绘本被省卫生健康委作为科普读物全省推广，获</w:t>
      </w:r>
      <w:r>
        <w:rPr>
          <w:rFonts w:hint="eastAsia" w:ascii="仿宋_GB2312" w:hAnsi="仿宋_GB2312" w:eastAsia="仿宋_GB2312" w:cs="仿宋_GB2312"/>
          <w:snapToGrid w:val="0"/>
          <w:sz w:val="32"/>
          <w:szCs w:val="32"/>
        </w:rPr>
        <w:t>国家卫生健康委所属健康报社表彰为2020年新闻宣传工作先进集体。</w:t>
      </w:r>
    </w:p>
    <w:p>
      <w:pPr>
        <w:spacing w:line="600" w:lineRule="exact"/>
        <w:ind w:firstLine="640"/>
        <w:rPr>
          <w:rFonts w:ascii="仿宋_GB2312" w:hAnsi="仿宋_GB2312" w:eastAsia="仿宋_GB2312" w:cs="仿宋_GB2312"/>
          <w:snapToGrid w:val="0"/>
          <w:kern w:val="44"/>
          <w:sz w:val="32"/>
          <w:szCs w:val="32"/>
        </w:rPr>
      </w:pPr>
      <w:r>
        <w:rPr>
          <w:rFonts w:hint="eastAsia" w:ascii="仿宋_GB2312" w:hAnsi="仿宋_GB2312" w:eastAsia="仿宋_GB2312" w:cs="仿宋_GB2312"/>
          <w:b/>
          <w:bCs/>
          <w:sz w:val="32"/>
          <w:szCs w:val="32"/>
        </w:rPr>
        <w:t>3.坚持高质量发展主线，全力推进区域医疗卫生高地建设。</w:t>
      </w:r>
      <w:r>
        <w:rPr>
          <w:rFonts w:hint="eastAsia" w:ascii="仿宋_GB2312" w:hAnsi="仿宋_GB2312" w:eastAsia="仿宋_GB2312" w:cs="仿宋_GB2312"/>
          <w:snapToGrid w:val="0"/>
          <w:sz w:val="32"/>
          <w:szCs w:val="32"/>
        </w:rPr>
        <w:t>专家助力学科建设成效明显，</w:t>
      </w:r>
      <w:r>
        <w:rPr>
          <w:rFonts w:hint="eastAsia" w:ascii="仿宋_GB2312" w:hAnsi="仿宋_GB2312" w:eastAsia="仿宋_GB2312" w:cs="仿宋_GB2312"/>
          <w:sz w:val="32"/>
          <w:szCs w:val="32"/>
        </w:rPr>
        <w:t>大力实施专家助力打造优质医疗服务计划，邀请华西医院、中国医学科学院阜外医院等省内外知名专家到攀坐诊、巡诊、指导，</w:t>
      </w:r>
      <w:r>
        <w:rPr>
          <w:rFonts w:hint="eastAsia" w:ascii="仿宋_GB2312" w:hAnsi="仿宋_GB2312" w:eastAsia="仿宋_GB2312" w:cs="仿宋_GB2312"/>
          <w:snapToGrid w:val="0"/>
          <w:sz w:val="32"/>
          <w:szCs w:val="32"/>
        </w:rPr>
        <w:t>举办学术会议和培训班，通过专家助力，专科、学科建设取得新突破。智慧医疗促进医疗服务提升，</w:t>
      </w:r>
      <w:r>
        <w:rPr>
          <w:rFonts w:hint="eastAsia" w:ascii="仿宋_GB2312" w:hAnsi="仿宋_GB2312" w:eastAsia="仿宋_GB2312" w:cs="仿宋_GB2312"/>
          <w:sz w:val="32"/>
          <w:szCs w:val="32"/>
        </w:rPr>
        <w:t>以建设“互联网+医疗”示范市为契机，打造“智慧医疗”服务新体系，</w:t>
      </w:r>
      <w:r>
        <w:rPr>
          <w:rFonts w:hint="eastAsia" w:ascii="仿宋_GB2312" w:hAnsi="仿宋_GB2312" w:eastAsia="仿宋_GB2312" w:cs="仿宋_GB2312"/>
          <w:snapToGrid w:val="0"/>
          <w:sz w:val="32"/>
          <w:szCs w:val="32"/>
        </w:rPr>
        <w:t>加强全民健康信息平台应用，加快全员人口、电子健康档案、电子</w:t>
      </w:r>
      <w:r>
        <w:rPr>
          <w:rFonts w:hint="eastAsia" w:ascii="仿宋_GB2312" w:hAnsi="仿宋_GB2312" w:eastAsia="仿宋_GB2312" w:cs="仿宋_GB2312"/>
          <w:sz w:val="32"/>
          <w:szCs w:val="32"/>
        </w:rPr>
        <w:t>病历三大数据库信息归集，实现市、县、乡信息互联互通，拓展电子健康卡挂号就诊、检查检验、信息查询等功能，实现接入医院间就诊“一卡通”，持卡就诊率居全省前列。市中心医院、市中西医结合医院等多家医院建立了一站式服务中心、多学科诊疗中心，100％三甲医院推行分时段预约诊疗和集中预约检查检验，预约时段精确到1小时，就医时间缩短30分钟以上，预约诊疗率达到56％。多措并举推动医疗管理加强，依托医疗机构、医务人员、医疗行为信息化监管平台，加强对医疗机构、执业人员和医疗行为的全面监管；深入开展处方点评，根据点评结果对当事科室及医生进行诫勉谈话、绩效处罚等处理。结合新冠肺炎疫情防控，组织开展院感、医废等专项检查，医疗服务效率和质量进一步得到提升。持续用力推进项目建设加快。市妇女儿童医院主体完工并进行内外装修，花城新区医院主体完工。结合“十四五”规划，积极谋划和储备卫生健康建设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4.坚持改革驱动，医药卫生体制改革深入推进。</w:t>
      </w:r>
      <w:r>
        <w:rPr>
          <w:rFonts w:hint="eastAsia" w:ascii="仿宋_GB2312" w:hAnsi="仿宋_GB2312" w:eastAsia="仿宋_GB2312" w:cs="仿宋_GB2312"/>
          <w:sz w:val="32"/>
          <w:szCs w:val="32"/>
        </w:rPr>
        <w:t>公立医院改革稳步开展，全面推动公立医院改革，医保支付方式改革深入推进，分级诊疗制度不断健全。全市公立医院取消药品、医用耗材加成政策全面落实，各医疗联合体牵头单位在基层设立延伸门诊、病房，实现了医疗资源的有效联动和共享。行政审批和综合监管持续优化，</w:t>
      </w:r>
      <w:r>
        <w:rPr>
          <w:rFonts w:hint="eastAsia" w:ascii="仿宋_GB2312" w:hAnsi="仿宋_GB2312" w:eastAsia="仿宋_GB2312" w:cs="仿宋_GB2312"/>
          <w:snapToGrid w:val="0"/>
          <w:sz w:val="32"/>
          <w:szCs w:val="32"/>
        </w:rPr>
        <w:t>深化“放管服”改革，</w:t>
      </w:r>
      <w:r>
        <w:rPr>
          <w:rFonts w:hint="eastAsia" w:ascii="仿宋_GB2312" w:hAnsi="仿宋_GB2312" w:eastAsia="仿宋_GB2312" w:cs="仿宋_GB2312"/>
          <w:color w:val="000000"/>
          <w:sz w:val="32"/>
          <w:szCs w:val="32"/>
        </w:rPr>
        <w:t>推进行政审批流程简化、优化，</w:t>
      </w:r>
      <w:r>
        <w:rPr>
          <w:rFonts w:hint="eastAsia" w:ascii="仿宋_GB2312" w:hAnsi="仿宋_GB2312" w:eastAsia="仿宋_GB2312" w:cs="仿宋_GB2312"/>
          <w:sz w:val="32"/>
          <w:szCs w:val="32"/>
        </w:rPr>
        <w:t>加大监管执法力度。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5.坚持固本提升，健康攀枝花建设再上新台阶。</w:t>
      </w:r>
      <w:r>
        <w:rPr>
          <w:rFonts w:hint="eastAsia" w:ascii="仿宋_GB2312" w:hAnsi="仿宋_GB2312" w:eastAsia="仿宋_GB2312" w:cs="仿宋_GB2312"/>
          <w:sz w:val="32"/>
          <w:szCs w:val="32"/>
        </w:rPr>
        <w:t>健康城市试点深入推进，开展环境质量巩固提升、城乡基础设施建设等15个专项行动，攀枝花市、米易县城、仁和区平地镇被确定为四川省首批健康城市（县城、乡镇）试点。健康攀枝花专项行动全面实施，印发《健康攀枝花行动实施方案（2020—2030年）》，举办健康攀枝花行动启动仪式，全面推进19项专项行动。爱国卫生工作再上台阶，持续巩固国家卫生城市创建成果，城乡环境卫生面貌大幅改善。中医药优势充分发挥，力促《关于促进中医药传承创新发展的实施意见》出台实施，与江西中医药大学开展校地合作。妇幼健康服务水平持续提升，积极预防艾滋病、梅毒、乙肝母婴传播，</w:t>
      </w:r>
      <w:r>
        <w:rPr>
          <w:rFonts w:hint="eastAsia" w:ascii="仿宋_GB2312" w:hAnsi="仿宋_GB2312" w:eastAsia="仿宋_GB2312" w:cs="仿宋_GB2312"/>
          <w:sz w:val="32"/>
          <w:szCs w:val="32"/>
          <w:shd w:val="clear" w:color="auto" w:fill="FFFFFF"/>
        </w:rPr>
        <w:t>推进孕产妇和0至6岁儿童免费健康管理服务、</w:t>
      </w:r>
      <w:r>
        <w:rPr>
          <w:rFonts w:hint="eastAsia" w:ascii="仿宋_GB2312" w:hAnsi="仿宋_GB2312" w:eastAsia="仿宋_GB2312" w:cs="仿宋_GB2312"/>
          <w:sz w:val="32"/>
          <w:szCs w:val="32"/>
        </w:rPr>
        <w:t>免费婚前医学检</w:t>
      </w:r>
      <w:r>
        <w:rPr>
          <w:rFonts w:hint="eastAsia" w:ascii="仿宋_GB2312" w:hAnsi="仿宋_GB2312" w:eastAsia="仿宋_GB2312" w:cs="仿宋_GB2312"/>
          <w:spacing w:val="6"/>
          <w:sz w:val="32"/>
          <w:szCs w:val="32"/>
        </w:rPr>
        <w:t>查、免费孕前优生健康检查、免费增补叶酸等工作。</w:t>
      </w:r>
      <w:r>
        <w:rPr>
          <w:rFonts w:hint="eastAsia" w:ascii="仿宋_GB2312" w:hAnsi="仿宋_GB2312" w:eastAsia="仿宋_GB2312" w:cs="仿宋_GB2312"/>
          <w:sz w:val="32"/>
          <w:szCs w:val="32"/>
        </w:rPr>
        <w:t>无偿献血工作创先争优，</w:t>
      </w:r>
      <w:r>
        <w:rPr>
          <w:rFonts w:hint="eastAsia" w:ascii="仿宋_GB2312" w:hAnsi="仿宋_GB2312" w:eastAsia="仿宋_GB2312" w:cs="仿宋_GB2312"/>
          <w:spacing w:val="-6"/>
          <w:sz w:val="32"/>
          <w:szCs w:val="32"/>
        </w:rPr>
        <w:t>我市连续14年获无偿献血先进市荣誉。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6.坚持创新发展，“康养+医疗”服务再获提升。</w:t>
      </w:r>
      <w:r>
        <w:rPr>
          <w:rFonts w:hint="eastAsia" w:ascii="仿宋_GB2312" w:hAnsi="仿宋_GB2312" w:eastAsia="仿宋_GB2312" w:cs="仿宋_GB2312"/>
          <w:sz w:val="32"/>
          <w:szCs w:val="32"/>
        </w:rPr>
        <w:t>健康产业加快发展，新编医养结合地方标准3项并经中科院发布，制定的健康服务业市建设指南（试行）被省卫生健康委发文作为行业政策实施，医养结合攀枝花经验被国家卫生健康委在全国推广。老年健康工作扎实有序，组建攀枝花市安宁疗护专家库，国家级安宁疗护试点工作获省级专家组肯定，市老年病医院正式运营，米易县被命名为全省第五轮敬老模范县，市二医院被确定为全国首批老龄健康医养结合远程协同服务试点机构。</w:t>
      </w:r>
    </w:p>
    <w:p>
      <w:p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7.坚持攻坚克难，健康扶贫任务全面完成。</w:t>
      </w:r>
      <w:r>
        <w:rPr>
          <w:rFonts w:hint="eastAsia" w:ascii="仿宋_GB2312" w:hAnsi="仿宋_GB2312" w:eastAsia="仿宋_GB2312" w:cs="仿宋_GB2312"/>
          <w:sz w:val="32"/>
          <w:szCs w:val="32"/>
        </w:rPr>
        <w:t>健康扶贫政策全面落实，成立决战决胜脱贫攻坚工作专班，全面完成督战督导。贫困村卫生室全部接入金保网，群众不出村即可实现医保报销，全市建档立卡贫困人口100％全额参加基本医疗保险。高血压、糖尿病、肺结核及严重精神障碍患者按照“应签尽签”原则提供免费签约服务。基本公共卫生服务逐项推进，为建档立卡贫困人口进行免费健康体检。基层服务能力持续提升，全面开展“优质服务基层行”活动，创建达标机构。深入推进民族卫生“三个行动”，在全省竞赛中获得个人一等奖等奖项7个。</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8.坚持关口前移，公共卫生服务和疾病预防控制能力不断增强。</w:t>
      </w:r>
      <w:r>
        <w:rPr>
          <w:rFonts w:hint="eastAsia" w:ascii="仿宋_GB2312" w:hAnsi="仿宋_GB2312" w:eastAsia="仿宋_GB2312" w:cs="仿宋_GB2312"/>
          <w:sz w:val="32"/>
          <w:szCs w:val="32"/>
        </w:rPr>
        <w:t>重大疾病有效防控，严格传染病报告管理，强化传染病疫情监测报告，连续9年低于全省平均报告发病率水平。地方病防控有序推进，精神卫生工作不断加强，牵头成立川滇毗邻地区23家医疗机构组成的“攀西及滇西北地区精神卫生专科联盟”，建成“攀西区域心理卫生信息平台”，实施特殊儿童关爱行动、严重精神障碍患者“送心、送医、送爱”行动。人口监测与家庭发展工作有序推进，在医疗机构、机场、火车站、用人单位等人流密集的公共场所建设母婴设施，坚持和完善计划生育目标管理责任制，人口出生性别比趋于正常水平，计划生育家庭奖励及扶助政策全面落实，指导仁和区成功创建全国计划生育优质服务先进单位。</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9.坚持筑牢安全发展基础，有效防范和化解各种风险。</w:t>
      </w:r>
      <w:r>
        <w:rPr>
          <w:rFonts w:hint="eastAsia" w:ascii="仿宋_GB2312" w:hAnsi="仿宋_GB2312" w:eastAsia="仿宋_GB2312" w:cs="仿宋_GB2312"/>
          <w:sz w:val="32"/>
          <w:szCs w:val="32"/>
        </w:rPr>
        <w:t>法治建设成效明显，班子带头落实中心组、党委会和主任办公会会前学法、年度述法等制度，</w:t>
      </w:r>
      <w:r>
        <w:rPr>
          <w:rFonts w:hint="eastAsia" w:ascii="仿宋_GB2312" w:hAnsi="仿宋_GB2312" w:eastAsia="仿宋_GB2312" w:cs="仿宋_GB2312"/>
          <w:snapToGrid w:val="0"/>
          <w:sz w:val="32"/>
          <w:szCs w:val="32"/>
        </w:rPr>
        <w:t>修订完善《重大行政决策合法性审查制度》等工作制度。</w:t>
      </w:r>
      <w:r>
        <w:rPr>
          <w:rFonts w:hint="eastAsia" w:ascii="仿宋_GB2312" w:hAnsi="仿宋_GB2312" w:eastAsia="仿宋_GB2312" w:cs="仿宋_GB2312"/>
          <w:sz w:val="32"/>
          <w:szCs w:val="32"/>
        </w:rPr>
        <w:t>职业卫生和食品安全工作有序推进，</w:t>
      </w:r>
      <w:r>
        <w:rPr>
          <w:rFonts w:hint="eastAsia" w:ascii="仿宋_GB2312" w:hAnsi="仿宋_GB2312" w:eastAsia="仿宋_GB2312" w:cs="仿宋_GB2312"/>
          <w:color w:val="000000"/>
          <w:sz w:val="32"/>
          <w:szCs w:val="32"/>
        </w:rPr>
        <w:t>运用信息化手段实现全市二级以上医院医疗废物在线监管，试点推进“信用+综合监管”工作，建立信用档案，根据考评结果采取差异化监管。</w:t>
      </w:r>
      <w:r>
        <w:rPr>
          <w:rFonts w:hint="eastAsia" w:ascii="仿宋_GB2312" w:hAnsi="仿宋_GB2312" w:eastAsia="仿宋_GB2312" w:cs="仿宋_GB2312"/>
          <w:snapToGrid w:val="0"/>
          <w:sz w:val="32"/>
          <w:szCs w:val="32"/>
        </w:rPr>
        <w:t>安全稳定形势持续向好，全面推行安全生产清单制管理和安全生产专项整治三年行动。</w:t>
      </w:r>
      <w:r>
        <w:rPr>
          <w:rFonts w:hint="eastAsia" w:ascii="仿宋_GB2312" w:hAnsi="仿宋_GB2312" w:eastAsia="仿宋_GB2312" w:cs="仿宋_GB2312"/>
          <w:sz w:val="32"/>
          <w:szCs w:val="32"/>
        </w:rPr>
        <w:t>生态环境保护、森林草原防灭火、国家安全、社会安</w:t>
      </w:r>
      <w:r>
        <w:rPr>
          <w:rFonts w:hint="eastAsia" w:ascii="仿宋_GB2312" w:hAnsi="仿宋_GB2312" w:eastAsia="仿宋_GB2312" w:cs="仿宋_GB2312"/>
          <w:spacing w:val="-6"/>
          <w:sz w:val="32"/>
          <w:szCs w:val="32"/>
        </w:rPr>
        <w:t>全、扫黑除恶、双拥、保密、档案、人民防线等各项工作有序推进。</w:t>
      </w:r>
    </w:p>
    <w:p>
      <w:pPr>
        <w:pStyle w:val="4"/>
        <w:ind w:firstLine="640" w:firstLineChars="200"/>
        <w:rPr>
          <w:rStyle w:val="31"/>
          <w:b w:val="0"/>
          <w:bCs w:val="0"/>
        </w:rPr>
      </w:pPr>
      <w:bookmarkStart w:id="46" w:name="_Toc28674"/>
      <w:r>
        <w:rPr>
          <w:rFonts w:hint="eastAsia" w:ascii="黑体" w:eastAsia="黑体"/>
          <w:b w:val="0"/>
          <w:color w:val="000000"/>
        </w:rPr>
        <w:t>二、</w:t>
      </w:r>
      <w:r>
        <w:rPr>
          <w:rFonts w:hint="eastAsia" w:ascii="黑体" w:hAnsi="黑体" w:eastAsia="黑体"/>
          <w:b w:val="0"/>
          <w:color w:val="000000"/>
        </w:rPr>
        <w:t>机</w:t>
      </w:r>
      <w:r>
        <w:rPr>
          <w:rStyle w:val="31"/>
          <w:rFonts w:hint="eastAsia" w:ascii="黑体" w:hAnsi="黑体" w:eastAsia="黑体"/>
          <w:b w:val="0"/>
          <w:bCs w:val="0"/>
        </w:rPr>
        <w:t>构设置</w:t>
      </w:r>
      <w:bookmarkEnd w:id="43"/>
      <w:bookmarkEnd w:id="44"/>
      <w:bookmarkEnd w:id="45"/>
      <w:bookmarkEnd w:id="46"/>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攀枝花市卫生健康委员会设置有办公室（信访科）、人事与科教科、规划与财务科、信息与统计科、政策法规与体制改革科（行政审批科）、综合监管与职业健康科、疾病预防控制科（重大传染病防治科）、基层卫生健康科、妇幼健康科、医政医管科（卫生应急办公室）、中医管理科、健康服务业发展科（老龄健康科）等18个内设机构。</w:t>
      </w:r>
    </w:p>
    <w:p>
      <w:pPr>
        <w:pStyle w:val="3"/>
        <w:ind w:right="440"/>
        <w:jc w:val="right"/>
        <w:rPr>
          <w:rStyle w:val="17"/>
          <w:rFonts w:ascii="黑体" w:hAnsi="黑体" w:eastAsia="黑体"/>
          <w:b w:val="0"/>
          <w:bCs w:val="0"/>
        </w:rPr>
      </w:pPr>
      <w:bookmarkStart w:id="47" w:name="_Toc15396602"/>
      <w:bookmarkStart w:id="48" w:name="_Toc15377204"/>
      <w:bookmarkStart w:id="49" w:name="_Toc32607"/>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2020</w:t>
      </w:r>
      <w:r>
        <w:rPr>
          <w:rStyle w:val="17"/>
          <w:rFonts w:hint="eastAsia" w:ascii="黑体" w:hAnsi="黑体" w:eastAsia="黑体"/>
          <w:b w:val="0"/>
          <w:bCs w:val="0"/>
        </w:rPr>
        <w:t>年度部门决算情况说明</w:t>
      </w:r>
      <w:bookmarkEnd w:id="47"/>
      <w:bookmarkEnd w:id="48"/>
      <w:bookmarkEnd w:id="49"/>
    </w:p>
    <w:p/>
    <w:p>
      <w:pPr>
        <w:pStyle w:val="28"/>
        <w:numPr>
          <w:ilvl w:val="0"/>
          <w:numId w:val="1"/>
        </w:numPr>
        <w:spacing w:line="600" w:lineRule="exact"/>
        <w:ind w:firstLineChars="0"/>
        <w:outlineLvl w:val="1"/>
        <w:rPr>
          <w:rStyle w:val="18"/>
          <w:rFonts w:ascii="黑体" w:hAnsi="黑体" w:eastAsia="黑体"/>
          <w:b w:val="0"/>
        </w:rPr>
      </w:pPr>
      <w:bookmarkStart w:id="50" w:name="_Toc15377205"/>
      <w:bookmarkStart w:id="51" w:name="_Toc15396603"/>
      <w:bookmarkStart w:id="52" w:name="_Toc29064"/>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50"/>
      <w:bookmarkEnd w:id="51"/>
      <w:bookmarkEnd w:id="52"/>
    </w:p>
    <w:p>
      <w:pPr>
        <w:spacing w:line="600" w:lineRule="exact"/>
        <w:ind w:firstLine="640" w:firstLineChars="200"/>
        <w:rPr>
          <w:rFonts w:ascii="仿宋_GB2312" w:eastAsia="仿宋_GB2312"/>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年度收、支总计1837.85万元。与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年相比，收、支总计各增加3.33万元，增长0.18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eastAsia="仿宋"/>
          <w:sz w:val="32"/>
          <w:szCs w:val="32"/>
        </w:rPr>
        <w:t>部分项目支出增长。</w:t>
      </w:r>
    </w:p>
    <w:p>
      <w:pPr>
        <w:pStyle w:val="28"/>
        <w:spacing w:line="600" w:lineRule="exact"/>
        <w:ind w:left="640" w:firstLine="0" w:firstLineChars="0"/>
        <w:rPr>
          <w:rStyle w:val="18"/>
          <w:rFonts w:ascii="黑体" w:hAnsi="黑体" w:eastAsia="黑体"/>
          <w:b w:val="0"/>
        </w:rPr>
      </w:pPr>
      <w:bookmarkStart w:id="53" w:name="_Toc15396604"/>
      <w:bookmarkStart w:id="54" w:name="_Toc15377206"/>
      <w:r>
        <w:rPr>
          <w:rFonts w:ascii="仿宋" w:hAnsi="仿宋" w:eastAsia="仿宋"/>
          <w:b/>
          <w:sz w:val="32"/>
          <w:szCs w:val="32"/>
        </w:rPr>
        <w:pict>
          <v:shape id="Object 9" o:spid="_x0000_s1026" o:spt="75" type="#_x0000_t75" style="position:absolute;left:0pt;margin-left:20pt;margin-top:1.25pt;height:170.85pt;width:281.3pt;mso-wrap-distance-bottom:0pt;mso-wrap-distance-top:0pt;z-index:251659264;mso-width-relative:page;mso-height-relative:page;" o:ole="t" filled="f" o:preferrelative="t" stroked="f" coordsize="21600,21600">
            <v:path/>
            <v:fill on="f" focussize="0,0"/>
            <v:stroke on="f" joinstyle="miter"/>
            <v:imagedata r:id="rId7" o:title=""/>
            <o:lock v:ext="edit" aspectratio="t"/>
            <w10:wrap type="topAndBottom"/>
          </v:shape>
          <o:OLEObject Type="Embed" ProgID="Excel.Chart.8" ShapeID="Object 9" DrawAspect="Content" ObjectID="_1468075725" r:id="rId6">
            <o:LockedField>false</o:LockedField>
          </o:OLEObject>
        </w:pict>
      </w:r>
      <w:bookmarkStart w:id="55" w:name="_Toc26944"/>
    </w:p>
    <w:bookmarkEnd w:id="55"/>
    <w:p>
      <w:pPr>
        <w:pStyle w:val="28"/>
        <w:numPr>
          <w:ilvl w:val="0"/>
          <w:numId w:val="1"/>
        </w:numPr>
        <w:spacing w:line="600" w:lineRule="exact"/>
        <w:ind w:firstLineChars="0"/>
        <w:outlineLvl w:val="1"/>
        <w:rPr>
          <w:rStyle w:val="18"/>
          <w:rFonts w:ascii="黑体" w:hAnsi="黑体" w:eastAsia="黑体"/>
          <w:b w:val="0"/>
        </w:rPr>
      </w:pPr>
      <w:bookmarkStart w:id="56" w:name="_Toc19119"/>
      <w:r>
        <w:rPr>
          <w:rFonts w:hint="eastAsia" w:ascii="黑体" w:hAnsi="黑体" w:eastAsia="黑体"/>
          <w:color w:val="000000"/>
          <w:sz w:val="32"/>
          <w:szCs w:val="32"/>
        </w:rPr>
        <w:t>收</w:t>
      </w:r>
      <w:r>
        <w:rPr>
          <w:rStyle w:val="18"/>
          <w:rFonts w:hint="eastAsia" w:ascii="黑体" w:hAnsi="黑体" w:eastAsia="黑体"/>
          <w:b w:val="0"/>
        </w:rPr>
        <w:t>入决算情况说明</w:t>
      </w:r>
      <w:bookmarkEnd w:id="53"/>
      <w:bookmarkEnd w:id="54"/>
      <w:bookmarkEnd w:id="56"/>
    </w:p>
    <w:p>
      <w:pPr>
        <w:spacing w:line="600" w:lineRule="exact"/>
        <w:ind w:firstLine="640" w:firstLineChars="200"/>
        <w:outlineLvl w:val="1"/>
        <w:rPr>
          <w:rFonts w:ascii="仿宋" w:hAnsi="仿宋" w:eastAsia="仿宋"/>
          <w:color w:val="000000"/>
          <w:sz w:val="32"/>
          <w:szCs w:val="32"/>
        </w:rPr>
      </w:pPr>
      <w:bookmarkStart w:id="57" w:name="_Toc29455"/>
      <w:r>
        <w:rPr>
          <w:rFonts w:ascii="仿宋" w:hAnsi="仿宋" w:eastAsia="仿宋"/>
          <w:color w:val="000000"/>
          <w:sz w:val="32"/>
          <w:szCs w:val="32"/>
        </w:rPr>
        <w:t>2020</w:t>
      </w:r>
      <w:r>
        <w:rPr>
          <w:rFonts w:hint="eastAsia" w:ascii="仿宋" w:hAnsi="仿宋" w:eastAsia="仿宋"/>
          <w:color w:val="000000"/>
          <w:sz w:val="32"/>
          <w:szCs w:val="32"/>
        </w:rPr>
        <w:t>年本年收入合计1726.83万元，其中：一般公共预算财政拨款收入1592.36万元，占92.21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；政府性基金预算财政拨款收入134.47万元，占7.79</w:t>
      </w:r>
      <w:r>
        <w:rPr>
          <w:rFonts w:ascii="仿宋" w:hAnsi="仿宋" w:eastAsia="仿宋"/>
          <w:color w:val="000000"/>
          <w:sz w:val="32"/>
          <w:szCs w:val="32"/>
        </w:rPr>
        <w:t>%</w:t>
      </w:r>
      <w:r>
        <w:rPr>
          <w:rFonts w:hint="eastAsia" w:ascii="仿宋" w:hAnsi="仿宋" w:eastAsia="仿宋"/>
          <w:color w:val="000000"/>
          <w:sz w:val="32"/>
          <w:szCs w:val="32"/>
        </w:rPr>
        <w:t>；上级补助收入0万元；事业收入0万元；经营收入0万元；附属单位上缴收入0万元；其他收入0万元。</w:t>
      </w:r>
      <w:bookmarkEnd w:id="57"/>
    </w:p>
    <w:p>
      <w:pPr>
        <w:spacing w:line="600" w:lineRule="exact"/>
        <w:ind w:firstLine="640" w:firstLineChars="200"/>
        <w:rPr>
          <w:rFonts w:ascii="仿宋" w:hAnsi="仿宋" w:eastAsia="仿宋"/>
          <w:color w:val="000000"/>
          <w:sz w:val="32"/>
          <w:szCs w:val="32"/>
        </w:rPr>
      </w:pPr>
      <w:r>
        <w:rPr>
          <w:rFonts w:ascii="仿宋_GB2312" w:eastAsia="仿宋_GB2312"/>
          <w:color w:val="FF0000"/>
          <w:sz w:val="32"/>
          <w:szCs w:val="32"/>
        </w:rPr>
        <w:pict>
          <v:shape id="Object 6" o:spid="_x0000_s1027" o:spt="75" type="#_x0000_t75" style="position:absolute;left:0pt;margin-left:25.25pt;margin-top:6pt;height:188.15pt;width:309.2pt;mso-wrap-distance-bottom:0pt;mso-wrap-distance-top:0pt;z-index:251660288;mso-width-relative:page;mso-height-relative:page;" o:ole="t" filled="f" o:preferrelative="t" stroked="f" coordsize="21600,21600">
            <v:path/>
            <v:fill on="f" focussize="0,0"/>
            <v:stroke on="f" joinstyle="miter"/>
            <v:imagedata r:id="rId9" o:title=""/>
            <o:lock v:ext="edit" aspectratio="t"/>
            <w10:wrap type="topAndBottom"/>
          </v:shape>
          <o:OLEObject Type="Embed" ProgID="Excel.Chart.8" ShapeID="Object 6" DrawAspect="Content" ObjectID="_1468075726" r:id="rId8">
            <o:LockedField>false</o:LockedField>
          </o:OLEObject>
        </w:pict>
      </w:r>
    </w:p>
    <w:p>
      <w:pPr>
        <w:pStyle w:val="28"/>
        <w:numPr>
          <w:ilvl w:val="0"/>
          <w:numId w:val="1"/>
        </w:numPr>
        <w:spacing w:line="600" w:lineRule="exact"/>
        <w:ind w:firstLineChars="0"/>
        <w:outlineLvl w:val="1"/>
        <w:rPr>
          <w:rStyle w:val="18"/>
          <w:rFonts w:ascii="黑体" w:hAnsi="黑体" w:eastAsia="黑体"/>
          <w:b w:val="0"/>
        </w:rPr>
      </w:pPr>
      <w:bookmarkStart w:id="58" w:name="_Toc15396605"/>
      <w:bookmarkStart w:id="59" w:name="_Toc24732"/>
      <w:bookmarkStart w:id="60" w:name="_Toc15377207"/>
      <w:r>
        <w:rPr>
          <w:rFonts w:hint="eastAsia" w:ascii="黑体" w:hAnsi="黑体" w:eastAsia="黑体"/>
          <w:color w:val="000000"/>
          <w:sz w:val="32"/>
          <w:szCs w:val="32"/>
        </w:rPr>
        <w:t>支</w:t>
      </w:r>
      <w:r>
        <w:rPr>
          <w:rStyle w:val="18"/>
          <w:rFonts w:hint="eastAsia" w:ascii="黑体" w:hAnsi="黑体" w:eastAsia="黑体"/>
          <w:b w:val="0"/>
        </w:rPr>
        <w:t>出决算情况说明</w:t>
      </w:r>
      <w:bookmarkEnd w:id="58"/>
      <w:bookmarkEnd w:id="59"/>
      <w:bookmarkEnd w:id="60"/>
    </w:p>
    <w:p>
      <w:pPr>
        <w:spacing w:line="600" w:lineRule="exact"/>
        <w:ind w:firstLine="640" w:firstLineChars="200"/>
        <w:outlineLvl w:val="1"/>
        <w:rPr>
          <w:rFonts w:ascii="仿宋" w:hAnsi="仿宋" w:eastAsia="仿宋"/>
          <w:color w:val="000000"/>
          <w:sz w:val="32"/>
          <w:szCs w:val="32"/>
        </w:rPr>
      </w:pPr>
      <w:bookmarkStart w:id="61" w:name="_Toc15834"/>
      <w:r>
        <w:rPr>
          <w:rFonts w:ascii="仿宋" w:hAnsi="仿宋" w:eastAsia="仿宋"/>
          <w:color w:val="000000"/>
          <w:sz w:val="32"/>
          <w:szCs w:val="32"/>
        </w:rPr>
        <w:t>2020</w:t>
      </w:r>
      <w:r>
        <w:rPr>
          <w:rFonts w:hint="eastAsia" w:ascii="仿宋" w:hAnsi="仿宋" w:eastAsia="仿宋"/>
          <w:color w:val="000000"/>
          <w:sz w:val="32"/>
          <w:szCs w:val="32"/>
        </w:rPr>
        <w:t>年本年支出合计1712.31万元，其中：基本支出1307.55万元，占76.36</w:t>
      </w:r>
      <w:r>
        <w:rPr>
          <w:rFonts w:ascii="仿宋" w:hAnsi="仿宋" w:eastAsia="仿宋"/>
          <w:color w:val="000000"/>
          <w:sz w:val="32"/>
          <w:szCs w:val="32"/>
        </w:rPr>
        <w:t>%</w:t>
      </w:r>
      <w:r>
        <w:rPr>
          <w:rFonts w:hint="eastAsia" w:ascii="仿宋" w:hAnsi="仿宋" w:eastAsia="仿宋"/>
          <w:color w:val="000000"/>
          <w:sz w:val="32"/>
          <w:szCs w:val="32"/>
        </w:rPr>
        <w:t>；项目支出404.76万元，占23.64</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bookmarkEnd w:id="61"/>
    </w:p>
    <w:p>
      <w:pPr>
        <w:spacing w:line="600" w:lineRule="exact"/>
        <w:ind w:firstLine="640"/>
        <w:rPr>
          <w:rFonts w:ascii="仿宋_GB2312" w:eastAsia="仿宋_GB2312"/>
          <w:color w:val="FF0000"/>
          <w:sz w:val="32"/>
          <w:szCs w:val="32"/>
        </w:rPr>
      </w:pPr>
      <w:r>
        <w:rPr>
          <w:rFonts w:ascii="仿宋" w:hAnsi="仿宋" w:eastAsia="仿宋"/>
          <w:color w:val="000000"/>
          <w:sz w:val="32"/>
          <w:szCs w:val="32"/>
          <w:shd w:val="pct10" w:color="auto" w:fill="FFFFFF"/>
        </w:rPr>
        <w:pict>
          <v:shape id="Object 7" o:spid="_x0000_s1028" o:spt="75" type="#_x0000_t75" style="position:absolute;left:0pt;margin-left:36.5pt;margin-top:6.35pt;height:187.55pt;width:308.75pt;mso-wrap-distance-bottom:0pt;mso-wrap-distance-top:0pt;z-index:251661312;mso-width-relative:page;mso-height-relative:page;" o:ole="t" filled="f" o:preferrelative="t" stroked="f" coordsize="21600,21600">
            <v:path/>
            <v:fill on="f" focussize="0,0"/>
            <v:stroke on="f" joinstyle="miter"/>
            <v:imagedata r:id="rId11" o:title=""/>
            <o:lock v:ext="edit" aspectratio="t"/>
            <w10:wrap type="topAndBottom"/>
          </v:shape>
          <o:OLEObject Type="Embed" ProgID="Excel.Chart.8" ShapeID="Object 7" DrawAspect="Content" ObjectID="_1468075727" r:id="rId10">
            <o:LockedField>false</o:LockedField>
          </o:OLEObject>
        </w:pict>
      </w:r>
    </w:p>
    <w:p>
      <w:pPr>
        <w:spacing w:line="600" w:lineRule="exact"/>
        <w:ind w:firstLine="640" w:firstLineChars="200"/>
        <w:outlineLvl w:val="1"/>
        <w:rPr>
          <w:rStyle w:val="18"/>
          <w:rFonts w:ascii="黑体" w:hAnsi="黑体" w:eastAsia="黑体"/>
          <w:b w:val="0"/>
        </w:rPr>
      </w:pPr>
      <w:bookmarkStart w:id="62" w:name="_Toc15377208"/>
      <w:bookmarkStart w:id="63" w:name="_Toc15396606"/>
      <w:bookmarkStart w:id="64" w:name="_Toc26269"/>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62"/>
      <w:bookmarkEnd w:id="63"/>
      <w:bookmarkEnd w:id="6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年财政拨款收、支总计1835.11万元。与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年相比，财政拨款收、支总计各增加3.34万元，增长0.18</w:t>
      </w:r>
      <w:r>
        <w:rPr>
          <w:rFonts w:ascii="仿宋" w:hAnsi="仿宋" w:eastAsia="仿宋"/>
          <w:color w:val="000000"/>
          <w:sz w:val="32"/>
          <w:szCs w:val="32"/>
        </w:rPr>
        <w:t>%</w:t>
      </w:r>
      <w:r>
        <w:rPr>
          <w:rFonts w:hint="eastAsia" w:ascii="仿宋" w:hAnsi="仿宋" w:eastAsia="仿宋"/>
          <w:color w:val="000000"/>
          <w:sz w:val="32"/>
          <w:szCs w:val="32"/>
        </w:rPr>
        <w:t>。主要变动原因是部分项目收支增加。</w:t>
      </w:r>
    </w:p>
    <w:p>
      <w:pPr>
        <w:spacing w:line="600" w:lineRule="exact"/>
        <w:ind w:firstLine="640"/>
        <w:rPr>
          <w:rFonts w:ascii="仿宋" w:hAnsi="仿宋" w:eastAsia="仿宋"/>
          <w:b/>
          <w:color w:val="00B050"/>
          <w:sz w:val="32"/>
          <w:szCs w:val="32"/>
        </w:rPr>
      </w:pPr>
      <w:r>
        <w:rPr>
          <w:rFonts w:ascii="仿宋" w:hAnsi="仿宋" w:eastAsia="仿宋"/>
          <w:b/>
          <w:sz w:val="32"/>
          <w:szCs w:val="32"/>
        </w:rPr>
        <w:pict>
          <v:shape id="_x0000_s1029" o:spid="_x0000_s1029" o:spt="75" type="#_x0000_t75" style="position:absolute;left:0pt;margin-left:29.75pt;margin-top:6pt;height:186.35pt;width:306.8pt;mso-wrap-distance-bottom:0pt;mso-wrap-distance-top:0pt;z-index:251662336;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_x0000_s1029" DrawAspect="Content" ObjectID="_1468075728" r:id="rId12">
            <o:LockedField>false</o:LockedField>
          </o:OLEObject>
        </w:pict>
      </w:r>
    </w:p>
    <w:p>
      <w:pPr>
        <w:spacing w:line="600" w:lineRule="exact"/>
        <w:ind w:firstLine="640" w:firstLineChars="200"/>
        <w:outlineLvl w:val="1"/>
        <w:rPr>
          <w:rStyle w:val="18"/>
          <w:rFonts w:ascii="黑体" w:hAnsi="黑体" w:eastAsia="黑体"/>
          <w:b w:val="0"/>
        </w:rPr>
      </w:pPr>
      <w:bookmarkStart w:id="65" w:name="_Toc21584"/>
      <w:bookmarkStart w:id="66" w:name="_Toc15377209"/>
      <w:bookmarkStart w:id="6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65"/>
      <w:bookmarkEnd w:id="66"/>
      <w:bookmarkEnd w:id="67"/>
    </w:p>
    <w:p>
      <w:pPr>
        <w:spacing w:line="600" w:lineRule="exact"/>
        <w:ind w:firstLine="643" w:firstLineChars="200"/>
        <w:outlineLvl w:val="2"/>
        <w:rPr>
          <w:rFonts w:ascii="仿宋" w:hAnsi="仿宋" w:eastAsia="仿宋"/>
          <w:b/>
          <w:color w:val="000000"/>
          <w:sz w:val="32"/>
          <w:szCs w:val="32"/>
        </w:rPr>
      </w:pPr>
      <w:bookmarkStart w:id="68" w:name="_Toc15377210"/>
      <w:r>
        <w:rPr>
          <w:rFonts w:hint="eastAsia" w:ascii="仿宋" w:hAnsi="仿宋" w:eastAsia="仿宋"/>
          <w:b/>
          <w:color w:val="000000"/>
          <w:sz w:val="32"/>
          <w:szCs w:val="32"/>
        </w:rPr>
        <w:t>（一）一般公共预算财政拨款支出决算总体情况</w:t>
      </w:r>
      <w:bookmarkEnd w:id="68"/>
    </w:p>
    <w:p>
      <w:pPr>
        <w:spacing w:line="600" w:lineRule="exact"/>
        <w:ind w:firstLine="640" w:firstLineChars="200"/>
        <w:rPr>
          <w:rFonts w:ascii="仿宋" w:hAnsi="仿宋" w:eastAsia="仿宋"/>
          <w:b/>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年一般公共预算财政拨款支出1611.17万元，占本年支出合计的94.09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年相比，一般公共预算财政拨款减少58.1万元，下降3.48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eastAsia="仿宋"/>
          <w:sz w:val="32"/>
          <w:szCs w:val="32"/>
        </w:rPr>
        <w:t>部分项目资金未支付，结转下年支付。</w:t>
      </w:r>
    </w:p>
    <w:p>
      <w:pPr>
        <w:spacing w:line="600" w:lineRule="exact"/>
        <w:ind w:firstLine="640" w:firstLineChars="200"/>
        <w:rPr>
          <w:rFonts w:ascii="仿宋" w:hAnsi="仿宋" w:eastAsia="仿宋"/>
          <w:color w:val="000000"/>
          <w:sz w:val="32"/>
          <w:szCs w:val="32"/>
        </w:rPr>
      </w:pPr>
      <w:r>
        <w:rPr>
          <w:rFonts w:ascii="仿宋" w:hAnsi="仿宋" w:eastAsia="仿宋"/>
          <w:sz w:val="32"/>
          <w:szCs w:val="32"/>
        </w:rPr>
        <w:pict>
          <v:shape id="Object 10" o:spid="_x0000_s1030" o:spt="75" type="#_x0000_t75" style="position:absolute;left:0pt;margin-left:39.5pt;margin-top:3.7pt;height:168.8pt;width:277.9pt;mso-wrap-distance-bottom:0pt;mso-wrap-distance-top:0pt;z-index:251663360;mso-width-relative:page;mso-height-relative:page;" o:ole="t" filled="f" o:preferrelative="t" stroked="f" coordsize="21600,21600">
            <v:path/>
            <v:fill on="f" focussize="0,0"/>
            <v:stroke on="f" joinstyle="miter"/>
            <v:imagedata r:id="rId15" o:title=""/>
            <o:lock v:ext="edit" aspectratio="t"/>
            <w10:wrap type="topAndBottom"/>
          </v:shape>
          <o:OLEObject Type="Embed" ProgID="Excel.Chart.8" ShapeID="Object 10" DrawAspect="Content" ObjectID="_1468075729" r:id="rId14">
            <o:LockedField>false</o:LockedField>
          </o:OLEObject>
        </w:pict>
      </w:r>
    </w:p>
    <w:p>
      <w:pPr>
        <w:spacing w:line="600" w:lineRule="exact"/>
        <w:ind w:firstLine="643" w:firstLineChars="200"/>
        <w:outlineLvl w:val="2"/>
        <w:rPr>
          <w:rFonts w:ascii="仿宋" w:hAnsi="仿宋" w:eastAsia="仿宋"/>
          <w:b/>
          <w:color w:val="000000"/>
          <w:sz w:val="32"/>
          <w:szCs w:val="32"/>
        </w:rPr>
      </w:pPr>
      <w:bookmarkStart w:id="69" w:name="_Toc15377211"/>
      <w:r>
        <w:rPr>
          <w:rFonts w:hint="eastAsia" w:ascii="仿宋" w:hAnsi="仿宋" w:eastAsia="仿宋"/>
          <w:b/>
          <w:color w:val="000000"/>
          <w:sz w:val="32"/>
          <w:szCs w:val="32"/>
        </w:rPr>
        <w:t>（二）一般公共预算财政拨款支出决算结构情况</w:t>
      </w:r>
      <w:bookmarkEnd w:id="69"/>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2020</w:t>
      </w:r>
      <w:r>
        <w:rPr>
          <w:rFonts w:hint="eastAsia" w:ascii="仿宋" w:hAnsi="仿宋" w:eastAsia="仿宋"/>
          <w:color w:val="000000"/>
          <w:sz w:val="32"/>
          <w:szCs w:val="32"/>
        </w:rPr>
        <w:t>年一般公共预算财政拨款支出1611.17万元，主要用于以下方面:一般公共服务（类）</w:t>
      </w:r>
      <w:r>
        <w:rPr>
          <w:rFonts w:hint="eastAsia" w:ascii="仿宋" w:hAnsi="仿宋" w:eastAsia="仿宋"/>
          <w:color w:val="000000"/>
          <w:sz w:val="32"/>
          <w:szCs w:val="32"/>
        </w:rPr>
        <w:t>支出11万元，占0.68%</w:t>
      </w:r>
      <w:r>
        <w:rPr>
          <w:rFonts w:hint="eastAsia" w:ascii="仿宋" w:hAnsi="仿宋" w:eastAsia="仿宋"/>
          <w:color w:val="000000"/>
          <w:sz w:val="32"/>
          <w:szCs w:val="32"/>
        </w:rPr>
        <w:t>；社会保障和就业（类）</w:t>
      </w:r>
      <w:r>
        <w:rPr>
          <w:rFonts w:hint="eastAsia" w:ascii="仿宋" w:hAnsi="仿宋" w:eastAsia="仿宋"/>
          <w:color w:val="000000"/>
          <w:sz w:val="32"/>
          <w:szCs w:val="32"/>
        </w:rPr>
        <w:t>支出209.11万元，占12.98%</w:t>
      </w:r>
      <w:r>
        <w:rPr>
          <w:rFonts w:hint="eastAsia" w:ascii="仿宋" w:hAnsi="仿宋" w:eastAsia="仿宋"/>
          <w:color w:val="000000"/>
          <w:sz w:val="32"/>
          <w:szCs w:val="32"/>
        </w:rPr>
        <w:t>；卫生健康支出</w:t>
      </w:r>
      <w:r>
        <w:rPr>
          <w:rFonts w:hint="eastAsia" w:ascii="仿宋" w:hAnsi="仿宋" w:eastAsia="仿宋"/>
          <w:color w:val="000000"/>
          <w:sz w:val="32"/>
          <w:szCs w:val="32"/>
        </w:rPr>
        <w:t>1299.3万元，占80.64%</w:t>
      </w:r>
      <w:r>
        <w:rPr>
          <w:rFonts w:hint="eastAsia" w:ascii="仿宋" w:hAnsi="仿宋" w:eastAsia="仿宋"/>
          <w:color w:val="000000"/>
          <w:sz w:val="32"/>
          <w:szCs w:val="32"/>
        </w:rPr>
        <w:t>；住房保障支出</w:t>
      </w:r>
      <w:r>
        <w:rPr>
          <w:rFonts w:hint="eastAsia" w:ascii="仿宋" w:hAnsi="仿宋" w:eastAsia="仿宋"/>
          <w:color w:val="000000"/>
          <w:sz w:val="32"/>
          <w:szCs w:val="32"/>
        </w:rPr>
        <w:t>91.76万元，占5.7%</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pict>
          <v:shape id="Object 11" o:spid="_x0000_s1031" o:spt="75" type="#_x0000_t75" style="position:absolute;left:0pt;margin-left:18.5pt;margin-top:3.75pt;height:222.75pt;width:323.25pt;mso-wrap-distance-bottom:0pt;mso-wrap-distance-top:0pt;z-index:251664384;mso-width-relative:page;mso-height-relative:page;" o:ole="t" filled="f" o:preferrelative="t" stroked="f" coordsize="21600,21600">
            <v:path/>
            <v:fill on="f" focussize="0,0"/>
            <v:stroke on="f" joinstyle="miter"/>
            <v:imagedata r:id="rId17" o:title=""/>
            <o:lock v:ext="edit" aspectratio="t"/>
            <w10:wrap type="topAndBottom"/>
          </v:shape>
          <o:OLEObject Type="Embed" ProgID="Excel.Chart.8" ShapeID="Object 11" DrawAspect="Content" ObjectID="_1468075730" r:id="rId16">
            <o:LockedField>false</o:LockedField>
          </o:OLEObject>
        </w:pict>
      </w:r>
    </w:p>
    <w:p>
      <w:pPr>
        <w:spacing w:line="600" w:lineRule="exact"/>
        <w:ind w:firstLine="643" w:firstLineChars="200"/>
        <w:outlineLvl w:val="2"/>
        <w:rPr>
          <w:rFonts w:ascii="仿宋" w:hAnsi="仿宋" w:eastAsia="仿宋"/>
          <w:b/>
          <w:color w:val="000000"/>
          <w:sz w:val="32"/>
          <w:szCs w:val="32"/>
        </w:rPr>
      </w:pPr>
      <w:bookmarkStart w:id="70" w:name="_Toc15377212"/>
      <w:r>
        <w:rPr>
          <w:rFonts w:hint="eastAsia" w:ascii="仿宋" w:hAnsi="仿宋" w:eastAsia="仿宋"/>
          <w:b/>
          <w:color w:val="000000"/>
          <w:sz w:val="32"/>
          <w:szCs w:val="32"/>
        </w:rPr>
        <w:t>（三）一般公共预算财政拨款支出决算具体情况</w:t>
      </w:r>
      <w:bookmarkEnd w:id="70"/>
    </w:p>
    <w:p>
      <w:pPr>
        <w:spacing w:line="600" w:lineRule="exact"/>
        <w:ind w:firstLine="640" w:firstLineChars="200"/>
        <w:rPr>
          <w:rStyle w:val="15"/>
          <w:rFonts w:ascii="仿宋" w:hAnsi="仿宋" w:eastAsia="仿宋"/>
          <w:b w:val="0"/>
          <w:bCs/>
          <w:color w:val="000000"/>
          <w:sz w:val="32"/>
          <w:szCs w:val="32"/>
        </w:rPr>
      </w:pPr>
      <w:bookmarkStart w:id="71" w:name="_Toc15377213"/>
      <w:bookmarkStart w:id="72" w:name="_Toc15377444"/>
      <w:bookmarkStart w:id="73" w:name="_Toc15378460"/>
      <w:r>
        <w:rPr>
          <w:rStyle w:val="15"/>
          <w:rFonts w:hint="eastAsia" w:ascii="仿宋" w:hAnsi="仿宋" w:eastAsia="仿宋"/>
          <w:b w:val="0"/>
          <w:bCs/>
          <w:color w:val="000000"/>
          <w:sz w:val="32"/>
          <w:szCs w:val="32"/>
        </w:rPr>
        <w:t>2020年一般公共预算支出决算数为1611.17万元，完成预算94.74%。其中：</w:t>
      </w:r>
      <w:bookmarkEnd w:id="71"/>
      <w:bookmarkEnd w:id="72"/>
      <w:bookmarkEnd w:id="73"/>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1.一般公共服务（201）：人力资源事务（20110）其他人力资源事务支出（2011099），2020年支出决算为11万元，完成预算100%，等于预算数。</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2.教育（类）（款）（项）: 支出决算为0万元。</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3.科学技术（类）（款）（项）: 支出决算为0万元。</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4.文化旅游体育与传媒（类）（款）（项）: 支出决算为0万元。</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5.社会保障和就业（208）：行政事业单位养老支出（20805）行政单位离退休（2080501）2020年支出决算数为134.08万元，完成预算100%，等于预算数； 机关事业单位基本养老保险缴费支出（2080505）73.49万元，完成预算100%，等于预算数；抚恤（20808）死亡抚恤（2080801）2020年支出决算数为0.34万元，完成预算数84.76%，决算数小于预算数的主要原因是指标下达时间晚，需按拟定实施方案结转下年执行；社会福利（20810） 儿童福利（2081001）2020年支出决算数为1.2万元，完成预算100%，等于预算数。</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6.卫生健康（210）:卫生健康管理事务（21001）行政运行（2100101）2020年支出决算数为1007.88万元，完成预算100%，等于预算数；一般行政管理事务（2100102）2020年支出决算数为15.5万元，完成预算100%，等于预算数；其他卫生健康管理事务支出（2100199）2020年支出决算数为0.15万元，完成预算96.16%，决算数小于预算数的主要原因是指标下达时间晚，需按拟定实施方案结转下年执行。</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 w:val="0"/>
          <w:bCs/>
          <w:color w:val="000000"/>
          <w:sz w:val="32"/>
          <w:szCs w:val="32"/>
        </w:rPr>
        <w:t>7.住房保障支出（221）：住房改革支出（22102）住房公积金（2210201）2020年支出决算数为91.76万元，完成预算100%，等于预算数。</w:t>
      </w:r>
      <w:r>
        <w:rPr>
          <w:rFonts w:hint="eastAsia" w:ascii="仿宋" w:hAnsi="仿宋" w:eastAsia="仿宋"/>
          <w:b/>
          <w:color w:val="000000"/>
          <w:sz w:val="32"/>
          <w:szCs w:val="32"/>
        </w:rPr>
        <w:tab/>
      </w:r>
      <w:bookmarkStart w:id="74" w:name="_Toc15396608"/>
      <w:bookmarkStart w:id="75" w:name="_Toc15377214"/>
    </w:p>
    <w:p>
      <w:pPr>
        <w:tabs>
          <w:tab w:val="left" w:pos="763"/>
        </w:tabs>
        <w:spacing w:line="600" w:lineRule="exact"/>
        <w:ind w:firstLine="640"/>
        <w:outlineLvl w:val="1"/>
        <w:rPr>
          <w:rStyle w:val="18"/>
        </w:rPr>
      </w:pPr>
      <w:bookmarkStart w:id="76" w:name="_Toc5873"/>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74"/>
      <w:bookmarkEnd w:id="75"/>
      <w:bookmarkEnd w:id="76"/>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年一般公共预算财政拨款基本支出1307.55万元，其中：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1177.78万元，主要包括：基本工资229.95万元、津贴补贴329.36万元、奖金167.12万元、伙食补助费0万元、绩效工资0万元、机关事业单位基本养老保险缴费73.49万元、职业年金缴费0万元、职工基本医疗保险缴费55.67万元、公务员医疗补助缴费4.32万元、其他社会保障缴费40.34万元、其他工资福利支出69.26万元、离休费19.21万元、退休费0万元、抚恤金0万元、生活补助95.32万元、医疗费补助0万元、奖励金0万元、住房公积金91.76万元、其他对个人和家庭的补助支出1.98万元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129.77万元，主要包括：办公费6.46万元、印刷费0万元、咨询费0万元、手续费0.1万元、水费0.18万元、电费4.67万元、邮电费8.27万元、取暖费0万元、物业管理费0万元、差旅费0.85万元、因公出国（境）费用0万元、维修（护）费0.19万元、租赁费0万元、会议费0万元、培训费0.06万元、公务接待费1.85万元、劳务费5.32万元、委托业务费9.37万元、工会经费8.85万元、福利费0万元、公务用车运行维护费3.7万元、其他交通费58.87万元、税金及附加费用0万元、其他商品和服务支出21.03万元、办公设备购置0万元、专用设备购置0万元、信息网络及软件购置更新0万元、其他资本性支出0万元等。</w:t>
      </w:r>
    </w:p>
    <w:p>
      <w:pPr>
        <w:spacing w:line="600" w:lineRule="exact"/>
        <w:ind w:firstLine="640"/>
        <w:outlineLvl w:val="1"/>
        <w:rPr>
          <w:rStyle w:val="18"/>
          <w:rFonts w:ascii="黑体" w:hAnsi="黑体" w:eastAsia="黑体"/>
          <w:b w:val="0"/>
        </w:rPr>
      </w:pPr>
      <w:bookmarkStart w:id="77" w:name="_Toc15396609"/>
      <w:bookmarkStart w:id="78" w:name="_Toc15377215"/>
      <w:bookmarkStart w:id="79" w:name="_Toc8403"/>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77"/>
      <w:bookmarkEnd w:id="78"/>
      <w:bookmarkEnd w:id="79"/>
    </w:p>
    <w:p>
      <w:pPr>
        <w:spacing w:line="600" w:lineRule="exact"/>
        <w:ind w:firstLine="640"/>
        <w:outlineLvl w:val="2"/>
        <w:rPr>
          <w:rFonts w:ascii="仿宋" w:hAnsi="仿宋" w:eastAsia="仿宋"/>
          <w:b/>
          <w:color w:val="000000"/>
          <w:sz w:val="32"/>
          <w:szCs w:val="32"/>
        </w:rPr>
      </w:pPr>
      <w:bookmarkStart w:id="80" w:name="_Toc15377216"/>
      <w:r>
        <w:rPr>
          <w:rFonts w:hint="eastAsia" w:ascii="仿宋" w:hAnsi="仿宋" w:eastAsia="仿宋"/>
          <w:b/>
          <w:color w:val="000000"/>
          <w:sz w:val="32"/>
          <w:szCs w:val="32"/>
        </w:rPr>
        <w:t>（一）“三公”经费财政拨款支出决算总体情况说明</w:t>
      </w:r>
      <w:bookmarkEnd w:id="80"/>
    </w:p>
    <w:p>
      <w:pPr>
        <w:spacing w:line="600" w:lineRule="exact"/>
        <w:ind w:firstLine="640" w:firstLineChars="200"/>
        <w:rPr>
          <w:rFonts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年“三公”经费财政拨款支出决算为5.65万元，完成预算79.57</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eastAsia="仿宋"/>
          <w:color w:val="000000"/>
          <w:sz w:val="32"/>
          <w:szCs w:val="32"/>
        </w:rPr>
        <w:t>严格执行中央八项规定及厉行节约的各项要求，严格控制“三公”经费，努力降低行政运行成本。</w:t>
      </w:r>
    </w:p>
    <w:p>
      <w:pPr>
        <w:spacing w:line="600" w:lineRule="exact"/>
        <w:ind w:firstLine="640"/>
        <w:outlineLvl w:val="2"/>
        <w:rPr>
          <w:rFonts w:ascii="仿宋" w:hAnsi="仿宋" w:eastAsia="仿宋"/>
          <w:b/>
          <w:color w:val="000000"/>
          <w:sz w:val="32"/>
          <w:szCs w:val="32"/>
        </w:rPr>
      </w:pPr>
      <w:bookmarkStart w:id="81" w:name="_Toc15377217"/>
      <w:r>
        <w:rPr>
          <w:rFonts w:hint="eastAsia" w:ascii="仿宋" w:hAnsi="仿宋" w:eastAsia="仿宋"/>
          <w:b/>
          <w:color w:val="000000"/>
          <w:sz w:val="32"/>
          <w:szCs w:val="32"/>
        </w:rPr>
        <w:t>（二）“三公”经费财政拨款支出决算具体情况说明</w:t>
      </w:r>
      <w:bookmarkEnd w:id="8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；公务用车购置及运行维护费支出决算3.8万元，占67.26</w:t>
      </w:r>
      <w:r>
        <w:rPr>
          <w:rFonts w:ascii="仿宋" w:hAnsi="仿宋" w:eastAsia="仿宋"/>
          <w:color w:val="000000"/>
          <w:sz w:val="32"/>
          <w:szCs w:val="32"/>
        </w:rPr>
        <w:t>%</w:t>
      </w:r>
      <w:r>
        <w:rPr>
          <w:rFonts w:hint="eastAsia" w:ascii="仿宋" w:hAnsi="仿宋" w:eastAsia="仿宋"/>
          <w:color w:val="000000"/>
          <w:sz w:val="32"/>
          <w:szCs w:val="32"/>
        </w:rPr>
        <w:t>；公务接待费支出决算1.85万元，占32.74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FF0000"/>
          <w:sz w:val="32"/>
          <w:szCs w:val="32"/>
        </w:rPr>
      </w:pPr>
      <w:r>
        <w:rPr>
          <w:rFonts w:ascii="仿宋_GB2312" w:eastAsia="仿宋_GB2312"/>
          <w:b/>
          <w:color w:val="000000"/>
          <w:sz w:val="32"/>
          <w:szCs w:val="32"/>
        </w:rPr>
        <w:pict>
          <v:shape id="Object 14" o:spid="_x0000_s1032" o:spt="75" type="#_x0000_t75" style="position:absolute;left:0pt;margin-left:37.25pt;margin-top:11.25pt;height:205.9pt;width:339pt;mso-wrap-distance-bottom:0pt;mso-wrap-distance-top:0pt;z-index:251665408;mso-width-relative:page;mso-height-relative:page;" o:ole="t" filled="f" o:preferrelative="t" stroked="f" coordsize="21600,21600">
            <v:path/>
            <v:fill on="f" focussize="0,0"/>
            <v:stroke on="f" joinstyle="miter"/>
            <v:imagedata r:id="rId19" o:title=""/>
            <o:lock v:ext="edit" aspectratio="t"/>
            <w10:wrap type="topAndBottom"/>
          </v:shape>
          <o:OLEObject Type="Embed" ProgID="Excel.Chart.8" ShapeID="Object 14" DrawAspect="Content" ObjectID="_1468075731" r:id="rId18">
            <o:LockedField>false</o:LockedField>
          </o:OLEObject>
        </w:pict>
      </w:r>
    </w:p>
    <w:p>
      <w:pPr>
        <w:spacing w:line="600" w:lineRule="exact"/>
        <w:ind w:firstLine="643" w:firstLineChars="200"/>
        <w:rPr>
          <w:rStyle w:val="15"/>
          <w:rFonts w:ascii="仿宋" w:hAnsi="仿宋" w:eastAsia="仿宋"/>
          <w:b w:val="0"/>
          <w:bCs/>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3.8万元</w:t>
      </w:r>
      <w:r>
        <w:rPr>
          <w:rFonts w:ascii="仿宋_GB2312" w:eastAsia="仿宋_GB2312"/>
          <w:color w:val="000000"/>
          <w:sz w:val="32"/>
          <w:szCs w:val="32"/>
        </w:rPr>
        <w:t>,</w:t>
      </w:r>
      <w:r>
        <w:rPr>
          <w:rStyle w:val="15"/>
          <w:rFonts w:hint="eastAsia" w:ascii="仿宋" w:hAnsi="仿宋" w:eastAsia="仿宋"/>
          <w:b w:val="0"/>
          <w:bCs/>
          <w:color w:val="000000"/>
          <w:sz w:val="32"/>
          <w:szCs w:val="32"/>
        </w:rPr>
        <w:t>完成预算88.78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9年增加0.98万元，增长34.75</w:t>
      </w:r>
      <w:r>
        <w:rPr>
          <w:rFonts w:ascii="仿宋_GB2312" w:eastAsia="仿宋_GB2312"/>
          <w:color w:val="000000"/>
          <w:sz w:val="32"/>
          <w:szCs w:val="32"/>
        </w:rPr>
        <w:t>%</w:t>
      </w:r>
      <w:r>
        <w:rPr>
          <w:rFonts w:hint="eastAsia" w:ascii="仿宋_GB2312" w:eastAsia="仿宋_GB2312"/>
          <w:color w:val="000000"/>
          <w:sz w:val="32"/>
          <w:szCs w:val="32"/>
        </w:rPr>
        <w:t>。主要原因是开展新冠疫情防控公务用车维护费增加。</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pPr>
        <w:spacing w:line="600" w:lineRule="exact"/>
        <w:ind w:firstLine="640"/>
        <w:rPr>
          <w:rFonts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3.8万元。主要</w:t>
      </w:r>
      <w:r>
        <w:rPr>
          <w:rFonts w:hint="eastAsia" w:eastAsia="仿宋_GB2312"/>
          <w:color w:val="000000"/>
          <w:sz w:val="32"/>
          <w:szCs w:val="32"/>
        </w:rPr>
        <w:t>用于开展卫生健康工作、开展业务活动等所需的公务用车燃料费、维修费、过路过桥费、保险费等支出。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1.85万元，</w:t>
      </w:r>
      <w:r>
        <w:rPr>
          <w:rStyle w:val="15"/>
          <w:rFonts w:hint="eastAsia" w:ascii="仿宋" w:hAnsi="仿宋" w:eastAsia="仿宋"/>
          <w:b w:val="0"/>
          <w:bCs/>
          <w:color w:val="000000"/>
          <w:sz w:val="32"/>
          <w:szCs w:val="32"/>
        </w:rPr>
        <w:t>完成预算65.6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年增加0.48万元，增长35.03</w:t>
      </w:r>
      <w:r>
        <w:rPr>
          <w:rFonts w:ascii="仿宋_GB2312" w:eastAsia="仿宋_GB2312"/>
          <w:color w:val="000000"/>
          <w:sz w:val="32"/>
          <w:szCs w:val="32"/>
        </w:rPr>
        <w:t>%</w:t>
      </w:r>
      <w:r>
        <w:rPr>
          <w:rFonts w:hint="eastAsia" w:ascii="仿宋_GB2312" w:eastAsia="仿宋_GB2312"/>
          <w:color w:val="000000"/>
          <w:sz w:val="32"/>
          <w:szCs w:val="32"/>
        </w:rPr>
        <w:t>。主要原因2020年督导检查次数增加。</w:t>
      </w:r>
    </w:p>
    <w:p>
      <w:pPr>
        <w:spacing w:line="600" w:lineRule="atLeast"/>
        <w:ind w:firstLine="640" w:firstLineChars="200"/>
        <w:rPr>
          <w:rFonts w:eastAsia="仿宋_GB2312"/>
          <w:color w:val="0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rPr>
        <w:t>1.85</w:t>
      </w:r>
      <w:r>
        <w:rPr>
          <w:rFonts w:hint="eastAsia" w:ascii="仿宋_GB2312" w:eastAsia="仿宋_GB2312"/>
          <w:color w:val="000000"/>
          <w:sz w:val="32"/>
          <w:szCs w:val="32"/>
        </w:rPr>
        <w:t>万元，主要</w:t>
      </w:r>
      <w:r>
        <w:rPr>
          <w:rFonts w:hint="eastAsia" w:eastAsia="仿宋_GB2312"/>
          <w:color w:val="000000"/>
          <w:sz w:val="32"/>
          <w:szCs w:val="32"/>
        </w:rPr>
        <w:t>用于接待专项检查、督导及调研</w:t>
      </w:r>
      <w:r>
        <w:rPr>
          <w:rFonts w:hint="eastAsia" w:ascii="仿宋_GB2312" w:eastAsia="仿宋_GB2312"/>
          <w:color w:val="000000"/>
          <w:sz w:val="32"/>
          <w:szCs w:val="32"/>
        </w:rPr>
        <w:t>。国内公务接待</w:t>
      </w:r>
      <w:r>
        <w:rPr>
          <w:rFonts w:hint="eastAsia" w:ascii="仿宋_GB2312" w:eastAsia="仿宋_GB2312"/>
          <w:sz w:val="32"/>
          <w:szCs w:val="32"/>
        </w:rPr>
        <w:t>16批次，189人次</w:t>
      </w:r>
      <w:r>
        <w:rPr>
          <w:rFonts w:hint="eastAsia" w:ascii="仿宋_GB2312" w:eastAsia="仿宋_GB2312"/>
          <w:color w:val="000000"/>
          <w:sz w:val="32"/>
          <w:szCs w:val="32"/>
        </w:rPr>
        <w:t>（不包括陪同人员），共计支出1.85万元，具体内容包括</w:t>
      </w:r>
      <w:r>
        <w:rPr>
          <w:rFonts w:hint="eastAsia" w:eastAsia="仿宋_GB2312"/>
          <w:color w:val="000000"/>
          <w:sz w:val="32"/>
          <w:szCs w:val="32"/>
        </w:rPr>
        <w:t>各级各部门专项检查、督导及调研工作。</w:t>
      </w:r>
    </w:p>
    <w:p>
      <w:pPr>
        <w:spacing w:line="600" w:lineRule="exact"/>
        <w:ind w:firstLine="643" w:firstLineChars="200"/>
        <w:rPr>
          <w:rFonts w:ascii="仿宋_GB2312" w:eastAsia="仿宋_GB2312"/>
          <w:color w:val="000000"/>
          <w:sz w:val="32"/>
          <w:szCs w:val="32"/>
        </w:rPr>
      </w:pPr>
      <w:bookmarkStart w:id="82" w:name="_Toc15396610"/>
      <w:bookmarkStart w:id="83" w:name="_Toc15377218"/>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pPr>
        <w:spacing w:line="600" w:lineRule="exact"/>
        <w:ind w:firstLine="640"/>
        <w:outlineLvl w:val="1"/>
        <w:rPr>
          <w:rStyle w:val="18"/>
          <w:rFonts w:ascii="黑体" w:hAnsi="黑体" w:eastAsia="黑体"/>
        </w:rPr>
      </w:pPr>
      <w:bookmarkStart w:id="84" w:name="_Toc28427"/>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82"/>
      <w:bookmarkEnd w:id="83"/>
      <w:bookmarkEnd w:id="8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年政府性基金预算拨款支出101.15万元。</w:t>
      </w:r>
    </w:p>
    <w:p>
      <w:pPr>
        <w:numPr>
          <w:ilvl w:val="0"/>
          <w:numId w:val="2"/>
        </w:numPr>
        <w:spacing w:line="600" w:lineRule="exact"/>
        <w:ind w:firstLine="640"/>
        <w:outlineLvl w:val="1"/>
        <w:rPr>
          <w:rStyle w:val="18"/>
          <w:rFonts w:ascii="黑体" w:hAnsi="黑体" w:eastAsia="黑体"/>
          <w:b w:val="0"/>
        </w:rPr>
      </w:pPr>
      <w:bookmarkStart w:id="85" w:name="_Toc23868"/>
      <w:bookmarkStart w:id="86" w:name="_Toc15377219"/>
      <w:bookmarkStart w:id="87" w:name="_Toc15396611"/>
      <w:r>
        <w:rPr>
          <w:rStyle w:val="18"/>
          <w:rFonts w:hint="eastAsia" w:ascii="黑体" w:hAnsi="黑体" w:eastAsia="黑体"/>
          <w:b w:val="0"/>
        </w:rPr>
        <w:t>国有资本经营预算支出决算情况说明</w:t>
      </w:r>
      <w:bookmarkEnd w:id="85"/>
      <w:bookmarkEnd w:id="86"/>
      <w:bookmarkEnd w:id="8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800" w:firstLineChars="250"/>
        <w:outlineLvl w:val="1"/>
        <w:rPr>
          <w:rStyle w:val="18"/>
          <w:rFonts w:ascii="黑体" w:hAnsi="黑体" w:eastAsia="黑体"/>
        </w:rPr>
      </w:pPr>
      <w:bookmarkStart w:id="88" w:name="_Toc15377221"/>
      <w:bookmarkStart w:id="89" w:name="_Toc15396612"/>
      <w:bookmarkStart w:id="90" w:name="_Toc29385"/>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88"/>
      <w:bookmarkEnd w:id="89"/>
      <w:bookmarkEnd w:id="90"/>
    </w:p>
    <w:p>
      <w:pPr>
        <w:spacing w:line="600" w:lineRule="exact"/>
        <w:ind w:firstLine="643" w:firstLineChars="200"/>
        <w:outlineLvl w:val="2"/>
        <w:rPr>
          <w:rFonts w:ascii="仿宋" w:hAnsi="仿宋" w:eastAsia="仿宋"/>
          <w:color w:val="000000"/>
          <w:sz w:val="32"/>
          <w:szCs w:val="32"/>
        </w:rPr>
      </w:pPr>
      <w:bookmarkStart w:id="91" w:name="_Toc15377222"/>
      <w:r>
        <w:rPr>
          <w:rFonts w:hint="eastAsia" w:ascii="仿宋" w:hAnsi="仿宋" w:eastAsia="仿宋"/>
          <w:b/>
          <w:color w:val="000000"/>
          <w:sz w:val="32"/>
          <w:szCs w:val="32"/>
        </w:rPr>
        <w:t>（一）机关运行经费支出情况</w:t>
      </w:r>
      <w:bookmarkEnd w:id="91"/>
    </w:p>
    <w:p>
      <w:pPr>
        <w:spacing w:line="600" w:lineRule="exact"/>
        <w:ind w:firstLine="640" w:firstLineChars="200"/>
        <w:rPr>
          <w:rFonts w:ascii="仿宋_GB2312" w:eastAsia="仿宋_GB2312"/>
          <w:color w:val="000000"/>
          <w:sz w:val="32"/>
          <w:szCs w:val="32"/>
        </w:rPr>
      </w:pPr>
      <w:r>
        <w:rPr>
          <w:rFonts w:ascii="仿宋_GB2312" w:eastAsia="仿宋_GB2312"/>
          <w:sz w:val="32"/>
          <w:szCs w:val="32"/>
        </w:rPr>
        <w:t>2020</w:t>
      </w:r>
      <w:r>
        <w:rPr>
          <w:rFonts w:hint="eastAsia" w:ascii="仿宋_GB2312" w:eastAsia="仿宋_GB2312"/>
          <w:sz w:val="32"/>
          <w:szCs w:val="32"/>
        </w:rPr>
        <w:t>年，</w:t>
      </w:r>
      <w:r>
        <w:rPr>
          <w:rFonts w:hint="eastAsia" w:eastAsia="仿宋_GB2312"/>
          <w:sz w:val="32"/>
          <w:szCs w:val="32"/>
        </w:rPr>
        <w:t>攀枝花市卫生健康委员会</w:t>
      </w:r>
      <w:r>
        <w:rPr>
          <w:rFonts w:hint="eastAsia" w:ascii="仿宋_GB2312" w:eastAsia="仿宋_GB2312"/>
          <w:sz w:val="32"/>
          <w:szCs w:val="32"/>
        </w:rPr>
        <w:t>机关运行经费支出129.77万元，比</w:t>
      </w:r>
      <w:r>
        <w:rPr>
          <w:rFonts w:ascii="仿宋_GB2312" w:eastAsia="仿宋_GB2312"/>
          <w:sz w:val="32"/>
          <w:szCs w:val="32"/>
        </w:rPr>
        <w:t>2019</w:t>
      </w:r>
      <w:r>
        <w:rPr>
          <w:rFonts w:hint="eastAsia" w:ascii="仿宋_GB2312" w:eastAsia="仿宋_GB2312"/>
          <w:sz w:val="32"/>
          <w:szCs w:val="32"/>
        </w:rPr>
        <w:t>年减少20.33万元，下降13.54</w:t>
      </w:r>
      <w:r>
        <w:rPr>
          <w:rFonts w:ascii="仿宋_GB2312" w:eastAsia="仿宋_GB2312"/>
          <w:sz w:val="32"/>
          <w:szCs w:val="32"/>
        </w:rPr>
        <w:t>%</w:t>
      </w:r>
      <w:r>
        <w:rPr>
          <w:rFonts w:hint="eastAsia" w:ascii="仿宋_GB2312" w:eastAsia="仿宋_GB2312"/>
          <w:sz w:val="32"/>
          <w:szCs w:val="32"/>
        </w:rPr>
        <w:t>。主要原因是</w:t>
      </w:r>
      <w:r>
        <w:rPr>
          <w:rFonts w:hint="eastAsia" w:eastAsia="仿宋"/>
          <w:sz w:val="32"/>
          <w:szCs w:val="32"/>
        </w:rPr>
        <w:t>厉行节约，严格控制运行经费，</w:t>
      </w:r>
      <w:r>
        <w:rPr>
          <w:rFonts w:hint="eastAsia" w:eastAsia="仿宋"/>
          <w:color w:val="000000"/>
          <w:sz w:val="32"/>
          <w:szCs w:val="32"/>
        </w:rPr>
        <w:t>努力降低行政运行成本。</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2" w:name="_Toc15377223"/>
      <w:r>
        <w:rPr>
          <w:rFonts w:hint="eastAsia" w:ascii="仿宋" w:hAnsi="仿宋" w:eastAsia="仿宋"/>
          <w:b/>
          <w:color w:val="000000"/>
          <w:sz w:val="32"/>
          <w:szCs w:val="32"/>
        </w:rPr>
        <w:t>（二）政府采购支出情况</w:t>
      </w:r>
      <w:bookmarkEnd w:id="92"/>
    </w:p>
    <w:p>
      <w:pPr>
        <w:spacing w:line="60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w:t>
      </w:r>
      <w:r>
        <w:rPr>
          <w:rFonts w:hint="eastAsia" w:eastAsia="仿宋_GB2312"/>
          <w:sz w:val="32"/>
          <w:szCs w:val="32"/>
        </w:rPr>
        <w:t>攀枝花市卫生健康委员会</w:t>
      </w:r>
      <w:r>
        <w:rPr>
          <w:rFonts w:hint="eastAsia" w:ascii="仿宋_GB2312" w:eastAsia="仿宋_GB2312"/>
          <w:sz w:val="32"/>
          <w:szCs w:val="32"/>
        </w:rPr>
        <w:t>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3" w:name="_Toc15377224"/>
      <w:r>
        <w:rPr>
          <w:rFonts w:hint="eastAsia" w:ascii="仿宋" w:hAnsi="仿宋" w:eastAsia="仿宋"/>
          <w:b/>
          <w:color w:val="000000"/>
          <w:sz w:val="32"/>
          <w:szCs w:val="32"/>
        </w:rPr>
        <w:t>（三）国有资产占有使用情况</w:t>
      </w:r>
      <w:bookmarkEnd w:id="93"/>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eastAsia="仿宋_GB2312"/>
          <w:sz w:val="32"/>
          <w:szCs w:val="32"/>
        </w:rPr>
        <w:t>攀枝花市卫生健康委员会</w:t>
      </w:r>
      <w:r>
        <w:rPr>
          <w:rFonts w:hint="eastAsia" w:ascii="仿宋_GB2312" w:eastAsia="仿宋_GB2312"/>
          <w:sz w:val="32"/>
          <w:szCs w:val="32"/>
        </w:rPr>
        <w:t>共有车辆1辆，其中：主要领导干部用车0辆、机要通信用车0辆、应急保障用车0辆、其他用车1辆，其他用车主要是</w:t>
      </w:r>
      <w:r>
        <w:rPr>
          <w:rFonts w:hint="eastAsia" w:eastAsia="仿宋_GB2312"/>
          <w:sz w:val="32"/>
          <w:szCs w:val="32"/>
        </w:rPr>
        <w:t>用于执行公务、开展业务活动所需，</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万元以上通用设备0台，单价</w:t>
      </w:r>
      <w:r>
        <w:rPr>
          <w:rFonts w:ascii="仿宋_GB2312" w:eastAsia="仿宋_GB2312"/>
          <w:sz w:val="32"/>
          <w:szCs w:val="32"/>
        </w:rPr>
        <w:t>100</w:t>
      </w:r>
      <w:r>
        <w:rPr>
          <w:rFonts w:hint="eastAsia" w:ascii="仿宋_GB2312" w:eastAsia="仿宋_GB2312"/>
          <w:sz w:val="32"/>
          <w:szCs w:val="32"/>
        </w:rPr>
        <w:t>万元以上专用设备1台。</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3项目开展了预算事前绩效评估，对3个项目编制了绩效目标，预算执行过程中，选取3个项目开展绩效监控，年终执行完毕后，对3个项目开展了绩效目标完成情况自评。</w:t>
      </w:r>
    </w:p>
    <w:p>
      <w:pPr>
        <w:snapToGrid w:val="0"/>
        <w:spacing w:line="640" w:lineRule="exact"/>
        <w:ind w:firstLine="640" w:firstLineChars="200"/>
        <w:rPr>
          <w:rFonts w:eastAsia="仿宋_GB2312"/>
          <w:sz w:val="32"/>
          <w:szCs w:val="32"/>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w:t>
      </w:r>
      <w:r>
        <w:rPr>
          <w:rFonts w:hint="eastAsia" w:eastAsia="仿宋_GB2312"/>
          <w:sz w:val="32"/>
          <w:szCs w:val="32"/>
        </w:rPr>
        <w:t>从评价情况来看全面完成了整体绩效目标任务，保证了单位的基本运转和各项业务工作的完成</w:t>
      </w:r>
      <w:r>
        <w:rPr>
          <w:rFonts w:hint="eastAsia" w:ascii="仿宋_GB2312" w:hAnsi="仿宋_GB2312" w:eastAsia="仿宋_GB2312" w:cs="仿宋_GB2312"/>
          <w:sz w:val="32"/>
          <w:szCs w:val="32"/>
        </w:rPr>
        <w:t>。组织开展3个项目支出绩效评价，</w:t>
      </w:r>
      <w:r>
        <w:rPr>
          <w:rFonts w:hint="eastAsia" w:eastAsia="仿宋_GB2312"/>
          <w:sz w:val="32"/>
          <w:szCs w:val="32"/>
        </w:rPr>
        <w:t>项目资金按照项目实施方案进度支付，确保完成各项绩效目标和</w:t>
      </w:r>
      <w:r>
        <w:rPr>
          <w:rFonts w:eastAsia="仿宋_GB2312"/>
          <w:sz w:val="32"/>
          <w:szCs w:val="32"/>
        </w:rPr>
        <w:t>既定</w:t>
      </w:r>
      <w:r>
        <w:rPr>
          <w:rFonts w:hint="eastAsia" w:eastAsia="仿宋_GB2312"/>
          <w:sz w:val="32"/>
          <w:szCs w:val="32"/>
        </w:rPr>
        <w:t>任务。</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本单位在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年度部门决算中反映“会理麻风病人治疗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“干保经费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“业务运行费”等22个项目绩效目标实际完成情况。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）干保经费项目绩效目标完成情况综述。项目全年预算数4.2万元，执行数为4.2万元，完成预算的100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。通过项目实施，保障干部保健工作正常开展，提高服务质量，保障身心健康。</w:t>
      </w:r>
    </w:p>
    <w:p>
      <w:pPr>
        <w:spacing w:line="580" w:lineRule="exact"/>
        <w:ind w:firstLine="640" w:firstLineChars="200"/>
        <w:rPr>
          <w:rFonts w:eastAsia="仿宋_GB2312"/>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）会理麻风病人治疗项目绩效目标完成情况综述。项目全年预算数3万元，执行数为0万元，完成预算的0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。通过项目实施，保障保证攀籍病人的生活和治疗，发现的主要问题：</w:t>
      </w:r>
      <w:r>
        <w:rPr>
          <w:rFonts w:eastAsia="仿宋_GB2312"/>
          <w:sz w:val="32"/>
          <w:szCs w:val="32"/>
        </w:rPr>
        <w:t>预算执行力度还要进一步加强。</w:t>
      </w:r>
      <w:r>
        <w:rPr>
          <w:rFonts w:hint="eastAsia" w:ascii="仿宋_GB2312" w:hAnsi="仿宋_GB2312" w:eastAsia="仿宋_GB2312" w:cs="仿宋_GB2312"/>
          <w:sz w:val="32"/>
          <w:szCs w:val="32"/>
        </w:rPr>
        <w:t>下一步改进措施：</w:t>
      </w:r>
      <w:r>
        <w:rPr>
          <w:rFonts w:hint="eastAsia" w:eastAsia="仿宋_GB2312"/>
          <w:kern w:val="0"/>
          <w:sz w:val="32"/>
          <w:szCs w:val="32"/>
        </w:rPr>
        <w:t>进一步加强内部机构的预算管理意识，严格按照预算的相关制度和要求，本着“勤俭节约，保障运转”的原则进行预算。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）业务运行费项目绩效目标完成情况综述。项目全年预算数15万元，执行数为15万元，完成预算的100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。通过项目实施，按职能职责开展工作，确保日常运转和业务运行，更好的履行职责职能，促进卫生计生事业发展，确保民生目标任务完成，更好为群众健康服务。</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干保经费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攀枝花市卫生健康委员会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保障干部保健工作正常开展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保障干部保健工作正常开展</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保健对象居家保健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保健对象因病住院探望慰问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执行重大会议活动医疗卫生保障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会议培训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培训100人×2次，会议20人×5次。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培训100人×2次，会议20人×5次。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保健对象健康促进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260人4次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260人4次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p>
            <w:pPr>
              <w:jc w:val="center"/>
            </w:pPr>
            <w:r>
              <w:rPr>
                <w:rFonts w:hint="eastAsia"/>
              </w:rPr>
              <w:t>保障干部保健工作正常开展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保障干部保健工作正常开展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保障干部保健工作正常开展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2020年底完成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2020年底完成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2020年底完成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用于探望慰问住院的保健对象（20人）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保障费用、应急执勤费用、检查督导费用、培训演练费用等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2.2万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2.2万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干部保健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提高服务质量，保障身心健康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提高服务质量，保障身心健康</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干部保健对象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大于90%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lang w:bidi="ar"/>
              </w:rPr>
            </w:pPr>
          </w:p>
          <w:p>
            <w:pPr>
              <w:widowControl/>
              <w:jc w:val="center"/>
              <w:textAlignment w:val="center"/>
              <w:rPr>
                <w:rFonts w:ascii="宋体" w:hAnsi="宋体" w:cs="宋体"/>
                <w:b/>
                <w:bCs/>
                <w:color w:val="000000"/>
                <w:kern w:val="0"/>
                <w:sz w:val="36"/>
                <w:szCs w:val="36"/>
                <w:lang w:bidi="ar"/>
              </w:rPr>
            </w:pPr>
          </w:p>
          <w:p>
            <w:pPr>
              <w:widowControl/>
              <w:jc w:val="center"/>
              <w:textAlignment w:val="center"/>
              <w:rPr>
                <w:rFonts w:ascii="宋体" w:hAnsi="宋体" w:cs="宋体"/>
                <w:b/>
                <w:bCs/>
                <w:color w:val="000000"/>
                <w:kern w:val="0"/>
                <w:sz w:val="36"/>
                <w:szCs w:val="36"/>
                <w:lang w:bidi="ar"/>
              </w:rPr>
            </w:pPr>
          </w:p>
          <w:p>
            <w:pPr>
              <w:widowControl/>
              <w:jc w:val="center"/>
              <w:textAlignment w:val="center"/>
              <w:rPr>
                <w:rFonts w:ascii="宋体" w:hAnsi="宋体" w:cs="宋体"/>
                <w:b/>
                <w:bCs/>
                <w:color w:val="000000"/>
                <w:kern w:val="0"/>
                <w:sz w:val="36"/>
                <w:szCs w:val="36"/>
                <w:lang w:bidi="ar"/>
              </w:rPr>
            </w:pPr>
          </w:p>
          <w:p>
            <w:pPr>
              <w:widowControl/>
              <w:jc w:val="center"/>
              <w:textAlignment w:val="center"/>
              <w:rPr>
                <w:rFonts w:ascii="宋体" w:hAnsi="宋体" w:cs="宋体"/>
                <w:b/>
                <w:bCs/>
                <w:color w:val="000000"/>
                <w:kern w:val="0"/>
                <w:sz w:val="36"/>
                <w:szCs w:val="36"/>
                <w:lang w:bidi="ar"/>
              </w:rPr>
            </w:pPr>
          </w:p>
          <w:p>
            <w:pPr>
              <w:widowControl/>
              <w:jc w:val="center"/>
              <w:textAlignment w:val="center"/>
              <w:rPr>
                <w:rFonts w:ascii="宋体" w:hAnsi="宋体" w:cs="宋体"/>
                <w:b/>
                <w:bCs/>
                <w:color w:val="000000"/>
                <w:kern w:val="0"/>
                <w:sz w:val="36"/>
                <w:szCs w:val="36"/>
                <w:lang w:bidi="ar"/>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会理麻风病人治疗</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攀枝花市卫生健康委员会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保证攀籍病人的生活和治疗</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保证攀籍病人的生活和治疗</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会理攀籍病人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p>
            <w:pPr>
              <w:jc w:val="center"/>
            </w:pPr>
            <w:r>
              <w:rPr>
                <w:rFonts w:hint="eastAsia"/>
              </w:rPr>
              <w:t>病人治疗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接受治疗，正常生活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接受治疗，正常生活</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2020年底完成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2020年底完成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按合同支付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确保病人得到治疗，维护社会稳定和谐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确保病人得到治疗，维护社会稳定和谐</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病人满意度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大于90%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bl>
    <w:p>
      <w:pPr>
        <w:spacing w:line="580" w:lineRule="exact"/>
        <w:ind w:left="63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业务运行费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攀枝花市卫生健康委员会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按职能职责开展工作，确保日常运转和业务运行。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按职能职责开展工作，确保日常运转和业务运行。</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业务科室开展的检查、考核、业务指导20余次；接待检查、督导10余次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业务科室开展的检查、考核、业务指导20余次；接待检查、督导10余次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业务科室开展的检查、考核、业务指导20余次；接待检查、督导10余次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p>
            <w:pPr>
              <w:jc w:val="center"/>
            </w:pPr>
            <w:r>
              <w:rPr>
                <w:rFonts w:hint="eastAsia"/>
              </w:rPr>
              <w:t>工作正常开展，完成目标任务，建设区域卫生高地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办公楼日常维护费保、租车费、保证网络通畅，确保办公设施正常使用和安全，保证各项业务工作得以正常开展。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办公楼日常维护费保、租车费、保证网络通畅，确保办公设施正常使用和安全，保证各项业务工作得以正常开展。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2020年底完成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2020年底完成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满意度测评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业务(重大传染病防治)工作租车费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聘用人员5人经费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履行职责职能，促进卫生计生事业发展，确保民生目标任务完成，更好为群众健康服务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履行职责职能，促进卫生计生事业发展，确保民生目标任务完成，更好为群众健康服务</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机关职工满意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w:t>
      </w:r>
      <w:r>
        <w:rPr>
          <w:rFonts w:hint="eastAsia" w:eastAsia="仿宋_GB2312"/>
          <w:sz w:val="32"/>
          <w:szCs w:val="32"/>
        </w:rPr>
        <w:t>攀枝花市卫生健康委员会</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组织</w:t>
      </w:r>
      <w:r>
        <w:rPr>
          <w:rFonts w:hint="eastAsia" w:eastAsia="仿宋_GB2312"/>
          <w:sz w:val="32"/>
          <w:szCs w:val="32"/>
        </w:rPr>
        <w:t>开展预算项目绩效评价，</w:t>
      </w:r>
      <w:r>
        <w:rPr>
          <w:rFonts w:hint="eastAsia" w:ascii="仿宋_GB2312" w:hAnsi="仿宋_GB2312" w:eastAsia="仿宋_GB2312" w:cs="仿宋_GB2312"/>
          <w:sz w:val="32"/>
          <w:szCs w:val="32"/>
        </w:rPr>
        <w:t>《</w:t>
      </w:r>
      <w:r>
        <w:rPr>
          <w:rFonts w:hint="eastAsia" w:eastAsia="仿宋_GB2312"/>
          <w:sz w:val="32"/>
          <w:szCs w:val="32"/>
        </w:rPr>
        <w:t>攀枝花市卫生健康委员会</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7"/>
          <w:rFonts w:ascii="黑体" w:hAnsi="黑体" w:eastAsia="黑体"/>
          <w:b w:val="0"/>
        </w:rPr>
      </w:pPr>
      <w:bookmarkStart w:id="94" w:name="_Toc15396613"/>
      <w:bookmarkStart w:id="95" w:name="_Toc4532"/>
      <w:bookmarkStart w:id="96" w:name="_Toc15377225"/>
      <w:r>
        <w:rPr>
          <w:rFonts w:hint="eastAsia" w:ascii="黑体" w:hAnsi="黑体" w:eastAsia="黑体"/>
          <w:color w:val="000000"/>
          <w:sz w:val="44"/>
          <w:szCs w:val="44"/>
        </w:rPr>
        <w:t>名</w:t>
      </w:r>
      <w:r>
        <w:rPr>
          <w:rStyle w:val="17"/>
          <w:rFonts w:hint="eastAsia" w:ascii="黑体" w:hAnsi="黑体" w:eastAsia="黑体"/>
          <w:b w:val="0"/>
        </w:rPr>
        <w:t>词解释</w:t>
      </w:r>
      <w:bookmarkEnd w:id="94"/>
      <w:bookmarkEnd w:id="95"/>
      <w:bookmarkEnd w:id="96"/>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财政拨款收入：指单位从同级财政部门取得的财政预算资金。</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事业收入：指事业单位开展专业业务活动及辅助活动取得的收入。</w:t>
      </w:r>
    </w:p>
    <w:p>
      <w:pPr>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经营收入：指事业单位在专业业务活动及其辅助活动之外开展非独立核算经营活动取得的收入。</w:t>
      </w:r>
    </w:p>
    <w:p>
      <w:pPr>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其他收入：指单位取得的除上述收入以外的各项收入。主要是利息收入（收入类型）等。</w:t>
      </w:r>
      <w:r>
        <w:rPr>
          <w:rFonts w:eastAsia="仿宋_GB2312"/>
          <w:sz w:val="32"/>
          <w:szCs w:val="32"/>
        </w:rPr>
        <w:t xml:space="preserve"> </w:t>
      </w:r>
    </w:p>
    <w:p>
      <w:pPr>
        <w:spacing w:line="58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eastAsia="仿宋_GB2312"/>
          <w:sz w:val="32"/>
          <w:szCs w:val="32"/>
        </w:rPr>
        <w:t xml:space="preserve"> </w:t>
      </w:r>
    </w:p>
    <w:p>
      <w:pPr>
        <w:spacing w:line="58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年初结转和结余：指以前年度尚未完成、结转到本年按有关规定继续使用的资金。</w:t>
      </w:r>
      <w:r>
        <w:rPr>
          <w:rFonts w:eastAsia="仿宋_GB2312"/>
          <w:sz w:val="32"/>
          <w:szCs w:val="32"/>
        </w:rPr>
        <w:t xml:space="preserve"> </w:t>
      </w:r>
    </w:p>
    <w:p>
      <w:pPr>
        <w:spacing w:line="58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结余分配：指事业单位按照事业单位会计制度的规定从非财政补助结余中分配的事业基金和职工福利基金等。</w:t>
      </w:r>
    </w:p>
    <w:p>
      <w:pPr>
        <w:spacing w:line="58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、年末结转和结余：指单位按有关规定结转到下年或以后年度继续使用的资金。</w:t>
      </w:r>
    </w:p>
    <w:p>
      <w:pPr>
        <w:spacing w:line="58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引进人才费用（</w:t>
      </w:r>
      <w:r>
        <w:rPr>
          <w:rFonts w:eastAsia="仿宋_GB2312"/>
          <w:sz w:val="32"/>
          <w:szCs w:val="32"/>
        </w:rPr>
        <w:t>2011008</w:t>
      </w:r>
      <w:r>
        <w:rPr>
          <w:rFonts w:hint="eastAsia" w:eastAsia="仿宋_GB2312"/>
          <w:sz w:val="32"/>
          <w:szCs w:val="32"/>
        </w:rPr>
        <w:t>）：反映用于引进外国专家补助、引智成果推广等方面的支出。</w:t>
      </w:r>
    </w:p>
    <w:p>
      <w:pPr>
        <w:spacing w:line="58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其他组织事务支出（</w:t>
      </w:r>
      <w:r>
        <w:rPr>
          <w:rFonts w:eastAsia="仿宋_GB2312"/>
          <w:sz w:val="32"/>
          <w:szCs w:val="32"/>
        </w:rPr>
        <w:t>2013299</w:t>
      </w:r>
      <w:r>
        <w:rPr>
          <w:rFonts w:hint="eastAsia" w:eastAsia="仿宋_GB2312"/>
          <w:sz w:val="32"/>
          <w:szCs w:val="32"/>
        </w:rPr>
        <w:t>）：反应除上述项目以外其他用于中国共产党组织部门的事物支出。</w:t>
      </w:r>
    </w:p>
    <w:p>
      <w:pPr>
        <w:spacing w:line="58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应用技术研究与开发（</w:t>
      </w:r>
      <w:r>
        <w:rPr>
          <w:rFonts w:eastAsia="仿宋_GB2312"/>
          <w:sz w:val="32"/>
          <w:szCs w:val="32"/>
        </w:rPr>
        <w:t>2060402</w:t>
      </w:r>
      <w:r>
        <w:rPr>
          <w:rFonts w:hint="eastAsia" w:eastAsia="仿宋_GB2312"/>
          <w:sz w:val="32"/>
          <w:szCs w:val="32"/>
        </w:rPr>
        <w:t>）：反映从事技术开发研究和近期可望取得实用价值的专项技术开发研究的支出。</w:t>
      </w:r>
    </w:p>
    <w:p>
      <w:pPr>
        <w:spacing w:line="580" w:lineRule="exact"/>
        <w:ind w:firstLine="640" w:firstLineChars="200"/>
        <w:rPr>
          <w:rFonts w:eastAsia="仿宋_GB2312"/>
          <w:sz w:val="32"/>
          <w:szCs w:val="32"/>
        </w:rPr>
      </w:pPr>
      <w:r>
        <w:rPr>
          <w:rFonts w:eastAsia="仿宋_GB2312"/>
          <w:sz w:val="32"/>
          <w:szCs w:val="32"/>
        </w:rPr>
        <w:t>12.</w:t>
      </w:r>
      <w:r>
        <w:rPr>
          <w:rFonts w:hint="eastAsia" w:eastAsia="仿宋_GB2312"/>
          <w:sz w:val="32"/>
          <w:szCs w:val="32"/>
        </w:rPr>
        <w:t>其他文化支出（</w:t>
      </w:r>
      <w:r>
        <w:rPr>
          <w:rFonts w:eastAsia="仿宋_GB2312"/>
          <w:sz w:val="32"/>
          <w:szCs w:val="32"/>
        </w:rPr>
        <w:t>2070199</w:t>
      </w:r>
      <w:r>
        <w:rPr>
          <w:rFonts w:hint="eastAsia" w:eastAsia="仿宋_GB2312"/>
          <w:sz w:val="32"/>
          <w:szCs w:val="32"/>
        </w:rPr>
        <w:t>）：反映除上述项目以外其他用于文化方面的支出。</w:t>
      </w:r>
    </w:p>
    <w:p>
      <w:pPr>
        <w:spacing w:line="58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行政运行（</w:t>
      </w:r>
      <w:r>
        <w:rPr>
          <w:rFonts w:eastAsia="仿宋_GB2312"/>
          <w:sz w:val="32"/>
          <w:szCs w:val="32"/>
        </w:rPr>
        <w:t>2080101</w:t>
      </w:r>
      <w:r>
        <w:rPr>
          <w:rFonts w:hint="eastAsia" w:eastAsia="仿宋_GB2312"/>
          <w:sz w:val="32"/>
          <w:szCs w:val="32"/>
        </w:rPr>
        <w:t>）：反映行政单位（包括实行公务员管理的事业单位）的基本支出。</w:t>
      </w:r>
    </w:p>
    <w:p>
      <w:pPr>
        <w:spacing w:line="58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社会保险业务管理事务（</w:t>
      </w:r>
      <w:r>
        <w:rPr>
          <w:rFonts w:eastAsia="仿宋_GB2312"/>
          <w:sz w:val="32"/>
          <w:szCs w:val="32"/>
        </w:rPr>
        <w:t>2080107</w:t>
      </w:r>
      <w:r>
        <w:rPr>
          <w:rFonts w:hint="eastAsia" w:eastAsia="仿宋_GB2312"/>
          <w:sz w:val="32"/>
          <w:szCs w:val="32"/>
        </w:rPr>
        <w:t>）：反映社会保险业务管理和基金监督方面的支出。</w:t>
      </w:r>
    </w:p>
    <w:p>
      <w:pPr>
        <w:spacing w:line="580" w:lineRule="exact"/>
        <w:ind w:firstLine="640" w:firstLineChars="200"/>
        <w:rPr>
          <w:rFonts w:eastAsia="仿宋_GB2312"/>
          <w:sz w:val="32"/>
          <w:szCs w:val="32"/>
        </w:rPr>
      </w:pPr>
      <w:r>
        <w:rPr>
          <w:rFonts w:eastAsia="仿宋_GB2312"/>
          <w:sz w:val="32"/>
          <w:szCs w:val="32"/>
        </w:rPr>
        <w:t>15.</w:t>
      </w:r>
      <w:r>
        <w:rPr>
          <w:rFonts w:hint="eastAsia" w:eastAsia="仿宋_GB2312"/>
          <w:sz w:val="32"/>
          <w:szCs w:val="32"/>
        </w:rPr>
        <w:t>其他人力资源和社会保障管理事务支出（</w:t>
      </w:r>
      <w:r>
        <w:rPr>
          <w:rFonts w:eastAsia="仿宋_GB2312"/>
          <w:sz w:val="32"/>
          <w:szCs w:val="32"/>
        </w:rPr>
        <w:t>2080199</w:t>
      </w:r>
      <w:r>
        <w:rPr>
          <w:rFonts w:hint="eastAsia" w:eastAsia="仿宋_GB2312"/>
          <w:sz w:val="32"/>
          <w:szCs w:val="32"/>
        </w:rPr>
        <w:t>）：反映除上述项目以外其他用于人力资源和社会保障管理事务方面的支出。</w:t>
      </w:r>
    </w:p>
    <w:p>
      <w:pPr>
        <w:spacing w:line="580" w:lineRule="exact"/>
        <w:ind w:firstLine="640" w:firstLineChars="200"/>
        <w:rPr>
          <w:rFonts w:eastAsia="仿宋_GB2312"/>
          <w:sz w:val="32"/>
          <w:szCs w:val="32"/>
        </w:rPr>
      </w:pPr>
      <w:r>
        <w:rPr>
          <w:rFonts w:eastAsia="仿宋_GB2312"/>
          <w:sz w:val="32"/>
          <w:szCs w:val="32"/>
        </w:rPr>
        <w:t>16.</w:t>
      </w:r>
      <w:r>
        <w:rPr>
          <w:rFonts w:hint="eastAsia" w:eastAsia="仿宋_GB2312"/>
          <w:sz w:val="32"/>
          <w:szCs w:val="32"/>
        </w:rPr>
        <w:t>未归口管理的行政单位离退休（</w:t>
      </w:r>
      <w:r>
        <w:rPr>
          <w:rFonts w:eastAsia="仿宋_GB2312"/>
          <w:sz w:val="32"/>
          <w:szCs w:val="32"/>
        </w:rPr>
        <w:t>2080504</w:t>
      </w:r>
      <w:r>
        <w:rPr>
          <w:rFonts w:hint="eastAsia" w:eastAsia="仿宋_GB2312"/>
          <w:sz w:val="32"/>
          <w:szCs w:val="32"/>
        </w:rPr>
        <w:t>）</w:t>
      </w:r>
      <w:r>
        <w:rPr>
          <w:rFonts w:eastAsia="仿宋_GB2312"/>
          <w:sz w:val="32"/>
          <w:szCs w:val="32"/>
        </w:rPr>
        <w:t>:</w:t>
      </w:r>
      <w:r>
        <w:rPr>
          <w:rFonts w:hint="eastAsia" w:eastAsia="仿宋_GB2312"/>
          <w:sz w:val="32"/>
          <w:szCs w:val="32"/>
        </w:rPr>
        <w:t>反映未实行归口管理（包括实行公务员管理的事业单位）开支的离退休支出。</w:t>
      </w:r>
    </w:p>
    <w:p>
      <w:pPr>
        <w:spacing w:line="580" w:lineRule="exact"/>
        <w:ind w:firstLine="640" w:firstLineChars="200"/>
        <w:rPr>
          <w:rFonts w:eastAsia="仿宋_GB2312"/>
          <w:sz w:val="32"/>
          <w:szCs w:val="32"/>
        </w:rPr>
      </w:pPr>
      <w:r>
        <w:rPr>
          <w:rFonts w:eastAsia="仿宋_GB2312"/>
          <w:sz w:val="32"/>
          <w:szCs w:val="32"/>
        </w:rPr>
        <w:t>17.</w:t>
      </w:r>
      <w:r>
        <w:rPr>
          <w:rFonts w:hint="eastAsia" w:eastAsia="仿宋_GB2312"/>
          <w:sz w:val="32"/>
          <w:szCs w:val="32"/>
        </w:rPr>
        <w:t>机关事业单位基本养老保险缴费支出（</w:t>
      </w:r>
      <w:r>
        <w:rPr>
          <w:rFonts w:eastAsia="仿宋_GB2312"/>
          <w:sz w:val="32"/>
          <w:szCs w:val="32"/>
        </w:rPr>
        <w:t>2080505</w:t>
      </w:r>
      <w:r>
        <w:rPr>
          <w:rFonts w:hint="eastAsia" w:eastAsia="仿宋_GB2312"/>
          <w:sz w:val="32"/>
          <w:szCs w:val="32"/>
        </w:rPr>
        <w:t>）：反映机关事业单位实施养老保险制度由单位缴纳的基本养老保险费支出。</w:t>
      </w:r>
    </w:p>
    <w:p>
      <w:pPr>
        <w:spacing w:line="580" w:lineRule="exact"/>
        <w:ind w:firstLine="640" w:firstLineChars="200"/>
        <w:rPr>
          <w:rFonts w:eastAsia="仿宋_GB2312"/>
          <w:sz w:val="32"/>
          <w:szCs w:val="32"/>
        </w:rPr>
      </w:pPr>
      <w:r>
        <w:rPr>
          <w:rFonts w:eastAsia="仿宋_GB2312"/>
          <w:sz w:val="32"/>
          <w:szCs w:val="32"/>
        </w:rPr>
        <w:t>18.</w:t>
      </w:r>
      <w:r>
        <w:rPr>
          <w:rFonts w:hint="eastAsia" w:eastAsia="仿宋_GB2312"/>
          <w:sz w:val="32"/>
          <w:szCs w:val="32"/>
        </w:rPr>
        <w:t>死亡抚恤（</w:t>
      </w:r>
      <w:r>
        <w:rPr>
          <w:rFonts w:eastAsia="仿宋_GB2312"/>
          <w:sz w:val="32"/>
          <w:szCs w:val="32"/>
        </w:rPr>
        <w:t>2080801</w:t>
      </w:r>
      <w:r>
        <w:rPr>
          <w:rFonts w:hint="eastAsia" w:eastAsia="仿宋_GB2312"/>
          <w:sz w:val="32"/>
          <w:szCs w:val="32"/>
        </w:rPr>
        <w:t>）：反映按规定用于烈士和牺牲、病故人员家属的一次性和定期抚恤金以及丧葬补助费。</w:t>
      </w:r>
    </w:p>
    <w:p>
      <w:pPr>
        <w:spacing w:line="580" w:lineRule="exact"/>
        <w:ind w:firstLine="640" w:firstLineChars="200"/>
        <w:rPr>
          <w:rFonts w:eastAsia="仿宋_GB2312"/>
          <w:sz w:val="32"/>
          <w:szCs w:val="32"/>
        </w:rPr>
      </w:pPr>
      <w:r>
        <w:rPr>
          <w:rFonts w:eastAsia="仿宋_GB2312"/>
          <w:sz w:val="32"/>
          <w:szCs w:val="32"/>
        </w:rPr>
        <w:t>19.</w:t>
      </w:r>
      <w:r>
        <w:rPr>
          <w:rFonts w:hint="eastAsia" w:eastAsia="仿宋_GB2312"/>
          <w:sz w:val="32"/>
          <w:szCs w:val="32"/>
        </w:rPr>
        <w:t>儿童福利（</w:t>
      </w:r>
      <w:r>
        <w:rPr>
          <w:rFonts w:eastAsia="仿宋_GB2312"/>
          <w:sz w:val="32"/>
          <w:szCs w:val="32"/>
        </w:rPr>
        <w:t>2081001</w:t>
      </w:r>
      <w:r>
        <w:rPr>
          <w:rFonts w:hint="eastAsia" w:eastAsia="仿宋_GB2312"/>
          <w:sz w:val="32"/>
          <w:szCs w:val="32"/>
        </w:rPr>
        <w:t>）：反应对儿童提供福利服务方面的支出。</w:t>
      </w:r>
    </w:p>
    <w:p>
      <w:pPr>
        <w:spacing w:line="58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行政运行（</w:t>
      </w:r>
      <w:r>
        <w:rPr>
          <w:rFonts w:eastAsia="仿宋_GB2312"/>
          <w:sz w:val="32"/>
          <w:szCs w:val="32"/>
        </w:rPr>
        <w:t>2100101</w:t>
      </w:r>
      <w:r>
        <w:rPr>
          <w:rFonts w:hint="eastAsia" w:eastAsia="仿宋_GB2312"/>
          <w:sz w:val="32"/>
          <w:szCs w:val="32"/>
        </w:rPr>
        <w:t>）：反映行政单位（包括实行公务员管理的事业单位）的基本支出。</w:t>
      </w:r>
    </w:p>
    <w:p>
      <w:pPr>
        <w:spacing w:line="580" w:lineRule="exact"/>
        <w:ind w:firstLine="640" w:firstLineChars="200"/>
        <w:rPr>
          <w:rFonts w:eastAsia="仿宋_GB2312"/>
          <w:sz w:val="32"/>
          <w:szCs w:val="32"/>
        </w:rPr>
      </w:pPr>
      <w:r>
        <w:rPr>
          <w:rFonts w:eastAsia="仿宋_GB2312"/>
          <w:sz w:val="32"/>
          <w:szCs w:val="32"/>
        </w:rPr>
        <w:t xml:space="preserve">21. </w:t>
      </w:r>
      <w:r>
        <w:rPr>
          <w:rFonts w:hint="eastAsia" w:eastAsia="仿宋_GB2312"/>
          <w:sz w:val="32"/>
          <w:szCs w:val="32"/>
        </w:rPr>
        <w:t>一般行政管理事务（</w:t>
      </w:r>
      <w:r>
        <w:rPr>
          <w:rFonts w:eastAsia="仿宋_GB2312"/>
          <w:sz w:val="32"/>
          <w:szCs w:val="32"/>
        </w:rPr>
        <w:t>2100102</w:t>
      </w:r>
      <w:r>
        <w:rPr>
          <w:rFonts w:hint="eastAsia" w:eastAsia="仿宋_GB2312"/>
          <w:sz w:val="32"/>
          <w:szCs w:val="32"/>
        </w:rPr>
        <w:t>）：反映行政单位（包括实行公务员管理的事业单位）未单独设置项级科目的其他项目支出。</w:t>
      </w:r>
    </w:p>
    <w:p>
      <w:pPr>
        <w:spacing w:line="580" w:lineRule="exact"/>
        <w:ind w:firstLine="640" w:firstLineChars="200"/>
        <w:rPr>
          <w:rFonts w:eastAsia="仿宋_GB2312"/>
          <w:sz w:val="32"/>
          <w:szCs w:val="32"/>
        </w:rPr>
      </w:pPr>
      <w:r>
        <w:rPr>
          <w:rFonts w:eastAsia="仿宋_GB2312"/>
          <w:sz w:val="32"/>
          <w:szCs w:val="32"/>
        </w:rPr>
        <w:t xml:space="preserve">22. </w:t>
      </w:r>
      <w:r>
        <w:rPr>
          <w:rFonts w:hint="eastAsia" w:eastAsia="仿宋_GB2312"/>
          <w:sz w:val="32"/>
          <w:szCs w:val="32"/>
        </w:rPr>
        <w:t>综合医院（</w:t>
      </w:r>
      <w:r>
        <w:rPr>
          <w:rFonts w:eastAsia="仿宋_GB2312"/>
          <w:sz w:val="32"/>
          <w:szCs w:val="32"/>
        </w:rPr>
        <w:t>2100201</w:t>
      </w:r>
      <w:r>
        <w:rPr>
          <w:rFonts w:hint="eastAsia" w:eastAsia="仿宋_GB2312"/>
          <w:sz w:val="32"/>
          <w:szCs w:val="32"/>
        </w:rPr>
        <w:t>）：反映卫生和计划生育、中医部门所属的城市综合性医院、独立门诊、教学医院、疗养院和县医院的支出。</w:t>
      </w:r>
    </w:p>
    <w:p>
      <w:pPr>
        <w:spacing w:line="580" w:lineRule="exact"/>
        <w:ind w:firstLine="640" w:firstLineChars="200"/>
        <w:rPr>
          <w:rFonts w:eastAsia="仿宋_GB2312"/>
          <w:sz w:val="32"/>
          <w:szCs w:val="32"/>
        </w:rPr>
      </w:pPr>
      <w:r>
        <w:rPr>
          <w:rFonts w:eastAsia="仿宋_GB2312"/>
          <w:sz w:val="32"/>
          <w:szCs w:val="32"/>
        </w:rPr>
        <w:t xml:space="preserve">23. </w:t>
      </w:r>
      <w:r>
        <w:rPr>
          <w:rFonts w:hint="eastAsia" w:eastAsia="仿宋_GB2312"/>
          <w:sz w:val="32"/>
          <w:szCs w:val="32"/>
        </w:rPr>
        <w:t>传染病医院（</w:t>
      </w:r>
      <w:r>
        <w:rPr>
          <w:rFonts w:eastAsia="仿宋_GB2312"/>
          <w:sz w:val="32"/>
          <w:szCs w:val="32"/>
        </w:rPr>
        <w:t>2100203</w:t>
      </w:r>
      <w:r>
        <w:rPr>
          <w:rFonts w:hint="eastAsia" w:eastAsia="仿宋_GB2312"/>
          <w:sz w:val="32"/>
          <w:szCs w:val="32"/>
        </w:rPr>
        <w:t>）：反映卫生和计划生育、中医部门所属的专门收治各类传染病人医院的支出。</w:t>
      </w:r>
    </w:p>
    <w:p>
      <w:pPr>
        <w:spacing w:line="580" w:lineRule="exact"/>
        <w:ind w:firstLine="640" w:firstLineChars="200"/>
        <w:rPr>
          <w:rFonts w:eastAsia="仿宋_GB2312"/>
          <w:sz w:val="32"/>
          <w:szCs w:val="32"/>
        </w:rPr>
      </w:pPr>
      <w:r>
        <w:rPr>
          <w:rFonts w:eastAsia="仿宋_GB2312"/>
          <w:sz w:val="32"/>
          <w:szCs w:val="32"/>
        </w:rPr>
        <w:t xml:space="preserve">24. </w:t>
      </w:r>
      <w:r>
        <w:rPr>
          <w:rFonts w:hint="eastAsia" w:eastAsia="仿宋_GB2312"/>
          <w:sz w:val="32"/>
          <w:szCs w:val="32"/>
        </w:rPr>
        <w:t>精神病医院（</w:t>
      </w:r>
      <w:r>
        <w:rPr>
          <w:rFonts w:eastAsia="仿宋_GB2312"/>
          <w:sz w:val="32"/>
          <w:szCs w:val="32"/>
        </w:rPr>
        <w:t>2100205</w:t>
      </w:r>
      <w:r>
        <w:rPr>
          <w:rFonts w:hint="eastAsia" w:eastAsia="仿宋_GB2312"/>
          <w:sz w:val="32"/>
          <w:szCs w:val="32"/>
        </w:rPr>
        <w:t>）：反映专门收治精神病人医院的支出。</w:t>
      </w:r>
    </w:p>
    <w:p>
      <w:pPr>
        <w:spacing w:line="580" w:lineRule="exact"/>
        <w:ind w:firstLine="640" w:firstLineChars="200"/>
        <w:rPr>
          <w:rFonts w:eastAsia="仿宋_GB2312"/>
          <w:sz w:val="32"/>
          <w:szCs w:val="32"/>
        </w:rPr>
      </w:pPr>
      <w:r>
        <w:rPr>
          <w:rFonts w:eastAsia="仿宋_GB2312"/>
          <w:sz w:val="32"/>
          <w:szCs w:val="32"/>
        </w:rPr>
        <w:t xml:space="preserve">25. </w:t>
      </w:r>
      <w:r>
        <w:rPr>
          <w:rFonts w:hint="eastAsia" w:eastAsia="仿宋_GB2312"/>
          <w:sz w:val="32"/>
          <w:szCs w:val="32"/>
        </w:rPr>
        <w:t>其他公立医院支出（</w:t>
      </w:r>
      <w:r>
        <w:rPr>
          <w:rFonts w:eastAsia="仿宋_GB2312"/>
          <w:sz w:val="32"/>
          <w:szCs w:val="32"/>
        </w:rPr>
        <w:t>2100299</w:t>
      </w:r>
      <w:r>
        <w:rPr>
          <w:rFonts w:hint="eastAsia" w:eastAsia="仿宋_GB2312"/>
          <w:sz w:val="32"/>
          <w:szCs w:val="32"/>
        </w:rPr>
        <w:t>）：反映除上述项目以外的其他用于公立医院方面的支出。</w:t>
      </w:r>
    </w:p>
    <w:p>
      <w:pPr>
        <w:spacing w:line="580" w:lineRule="exact"/>
        <w:ind w:firstLine="640" w:firstLineChars="200"/>
        <w:rPr>
          <w:rFonts w:eastAsia="仿宋_GB2312"/>
          <w:sz w:val="32"/>
          <w:szCs w:val="32"/>
        </w:rPr>
      </w:pPr>
      <w:r>
        <w:rPr>
          <w:rFonts w:eastAsia="仿宋_GB2312"/>
          <w:sz w:val="32"/>
          <w:szCs w:val="32"/>
        </w:rPr>
        <w:t xml:space="preserve">26. </w:t>
      </w:r>
      <w:r>
        <w:rPr>
          <w:rFonts w:hint="eastAsia" w:eastAsia="仿宋_GB2312"/>
          <w:sz w:val="32"/>
          <w:szCs w:val="32"/>
        </w:rPr>
        <w:t>疾病预防控制机构（</w:t>
      </w:r>
      <w:r>
        <w:rPr>
          <w:rFonts w:eastAsia="仿宋_GB2312"/>
          <w:sz w:val="32"/>
          <w:szCs w:val="32"/>
        </w:rPr>
        <w:t>2100401</w:t>
      </w:r>
      <w:r>
        <w:rPr>
          <w:rFonts w:hint="eastAsia" w:eastAsia="仿宋_GB2312"/>
          <w:sz w:val="32"/>
          <w:szCs w:val="32"/>
        </w:rPr>
        <w:t>）：反映卫生和计划生育部门所属疾病预防控制机构的支出。</w:t>
      </w:r>
    </w:p>
    <w:p>
      <w:pPr>
        <w:spacing w:line="580" w:lineRule="exact"/>
        <w:ind w:firstLine="640" w:firstLineChars="200"/>
        <w:rPr>
          <w:rFonts w:eastAsia="仿宋_GB2312"/>
          <w:sz w:val="32"/>
          <w:szCs w:val="32"/>
        </w:rPr>
      </w:pPr>
      <w:r>
        <w:rPr>
          <w:rFonts w:eastAsia="仿宋_GB2312"/>
          <w:sz w:val="32"/>
          <w:szCs w:val="32"/>
        </w:rPr>
        <w:t xml:space="preserve">27. </w:t>
      </w:r>
      <w:r>
        <w:rPr>
          <w:rFonts w:hint="eastAsia" w:eastAsia="仿宋_GB2312"/>
          <w:sz w:val="32"/>
          <w:szCs w:val="32"/>
        </w:rPr>
        <w:t>卫生监督机构（</w:t>
      </w:r>
      <w:r>
        <w:rPr>
          <w:rFonts w:eastAsia="仿宋_GB2312"/>
          <w:sz w:val="32"/>
          <w:szCs w:val="32"/>
        </w:rPr>
        <w:t>2100402</w:t>
      </w:r>
      <w:r>
        <w:rPr>
          <w:rFonts w:hint="eastAsia" w:eastAsia="仿宋_GB2312"/>
          <w:sz w:val="32"/>
          <w:szCs w:val="32"/>
        </w:rPr>
        <w:t>）：反映卫生和计划生育部门所属卫生监督机构的支出。</w:t>
      </w:r>
    </w:p>
    <w:p>
      <w:pPr>
        <w:spacing w:line="580" w:lineRule="exact"/>
        <w:ind w:firstLine="640" w:firstLineChars="200"/>
        <w:rPr>
          <w:rFonts w:eastAsia="仿宋_GB2312"/>
          <w:sz w:val="32"/>
          <w:szCs w:val="32"/>
        </w:rPr>
      </w:pPr>
      <w:r>
        <w:rPr>
          <w:rFonts w:eastAsia="仿宋_GB2312"/>
          <w:sz w:val="32"/>
          <w:szCs w:val="32"/>
        </w:rPr>
        <w:t xml:space="preserve">28. </w:t>
      </w:r>
      <w:r>
        <w:rPr>
          <w:rFonts w:hint="eastAsia" w:eastAsia="仿宋_GB2312"/>
          <w:sz w:val="32"/>
          <w:szCs w:val="32"/>
        </w:rPr>
        <w:t>妇幼保健机构（</w:t>
      </w:r>
      <w:r>
        <w:rPr>
          <w:rFonts w:eastAsia="仿宋_GB2312"/>
          <w:sz w:val="32"/>
          <w:szCs w:val="32"/>
        </w:rPr>
        <w:t>2100403</w:t>
      </w:r>
      <w:r>
        <w:rPr>
          <w:rFonts w:hint="eastAsia" w:eastAsia="仿宋_GB2312"/>
          <w:sz w:val="32"/>
          <w:szCs w:val="32"/>
        </w:rPr>
        <w:t>）：反映卫生和计划生育部门所属妇幼保健机构的支出。</w:t>
      </w:r>
    </w:p>
    <w:p>
      <w:pPr>
        <w:spacing w:line="580" w:lineRule="exact"/>
        <w:ind w:firstLine="640" w:firstLineChars="200"/>
        <w:rPr>
          <w:rFonts w:eastAsia="仿宋_GB2312"/>
          <w:sz w:val="32"/>
          <w:szCs w:val="32"/>
        </w:rPr>
      </w:pPr>
      <w:r>
        <w:rPr>
          <w:rFonts w:eastAsia="仿宋_GB2312"/>
          <w:sz w:val="32"/>
          <w:szCs w:val="32"/>
        </w:rPr>
        <w:t xml:space="preserve">29. </w:t>
      </w:r>
      <w:r>
        <w:rPr>
          <w:rFonts w:hint="eastAsia" w:eastAsia="仿宋_GB2312"/>
          <w:sz w:val="32"/>
          <w:szCs w:val="32"/>
        </w:rPr>
        <w:t>采供血机构（</w:t>
      </w:r>
      <w:r>
        <w:rPr>
          <w:rFonts w:eastAsia="仿宋_GB2312"/>
          <w:sz w:val="32"/>
          <w:szCs w:val="32"/>
        </w:rPr>
        <w:t>2100406</w:t>
      </w:r>
      <w:r>
        <w:rPr>
          <w:rFonts w:hint="eastAsia" w:eastAsia="仿宋_GB2312"/>
          <w:sz w:val="32"/>
          <w:szCs w:val="32"/>
        </w:rPr>
        <w:t>）：反映卫生和计划生育部门所属采供血机构的支出。</w:t>
      </w:r>
    </w:p>
    <w:p>
      <w:pPr>
        <w:spacing w:line="580" w:lineRule="exact"/>
        <w:ind w:firstLine="640" w:firstLineChars="200"/>
        <w:rPr>
          <w:rFonts w:eastAsia="仿宋_GB2312"/>
          <w:sz w:val="32"/>
          <w:szCs w:val="32"/>
        </w:rPr>
      </w:pPr>
      <w:r>
        <w:rPr>
          <w:rFonts w:eastAsia="仿宋_GB2312"/>
          <w:sz w:val="32"/>
          <w:szCs w:val="32"/>
        </w:rPr>
        <w:t xml:space="preserve">30. </w:t>
      </w:r>
      <w:r>
        <w:rPr>
          <w:rFonts w:hint="eastAsia" w:eastAsia="仿宋_GB2312"/>
          <w:sz w:val="32"/>
          <w:szCs w:val="32"/>
        </w:rPr>
        <w:t>重大公共卫生专项（</w:t>
      </w:r>
      <w:r>
        <w:rPr>
          <w:rFonts w:eastAsia="仿宋_GB2312"/>
          <w:sz w:val="32"/>
          <w:szCs w:val="32"/>
        </w:rPr>
        <w:t>2100409</w:t>
      </w:r>
      <w:r>
        <w:rPr>
          <w:rFonts w:hint="eastAsia" w:eastAsia="仿宋_GB2312"/>
          <w:sz w:val="32"/>
          <w:szCs w:val="32"/>
        </w:rPr>
        <w:t>）：反映重大疾病预防控制等重大公共卫生服务项目支出。</w:t>
      </w:r>
    </w:p>
    <w:p>
      <w:pPr>
        <w:spacing w:line="580" w:lineRule="exact"/>
        <w:ind w:firstLine="640" w:firstLineChars="200"/>
        <w:rPr>
          <w:rFonts w:eastAsia="仿宋_GB2312"/>
          <w:sz w:val="32"/>
          <w:szCs w:val="32"/>
        </w:rPr>
      </w:pPr>
      <w:r>
        <w:rPr>
          <w:rFonts w:eastAsia="仿宋_GB2312"/>
          <w:sz w:val="32"/>
          <w:szCs w:val="32"/>
        </w:rPr>
        <w:t xml:space="preserve">31. </w:t>
      </w:r>
      <w:r>
        <w:rPr>
          <w:rFonts w:hint="eastAsia" w:eastAsia="仿宋_GB2312"/>
          <w:sz w:val="32"/>
          <w:szCs w:val="32"/>
        </w:rPr>
        <w:t>其他公共卫生支出（</w:t>
      </w:r>
      <w:r>
        <w:rPr>
          <w:rFonts w:eastAsia="仿宋_GB2312"/>
          <w:sz w:val="32"/>
          <w:szCs w:val="32"/>
        </w:rPr>
        <w:t>2100499</w:t>
      </w:r>
      <w:r>
        <w:rPr>
          <w:rFonts w:hint="eastAsia" w:eastAsia="仿宋_GB2312"/>
          <w:sz w:val="32"/>
          <w:szCs w:val="32"/>
        </w:rPr>
        <w:t>）：反映除上述项目以外的其他用于公共卫生方面的支出。</w:t>
      </w:r>
    </w:p>
    <w:p>
      <w:pPr>
        <w:spacing w:line="580" w:lineRule="exact"/>
        <w:ind w:firstLine="640" w:firstLineChars="200"/>
        <w:rPr>
          <w:rFonts w:eastAsia="仿宋_GB2312"/>
          <w:sz w:val="32"/>
          <w:szCs w:val="32"/>
        </w:rPr>
      </w:pPr>
      <w:r>
        <w:rPr>
          <w:rFonts w:eastAsia="仿宋_GB2312"/>
          <w:sz w:val="32"/>
          <w:szCs w:val="32"/>
        </w:rPr>
        <w:t xml:space="preserve">32. </w:t>
      </w:r>
      <w:r>
        <w:rPr>
          <w:rFonts w:hint="eastAsia" w:eastAsia="仿宋_GB2312"/>
          <w:sz w:val="32"/>
          <w:szCs w:val="32"/>
        </w:rPr>
        <w:t>中医（民族医）药专项（</w:t>
      </w:r>
      <w:r>
        <w:rPr>
          <w:rFonts w:eastAsia="仿宋_GB2312"/>
          <w:sz w:val="32"/>
          <w:szCs w:val="32"/>
        </w:rPr>
        <w:t>2100499</w:t>
      </w:r>
      <w:r>
        <w:rPr>
          <w:rFonts w:hint="eastAsia" w:eastAsia="仿宋_GB2312"/>
          <w:sz w:val="32"/>
          <w:szCs w:val="32"/>
        </w:rPr>
        <w:t>）：反映中医（民族医）药方面的专项支出。</w:t>
      </w:r>
    </w:p>
    <w:p>
      <w:pPr>
        <w:spacing w:line="580" w:lineRule="exact"/>
        <w:ind w:firstLine="640" w:firstLineChars="200"/>
        <w:rPr>
          <w:rFonts w:eastAsia="仿宋_GB2312"/>
          <w:sz w:val="32"/>
          <w:szCs w:val="32"/>
        </w:rPr>
      </w:pPr>
      <w:r>
        <w:rPr>
          <w:rFonts w:eastAsia="仿宋_GB2312"/>
          <w:sz w:val="32"/>
          <w:szCs w:val="32"/>
        </w:rPr>
        <w:t xml:space="preserve">33. </w:t>
      </w:r>
      <w:r>
        <w:rPr>
          <w:rFonts w:hint="eastAsia" w:eastAsia="仿宋_GB2312"/>
          <w:sz w:val="32"/>
          <w:szCs w:val="32"/>
        </w:rPr>
        <w:t>其他中医药支出（</w:t>
      </w:r>
      <w:r>
        <w:rPr>
          <w:rFonts w:eastAsia="仿宋_GB2312"/>
          <w:sz w:val="32"/>
          <w:szCs w:val="32"/>
        </w:rPr>
        <w:t>2100601</w:t>
      </w:r>
      <w:r>
        <w:rPr>
          <w:rFonts w:hint="eastAsia" w:eastAsia="仿宋_GB2312"/>
          <w:sz w:val="32"/>
          <w:szCs w:val="32"/>
        </w:rPr>
        <w:t>）：反映除中医（民族医）药专项支出以外的其他中医药支出。</w:t>
      </w:r>
    </w:p>
    <w:p>
      <w:pPr>
        <w:spacing w:line="580" w:lineRule="exact"/>
        <w:ind w:firstLine="640" w:firstLineChars="200"/>
        <w:rPr>
          <w:rFonts w:eastAsia="仿宋_GB2312"/>
          <w:sz w:val="32"/>
          <w:szCs w:val="32"/>
        </w:rPr>
      </w:pPr>
      <w:r>
        <w:rPr>
          <w:rFonts w:eastAsia="仿宋_GB2312"/>
          <w:sz w:val="32"/>
          <w:szCs w:val="32"/>
        </w:rPr>
        <w:t xml:space="preserve">34. </w:t>
      </w:r>
      <w:r>
        <w:rPr>
          <w:rFonts w:hint="eastAsia" w:eastAsia="仿宋_GB2312"/>
          <w:sz w:val="32"/>
          <w:szCs w:val="32"/>
        </w:rPr>
        <w:t>计划生育服务（</w:t>
      </w:r>
      <w:r>
        <w:rPr>
          <w:rFonts w:eastAsia="仿宋_GB2312"/>
          <w:sz w:val="32"/>
          <w:szCs w:val="32"/>
        </w:rPr>
        <w:t>2100717</w:t>
      </w:r>
      <w:r>
        <w:rPr>
          <w:rFonts w:hint="eastAsia" w:eastAsia="仿宋_GB2312"/>
          <w:sz w:val="32"/>
          <w:szCs w:val="32"/>
        </w:rPr>
        <w:t>）：反映计划生育服务支出。</w:t>
      </w:r>
    </w:p>
    <w:p>
      <w:pPr>
        <w:spacing w:line="580" w:lineRule="exact"/>
        <w:ind w:firstLine="640" w:firstLineChars="200"/>
        <w:rPr>
          <w:rFonts w:eastAsia="仿宋_GB2312"/>
          <w:sz w:val="32"/>
          <w:szCs w:val="32"/>
        </w:rPr>
      </w:pPr>
      <w:r>
        <w:rPr>
          <w:rFonts w:eastAsia="仿宋_GB2312"/>
          <w:sz w:val="32"/>
          <w:szCs w:val="32"/>
        </w:rPr>
        <w:t xml:space="preserve">35. </w:t>
      </w:r>
      <w:r>
        <w:rPr>
          <w:rFonts w:hint="eastAsia" w:eastAsia="仿宋_GB2312"/>
          <w:sz w:val="32"/>
          <w:szCs w:val="32"/>
        </w:rPr>
        <w:t>其他计划生育事务支出（</w:t>
      </w:r>
      <w:r>
        <w:rPr>
          <w:rFonts w:eastAsia="仿宋_GB2312"/>
          <w:sz w:val="32"/>
          <w:szCs w:val="32"/>
        </w:rPr>
        <w:t>2100799</w:t>
      </w:r>
      <w:r>
        <w:rPr>
          <w:rFonts w:hint="eastAsia" w:eastAsia="仿宋_GB2312"/>
          <w:sz w:val="32"/>
          <w:szCs w:val="32"/>
        </w:rPr>
        <w:t>）：反映除上述项目以外其他用于计划生育管理事务方面的支出。</w:t>
      </w:r>
    </w:p>
    <w:p>
      <w:pPr>
        <w:spacing w:line="580" w:lineRule="exact"/>
        <w:ind w:firstLine="640" w:firstLineChars="200"/>
        <w:rPr>
          <w:rFonts w:eastAsia="仿宋_GB2312"/>
          <w:sz w:val="32"/>
          <w:szCs w:val="32"/>
        </w:rPr>
      </w:pPr>
      <w:r>
        <w:rPr>
          <w:rFonts w:eastAsia="仿宋_GB2312"/>
          <w:sz w:val="32"/>
          <w:szCs w:val="32"/>
        </w:rPr>
        <w:t>36</w:t>
      </w:r>
      <w:r>
        <w:rPr>
          <w:rFonts w:hint="eastAsia" w:eastAsia="仿宋_GB2312"/>
          <w:sz w:val="32"/>
          <w:szCs w:val="32"/>
        </w:rPr>
        <w:t>．其他医疗卫生与计划生育支出（</w:t>
      </w:r>
      <w:r>
        <w:rPr>
          <w:rFonts w:eastAsia="仿宋_GB2312"/>
          <w:sz w:val="32"/>
          <w:szCs w:val="32"/>
        </w:rPr>
        <w:t>2109901</w:t>
      </w:r>
      <w:r>
        <w:rPr>
          <w:rFonts w:hint="eastAsia" w:eastAsia="仿宋_GB2312"/>
          <w:sz w:val="32"/>
          <w:szCs w:val="32"/>
        </w:rPr>
        <w:t>）：指反映除上述项目以外其他用于医疗卫生与计划生育方面的支出。</w:t>
      </w:r>
    </w:p>
    <w:p>
      <w:pPr>
        <w:spacing w:line="580" w:lineRule="exact"/>
        <w:ind w:firstLine="640" w:firstLineChars="200"/>
        <w:rPr>
          <w:rFonts w:eastAsia="仿宋_GB2312"/>
          <w:sz w:val="32"/>
          <w:szCs w:val="32"/>
        </w:rPr>
      </w:pPr>
      <w:r>
        <w:rPr>
          <w:rFonts w:eastAsia="仿宋_GB2312"/>
          <w:sz w:val="32"/>
          <w:szCs w:val="32"/>
        </w:rPr>
        <w:t xml:space="preserve">37. </w:t>
      </w:r>
      <w:r>
        <w:rPr>
          <w:rFonts w:hint="eastAsia" w:eastAsia="仿宋_GB2312"/>
          <w:sz w:val="32"/>
          <w:szCs w:val="32"/>
        </w:rPr>
        <w:t>其他水利支出（</w:t>
      </w:r>
      <w:r>
        <w:rPr>
          <w:rFonts w:eastAsia="仿宋_GB2312"/>
          <w:sz w:val="32"/>
          <w:szCs w:val="32"/>
        </w:rPr>
        <w:t>2130399</w:t>
      </w:r>
      <w:r>
        <w:rPr>
          <w:rFonts w:hint="eastAsia" w:eastAsia="仿宋_GB2312"/>
          <w:sz w:val="32"/>
          <w:szCs w:val="32"/>
        </w:rPr>
        <w:t>）：反映除上述项目以外其他用于水利方面的支出。</w:t>
      </w:r>
    </w:p>
    <w:p>
      <w:pPr>
        <w:spacing w:line="580" w:lineRule="exact"/>
        <w:ind w:firstLine="640" w:firstLineChars="200"/>
        <w:rPr>
          <w:rFonts w:eastAsia="仿宋_GB2312"/>
          <w:sz w:val="32"/>
          <w:szCs w:val="32"/>
        </w:rPr>
      </w:pPr>
      <w:r>
        <w:rPr>
          <w:rFonts w:eastAsia="仿宋_GB2312"/>
          <w:sz w:val="32"/>
          <w:szCs w:val="32"/>
        </w:rPr>
        <w:t xml:space="preserve">38. </w:t>
      </w:r>
      <w:r>
        <w:rPr>
          <w:rFonts w:hint="eastAsia" w:eastAsia="仿宋_GB2312"/>
          <w:sz w:val="32"/>
          <w:szCs w:val="32"/>
        </w:rPr>
        <w:t>住房公积金（</w:t>
      </w:r>
      <w:r>
        <w:rPr>
          <w:rFonts w:eastAsia="仿宋_GB2312"/>
          <w:sz w:val="32"/>
          <w:szCs w:val="32"/>
        </w:rPr>
        <w:t>2210201</w:t>
      </w:r>
      <w:r>
        <w:rPr>
          <w:rFonts w:hint="eastAsia" w:eastAsia="仿宋_GB2312"/>
          <w:sz w:val="32"/>
          <w:szCs w:val="32"/>
        </w:rPr>
        <w:t>）：反映行政事业单位按人力资源和社会保障部、财政部规定的基本工资和津贴补贴以及规定比例为职工缴纳的住房公积金。</w:t>
      </w:r>
    </w:p>
    <w:p>
      <w:pPr>
        <w:spacing w:line="580" w:lineRule="exact"/>
        <w:ind w:firstLine="640" w:firstLineChars="200"/>
        <w:rPr>
          <w:rFonts w:eastAsia="仿宋_GB2312"/>
          <w:sz w:val="32"/>
          <w:szCs w:val="32"/>
        </w:rPr>
      </w:pPr>
      <w:r>
        <w:rPr>
          <w:rFonts w:eastAsia="仿宋_GB2312"/>
          <w:sz w:val="32"/>
          <w:szCs w:val="32"/>
        </w:rPr>
        <w:t xml:space="preserve">39. </w:t>
      </w:r>
      <w:r>
        <w:rPr>
          <w:rFonts w:hint="eastAsia" w:eastAsia="仿宋_GB2312"/>
          <w:sz w:val="32"/>
          <w:szCs w:val="32"/>
        </w:rPr>
        <w:t>其他支出（</w:t>
      </w:r>
      <w:r>
        <w:rPr>
          <w:rFonts w:eastAsia="仿宋_GB2312"/>
          <w:sz w:val="32"/>
          <w:szCs w:val="32"/>
        </w:rPr>
        <w:t>2299901</w:t>
      </w:r>
      <w:r>
        <w:rPr>
          <w:rFonts w:hint="eastAsia" w:eastAsia="仿宋_GB2312"/>
          <w:sz w:val="32"/>
          <w:szCs w:val="32"/>
        </w:rPr>
        <w:t>）：指反映除上述项目以外其他不能划分到具体功能科目中的支出项目。</w:t>
      </w:r>
    </w:p>
    <w:p>
      <w:pPr>
        <w:spacing w:line="580" w:lineRule="exact"/>
        <w:ind w:firstLine="640" w:firstLineChars="200"/>
        <w:rPr>
          <w:rFonts w:eastAsia="仿宋_GB2312"/>
          <w:sz w:val="32"/>
          <w:szCs w:val="32"/>
        </w:rPr>
      </w:pPr>
      <w:r>
        <w:rPr>
          <w:rFonts w:eastAsia="仿宋_GB2312"/>
          <w:sz w:val="32"/>
          <w:szCs w:val="32"/>
        </w:rPr>
        <w:t>40.</w:t>
      </w:r>
      <w:r>
        <w:rPr>
          <w:rFonts w:hint="eastAsia" w:eastAsia="仿宋_GB2312"/>
          <w:sz w:val="32"/>
          <w:szCs w:val="32"/>
        </w:rPr>
        <w:t>基本支出：指为保障机构正常运转、完成日常工作任务而发生的人员支出和公用支出。</w:t>
      </w:r>
    </w:p>
    <w:p>
      <w:pPr>
        <w:spacing w:line="580" w:lineRule="exact"/>
        <w:ind w:firstLine="640" w:firstLineChars="200"/>
        <w:rPr>
          <w:rFonts w:eastAsia="仿宋_GB2312"/>
          <w:sz w:val="32"/>
          <w:szCs w:val="32"/>
        </w:rPr>
      </w:pPr>
      <w:r>
        <w:rPr>
          <w:rFonts w:eastAsia="仿宋_GB2312"/>
          <w:sz w:val="32"/>
          <w:szCs w:val="32"/>
        </w:rPr>
        <w:t>41.</w:t>
      </w:r>
      <w:r>
        <w:rPr>
          <w:rFonts w:hint="eastAsia" w:eastAsia="仿宋_GB2312"/>
          <w:sz w:val="32"/>
          <w:szCs w:val="32"/>
        </w:rPr>
        <w:t>项目支出：指在基本支出之外为完成特定行政任务和事业发展目标所发生的支出。</w:t>
      </w:r>
      <w:r>
        <w:rPr>
          <w:rFonts w:eastAsia="仿宋_GB2312"/>
          <w:sz w:val="32"/>
          <w:szCs w:val="32"/>
        </w:rPr>
        <w:t xml:space="preserve"> </w:t>
      </w:r>
    </w:p>
    <w:p>
      <w:pPr>
        <w:spacing w:line="580" w:lineRule="exact"/>
        <w:ind w:firstLine="640" w:firstLineChars="200"/>
        <w:rPr>
          <w:rFonts w:eastAsia="仿宋_GB2312"/>
          <w:sz w:val="32"/>
          <w:szCs w:val="32"/>
        </w:rPr>
      </w:pPr>
      <w:r>
        <w:rPr>
          <w:rFonts w:eastAsia="仿宋_GB2312"/>
          <w:sz w:val="32"/>
          <w:szCs w:val="32"/>
        </w:rPr>
        <w:t>42.</w:t>
      </w:r>
      <w:r>
        <w:rPr>
          <w:rFonts w:hint="eastAsia" w:eastAsia="仿宋_GB2312"/>
          <w:sz w:val="32"/>
          <w:szCs w:val="32"/>
        </w:rPr>
        <w:t>经营支出：指事业单位在专业业务活动及其辅助活动之外开展非独立核算经营活动发生的支出。</w:t>
      </w:r>
    </w:p>
    <w:p>
      <w:pPr>
        <w:spacing w:line="580" w:lineRule="exact"/>
        <w:ind w:firstLine="640" w:firstLineChars="200"/>
        <w:rPr>
          <w:rFonts w:eastAsia="仿宋_GB2312"/>
          <w:sz w:val="32"/>
          <w:szCs w:val="32"/>
        </w:rPr>
      </w:pPr>
      <w:r>
        <w:rPr>
          <w:rFonts w:eastAsia="仿宋_GB2312"/>
          <w:sz w:val="32"/>
          <w:szCs w:val="32"/>
        </w:rPr>
        <w:t>43.</w:t>
      </w:r>
      <w:r>
        <w:rPr>
          <w:rFonts w:hint="eastAsia"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640" w:firstLineChars="200"/>
        <w:rPr>
          <w:rFonts w:eastAsia="仿宋_GB2312"/>
          <w:sz w:val="32"/>
          <w:szCs w:val="32"/>
        </w:rPr>
      </w:pPr>
      <w:r>
        <w:rPr>
          <w:rFonts w:eastAsia="仿宋_GB2312"/>
          <w:sz w:val="32"/>
          <w:szCs w:val="32"/>
        </w:rPr>
        <w:t>44.</w:t>
      </w:r>
      <w:r>
        <w:rPr>
          <w:rFonts w:hint="eastAsia"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黑体" w:hAnsi="黑体" w:eastAsia="黑体"/>
          <w:color w:val="000000"/>
          <w:sz w:val="44"/>
          <w:szCs w:val="44"/>
        </w:rPr>
      </w:pPr>
      <w:bookmarkStart w:id="97" w:name="_Toc15396614"/>
      <w:bookmarkStart w:id="98" w:name="_Toc15377226"/>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rPr>
          <w:rFonts w:ascii="黑体" w:hAnsi="黑体" w:eastAsia="黑体"/>
          <w:color w:val="000000"/>
          <w:sz w:val="44"/>
          <w:szCs w:val="44"/>
        </w:rPr>
      </w:pPr>
    </w:p>
    <w:p>
      <w:pPr>
        <w:spacing w:line="600" w:lineRule="exact"/>
        <w:jc w:val="center"/>
        <w:outlineLvl w:val="0"/>
        <w:rPr>
          <w:rStyle w:val="17"/>
          <w:rFonts w:ascii="黑体" w:hAnsi="黑体" w:eastAsia="黑体"/>
          <w:b w:val="0"/>
        </w:rPr>
      </w:pPr>
      <w:bookmarkStart w:id="99" w:name="_Toc22125"/>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97"/>
      <w:bookmarkEnd w:id="99"/>
    </w:p>
    <w:p>
      <w:pPr>
        <w:spacing w:line="600" w:lineRule="exact"/>
        <w:jc w:val="left"/>
        <w:outlineLvl w:val="0"/>
        <w:rPr>
          <w:rFonts w:ascii="方正小标宋简体" w:hAnsi="方正小标宋简体" w:eastAsia="方正小标宋简体" w:cs="方正小标宋简体"/>
          <w:sz w:val="32"/>
          <w:szCs w:val="32"/>
        </w:rPr>
      </w:pPr>
      <w:bookmarkStart w:id="100" w:name="_Toc9029"/>
      <w:r>
        <w:rPr>
          <w:rFonts w:hint="eastAsia" w:ascii="黑体" w:hAnsi="黑体" w:eastAsia="黑体" w:cs="黑体"/>
          <w:sz w:val="32"/>
          <w:szCs w:val="32"/>
        </w:rPr>
        <w:t>附件</w:t>
      </w:r>
      <w:r>
        <w:rPr>
          <w:rFonts w:ascii="黑体" w:hAnsi="黑体" w:eastAsia="黑体" w:cs="黑体"/>
          <w:sz w:val="32"/>
          <w:szCs w:val="32"/>
        </w:rPr>
        <w:t>1</w:t>
      </w:r>
      <w:bookmarkEnd w:id="100"/>
    </w:p>
    <w:p>
      <w:pPr>
        <w:spacing w:line="580" w:lineRule="exact"/>
        <w:jc w:val="center"/>
        <w:rPr>
          <w:rFonts w:ascii="方正小标宋简体" w:hAnsi="方正小标宋简体" w:eastAsia="方正小标宋简体" w:cs="方正小标宋简体"/>
          <w:sz w:val="44"/>
          <w:szCs w:val="44"/>
        </w:rPr>
      </w:pPr>
    </w:p>
    <w:p>
      <w:pPr>
        <w:spacing w:line="720" w:lineRule="exact"/>
        <w:ind w:firstLine="16" w:firstLineChars="4"/>
        <w:jc w:val="center"/>
        <w:rPr>
          <w:rFonts w:ascii="方正小标宋简体" w:eastAsia="方正小标宋简体"/>
          <w:sz w:val="44"/>
          <w:szCs w:val="44"/>
        </w:rPr>
      </w:pPr>
      <w:r>
        <w:rPr>
          <w:rFonts w:hint="eastAsia" w:eastAsia="方正小标宋简体"/>
          <w:color w:val="000000"/>
          <w:kern w:val="0"/>
          <w:sz w:val="40"/>
          <w:szCs w:val="44"/>
        </w:rPr>
        <w:t>攀枝花市卫生健康委员会</w:t>
      </w:r>
      <w:r>
        <w:rPr>
          <w:rFonts w:ascii="方正小标宋简体" w:eastAsia="方正小标宋简体"/>
          <w:sz w:val="44"/>
          <w:szCs w:val="44"/>
        </w:rPr>
        <w:t>2020</w:t>
      </w:r>
      <w:r>
        <w:rPr>
          <w:rFonts w:hint="eastAsia" w:ascii="方正小标宋简体" w:eastAsia="方正小标宋简体"/>
          <w:sz w:val="44"/>
          <w:szCs w:val="44"/>
        </w:rPr>
        <w:t>年预算整体绩效评价自评报告</w:t>
      </w:r>
    </w:p>
    <w:p>
      <w:pPr>
        <w:pStyle w:val="8"/>
        <w:spacing w:line="600" w:lineRule="exact"/>
        <w:ind w:firstLine="640" w:firstLineChars="200"/>
        <w:jc w:val="left"/>
        <w:rPr>
          <w:rFonts w:ascii="Times New Roman" w:hAnsi="Times New Roman" w:eastAsia="仿宋_GB2312"/>
          <w:sz w:val="32"/>
          <w:szCs w:val="32"/>
        </w:rPr>
      </w:pPr>
    </w:p>
    <w:p>
      <w:pPr>
        <w:pStyle w:val="8"/>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一、部门概况</w:t>
      </w:r>
    </w:p>
    <w:p>
      <w:pPr>
        <w:snapToGrid w:val="0"/>
        <w:spacing w:line="600" w:lineRule="exact"/>
        <w:ind w:firstLine="640"/>
        <w:rPr>
          <w:rFonts w:ascii="仿宋_GB2312" w:hAnsi="FZFSK--GBK1-0" w:eastAsia="仿宋_GB2312"/>
          <w:color w:val="000000"/>
          <w:sz w:val="32"/>
          <w:szCs w:val="32"/>
        </w:rPr>
      </w:pPr>
      <w:r>
        <w:rPr>
          <w:rFonts w:hint="eastAsia" w:ascii="仿宋_GB2312" w:hAnsi="FZFSK--GBK1-0" w:eastAsia="仿宋_GB2312"/>
          <w:color w:val="000000"/>
          <w:sz w:val="32"/>
          <w:szCs w:val="32"/>
        </w:rPr>
        <w:t>市卫生健康委贯彻落实党中央关于卫生健康工作的方针政策和省委、市委决策部署，在履行职责过程中坚持和加强党对卫生健康工作的集中统一领导。</w:t>
      </w:r>
    </w:p>
    <w:p>
      <w:pPr>
        <w:snapToGrid w:val="0"/>
        <w:spacing w:line="600" w:lineRule="exact"/>
        <w:ind w:firstLine="640"/>
        <w:rPr>
          <w:rFonts w:ascii="楷体_GB2312" w:hAnsi="FZFSK--GBK1-0" w:eastAsia="楷体_GB2312"/>
          <w:b/>
          <w:bCs/>
          <w:color w:val="000000"/>
          <w:sz w:val="32"/>
          <w:szCs w:val="32"/>
        </w:rPr>
      </w:pPr>
      <w:r>
        <w:rPr>
          <w:rFonts w:hint="eastAsia" w:ascii="楷体_GB2312" w:hAnsi="FZFSK--GBK1-0" w:eastAsia="楷体_GB2312"/>
          <w:b/>
          <w:bCs/>
          <w:color w:val="000000"/>
          <w:sz w:val="32"/>
          <w:szCs w:val="32"/>
        </w:rPr>
        <w:t>（一）主要职责。</w:t>
      </w:r>
    </w:p>
    <w:p>
      <w:pPr>
        <w:snapToGrid w:val="0"/>
        <w:spacing w:line="600" w:lineRule="exact"/>
        <w:ind w:firstLine="640"/>
        <w:rPr>
          <w:rFonts w:ascii="仿宋_GB2312" w:eastAsia="仿宋_GB2312"/>
          <w:sz w:val="32"/>
          <w:szCs w:val="32"/>
        </w:rPr>
      </w:pPr>
      <w:r>
        <w:rPr>
          <w:rFonts w:hint="eastAsia" w:ascii="仿宋_GB2312" w:hAnsi="仿宋" w:eastAsia="仿宋_GB2312"/>
          <w:sz w:val="32"/>
          <w:szCs w:val="32"/>
        </w:rPr>
        <w:t>1.</w:t>
      </w:r>
      <w:r>
        <w:rPr>
          <w:rStyle w:val="32"/>
          <w:rFonts w:hint="default" w:ascii="仿宋_GB2312" w:eastAsia="仿宋_GB2312"/>
          <w:sz w:val="32"/>
          <w:szCs w:val="32"/>
        </w:rPr>
        <w:t>组织拟订全市卫生健康政策。负责拟订卫生健康事业发展政策、规划并组织实施。统筹规划全市卫生健康资源配置。制定并组织实施推进卫生健康基本公共服务均等化、普惠化、便捷化和公共资源向基层延伸等政策措施。</w:t>
      </w:r>
      <w:r>
        <w:rPr>
          <w:rFonts w:ascii="仿宋_GB2312" w:eastAsia="仿宋_GB2312"/>
          <w:sz w:val="32"/>
          <w:szCs w:val="32"/>
        </w:rPr>
        <w:t xml:space="preserve"> </w:t>
      </w:r>
    </w:p>
    <w:p>
      <w:pPr>
        <w:snapToGrid w:val="0"/>
        <w:spacing w:line="600" w:lineRule="exact"/>
        <w:ind w:firstLine="640"/>
        <w:rPr>
          <w:rFonts w:ascii="仿宋_GB2312" w:eastAsia="仿宋_GB2312"/>
          <w:sz w:val="32"/>
          <w:szCs w:val="32"/>
        </w:rPr>
      </w:pPr>
      <w:r>
        <w:rPr>
          <w:rFonts w:ascii="仿宋_GB2312" w:hAnsi="仿宋" w:eastAsia="仿宋_GB2312"/>
          <w:sz w:val="32"/>
          <w:szCs w:val="32"/>
        </w:rPr>
        <w:t>2.</w:t>
      </w:r>
      <w:r>
        <w:rPr>
          <w:rStyle w:val="32"/>
          <w:rFonts w:hint="default" w:ascii="仿宋_GB2312" w:eastAsia="仿宋_GB2312"/>
          <w:sz w:val="32"/>
          <w:szCs w:val="32"/>
        </w:rPr>
        <w:t>牵头推进全市深化医药卫生体制改革。研究提出深化改革重大政策、措施的建议。组织深化公立医院综合改革，建立健全现代医院管理制度。制定并组织实施推动卫生健康公共服务提供主体多元化、提供方式多样化的政策措施。</w:t>
      </w:r>
    </w:p>
    <w:p>
      <w:pPr>
        <w:snapToGrid w:val="0"/>
        <w:spacing w:line="600" w:lineRule="exact"/>
        <w:ind w:firstLine="640"/>
        <w:rPr>
          <w:rFonts w:ascii="仿宋_GB2312" w:hAnsi="仿宋" w:eastAsia="仿宋_GB2312"/>
          <w:sz w:val="32"/>
          <w:szCs w:val="32"/>
        </w:rPr>
      </w:pPr>
      <w:r>
        <w:rPr>
          <w:rFonts w:ascii="仿宋_GB2312" w:hAnsi="仿宋" w:eastAsia="仿宋_GB2312"/>
          <w:sz w:val="32"/>
          <w:szCs w:val="32"/>
        </w:rPr>
        <w:t>3.</w:t>
      </w:r>
      <w:r>
        <w:rPr>
          <w:rStyle w:val="32"/>
          <w:rFonts w:hint="default" w:ascii="仿宋_GB2312" w:eastAsia="仿宋_GB2312"/>
          <w:sz w:val="32"/>
          <w:szCs w:val="32"/>
        </w:rPr>
        <w:t>制定并组织落实全市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收集、报告法定传染病疫情信息、突发公共卫生事件应急处置信息。依照国家检疫传染病和监测传染病目录，参与开展检疫监测工作。</w:t>
      </w:r>
    </w:p>
    <w:p>
      <w:pPr>
        <w:snapToGrid w:val="0"/>
        <w:spacing w:line="600" w:lineRule="exact"/>
        <w:ind w:firstLine="640"/>
        <w:rPr>
          <w:rFonts w:ascii="仿宋_GB2312" w:hAnsi="仿宋" w:eastAsia="仿宋_GB2312"/>
          <w:sz w:val="32"/>
          <w:szCs w:val="32"/>
        </w:rPr>
      </w:pPr>
      <w:r>
        <w:rPr>
          <w:rFonts w:ascii="仿宋_GB2312" w:hAnsi="仿宋" w:eastAsia="仿宋_GB2312"/>
          <w:sz w:val="32"/>
          <w:szCs w:val="32"/>
        </w:rPr>
        <w:t>4.</w:t>
      </w:r>
      <w:r>
        <w:rPr>
          <w:rStyle w:val="32"/>
          <w:rFonts w:hint="default" w:ascii="仿宋_GB2312" w:eastAsia="仿宋_GB2312"/>
          <w:sz w:val="32"/>
          <w:szCs w:val="32"/>
        </w:rPr>
        <w:t>贯彻落实国家应对人口老龄化政策措施。负责推进老年健</w:t>
      </w:r>
      <w:r>
        <w:rPr>
          <w:rStyle w:val="32"/>
          <w:rFonts w:hint="default" w:ascii="仿宋_GB2312" w:eastAsia="仿宋_GB2312"/>
          <w:spacing w:val="-8"/>
          <w:sz w:val="32"/>
          <w:szCs w:val="32"/>
        </w:rPr>
        <w:t>康服务体系建设和医养结合工作。承担市老龄工作委员会日常工作。</w:t>
      </w:r>
    </w:p>
    <w:p>
      <w:pPr>
        <w:snapToGrid w:val="0"/>
        <w:spacing w:line="600" w:lineRule="exact"/>
        <w:ind w:firstLine="640"/>
        <w:rPr>
          <w:rStyle w:val="32"/>
          <w:rFonts w:hint="default" w:ascii="仿宋_GB2312" w:eastAsia="仿宋_GB2312"/>
          <w:sz w:val="32"/>
          <w:szCs w:val="32"/>
        </w:rPr>
      </w:pPr>
      <w:r>
        <w:rPr>
          <w:rFonts w:ascii="仿宋_GB2312" w:hAnsi="仿宋" w:eastAsia="仿宋_GB2312"/>
          <w:sz w:val="32"/>
          <w:szCs w:val="32"/>
        </w:rPr>
        <w:t>5.</w:t>
      </w:r>
      <w:r>
        <w:rPr>
          <w:rStyle w:val="32"/>
          <w:rFonts w:hint="default" w:ascii="仿宋_GB2312" w:eastAsia="仿宋_GB2312"/>
          <w:sz w:val="32"/>
          <w:szCs w:val="32"/>
        </w:rPr>
        <w:t>贯彻落实国家药物政策和国家基本药物制度。开展药械使用监测、临床综合评价和短缺药品预警，组织执行国家药典和国家基本药物目录，制定基本药物使用的政策措施。</w:t>
      </w:r>
    </w:p>
    <w:p>
      <w:pPr>
        <w:snapToGrid w:val="0"/>
        <w:spacing w:line="600" w:lineRule="exact"/>
        <w:ind w:firstLine="400"/>
        <w:rPr>
          <w:rStyle w:val="32"/>
          <w:rFonts w:hint="default" w:ascii="仿宋_GB2312" w:eastAsia="仿宋_GB2312"/>
          <w:sz w:val="32"/>
          <w:szCs w:val="32"/>
        </w:rPr>
      </w:pPr>
      <w:r>
        <w:t xml:space="preserve">  </w:t>
      </w:r>
      <w:r>
        <w:rPr>
          <w:rFonts w:ascii="仿宋_GB2312" w:hAnsi="仿宋" w:eastAsia="仿宋_GB2312"/>
          <w:sz w:val="32"/>
          <w:szCs w:val="32"/>
        </w:rPr>
        <w:t>6.</w:t>
      </w:r>
      <w:r>
        <w:rPr>
          <w:rStyle w:val="32"/>
          <w:rFonts w:hint="default" w:ascii="仿宋_GB2312" w:eastAsia="仿宋_GB2312"/>
          <w:sz w:val="32"/>
          <w:szCs w:val="32"/>
        </w:rPr>
        <w:t>组织实施食品安全风险监测，开展食品安全企业标准备案，组织开展食品安全事故流行病学调查。</w:t>
      </w:r>
    </w:p>
    <w:p>
      <w:pPr>
        <w:snapToGrid w:val="0"/>
        <w:spacing w:line="600" w:lineRule="exact"/>
        <w:ind w:firstLine="400"/>
      </w:pPr>
      <w:r>
        <w:t xml:space="preserve">  </w:t>
      </w:r>
      <w:r>
        <w:rPr>
          <w:rFonts w:ascii="仿宋_GB2312" w:hAnsi="仿宋" w:eastAsia="仿宋_GB2312"/>
          <w:sz w:val="32"/>
          <w:szCs w:val="32"/>
        </w:rPr>
        <w:t>7.</w:t>
      </w:r>
      <w:r>
        <w:rPr>
          <w:rStyle w:val="32"/>
          <w:rFonts w:hint="default" w:ascii="仿宋_GB2312" w:eastAsia="仿宋_GB2312"/>
          <w:sz w:val="32"/>
          <w:szCs w:val="32"/>
        </w:rPr>
        <w:t>负责职责范围内的职业卫生、放射卫生、环境卫生、学校卫生、公共场所卫生、饮用水卫生等公共卫生的监督管理。负责传染病防治监督，健全卫生健康综合监管体系。</w:t>
      </w:r>
      <w:r>
        <w:t xml:space="preserve"> </w:t>
      </w:r>
    </w:p>
    <w:p>
      <w:pPr>
        <w:snapToGrid w:val="0"/>
        <w:spacing w:line="600" w:lineRule="exact"/>
        <w:ind w:firstLine="640"/>
        <w:rPr>
          <w:rFonts w:ascii="仿宋_GB2312" w:hAnsi="仿宋" w:eastAsia="仿宋_GB2312"/>
          <w:sz w:val="32"/>
          <w:szCs w:val="32"/>
        </w:rPr>
      </w:pPr>
      <w:r>
        <w:rPr>
          <w:rFonts w:ascii="仿宋_GB2312" w:hAnsi="仿宋" w:eastAsia="仿宋_GB2312"/>
          <w:sz w:val="32"/>
          <w:szCs w:val="32"/>
        </w:rPr>
        <w:t>8.</w:t>
      </w:r>
      <w:r>
        <w:rPr>
          <w:rStyle w:val="32"/>
          <w:rFonts w:hint="default" w:ascii="仿宋_GB2312" w:eastAsia="仿宋_GB2312"/>
          <w:sz w:val="32"/>
          <w:szCs w:val="32"/>
        </w:rPr>
        <w:t>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snapToGrid w:val="0"/>
        <w:spacing w:line="600" w:lineRule="exact"/>
        <w:ind w:firstLine="640"/>
        <w:rPr>
          <w:rFonts w:ascii="仿宋_GB2312" w:eastAsia="仿宋_GB2312"/>
          <w:sz w:val="32"/>
          <w:szCs w:val="32"/>
        </w:rPr>
      </w:pPr>
      <w:r>
        <w:rPr>
          <w:rFonts w:ascii="仿宋_GB2312" w:hAnsi="仿宋" w:eastAsia="仿宋_GB2312"/>
          <w:sz w:val="32"/>
          <w:szCs w:val="32"/>
        </w:rPr>
        <w:t>9.</w:t>
      </w:r>
      <w:r>
        <w:rPr>
          <w:rStyle w:val="32"/>
          <w:rFonts w:hint="default" w:ascii="仿宋_GB2312" w:eastAsia="仿宋_GB2312"/>
          <w:sz w:val="32"/>
          <w:szCs w:val="32"/>
        </w:rPr>
        <w:t>制定全市中医药中长期发展规划，并纳入卫生健康事业发展总体规划和战略目标予以组织实施。</w:t>
      </w:r>
      <w:r>
        <w:rPr>
          <w:rFonts w:ascii="仿宋_GB2312" w:eastAsia="仿宋_GB2312"/>
          <w:sz w:val="32"/>
          <w:szCs w:val="32"/>
        </w:rPr>
        <w:t xml:space="preserve"> </w:t>
      </w:r>
    </w:p>
    <w:p>
      <w:pPr>
        <w:snapToGrid w:val="0"/>
        <w:spacing w:line="600" w:lineRule="exact"/>
        <w:ind w:firstLine="640"/>
        <w:rPr>
          <w:rStyle w:val="32"/>
          <w:rFonts w:hint="default" w:ascii="仿宋_GB2312" w:eastAsia="仿宋_GB2312"/>
          <w:sz w:val="32"/>
          <w:szCs w:val="32"/>
        </w:rPr>
      </w:pPr>
      <w:r>
        <w:rPr>
          <w:rFonts w:ascii="仿宋_GB2312" w:hAnsi="仿宋" w:eastAsia="仿宋_GB2312"/>
          <w:sz w:val="32"/>
          <w:szCs w:val="32"/>
        </w:rPr>
        <w:t>10.</w:t>
      </w:r>
      <w:r>
        <w:rPr>
          <w:rStyle w:val="32"/>
          <w:rFonts w:hint="default" w:ascii="仿宋_GB2312" w:eastAsia="仿宋_GB2312"/>
          <w:sz w:val="32"/>
          <w:szCs w:val="32"/>
        </w:rPr>
        <w:t>负责全市计划生育管理和服务工作，开展人口监测预警，研究提出人口与家庭发展相关政策建议，执行计划生育政策。指导市计划生育协会的业务工作。</w:t>
      </w:r>
    </w:p>
    <w:p>
      <w:pPr>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11.</w:t>
      </w:r>
      <w:r>
        <w:rPr>
          <w:rStyle w:val="32"/>
          <w:rFonts w:hint="default" w:ascii="仿宋_GB2312" w:eastAsia="仿宋_GB2312"/>
          <w:sz w:val="32"/>
          <w:szCs w:val="32"/>
        </w:rPr>
        <w:t>指导县（区）卫生健康工作。指导基层医疗卫生、妇幼</w:t>
      </w:r>
      <w:r>
        <w:rPr>
          <w:rStyle w:val="32"/>
          <w:rFonts w:hint="default" w:ascii="仿宋_GB2312" w:eastAsia="仿宋_GB2312"/>
          <w:spacing w:val="-6"/>
          <w:sz w:val="32"/>
          <w:szCs w:val="32"/>
        </w:rPr>
        <w:t>健康服务体系和基层卫生队伍建设。推进卫生健康科技创新发展。</w:t>
      </w:r>
    </w:p>
    <w:p>
      <w:pPr>
        <w:snapToGrid w:val="0"/>
        <w:spacing w:line="600" w:lineRule="exact"/>
        <w:ind w:firstLine="640"/>
        <w:rPr>
          <w:rFonts w:ascii="仿宋_GB2312" w:eastAsia="仿宋_GB2312"/>
          <w:sz w:val="32"/>
          <w:szCs w:val="32"/>
        </w:rPr>
      </w:pPr>
      <w:r>
        <w:rPr>
          <w:rFonts w:ascii="仿宋_GB2312" w:hAnsi="仿宋" w:eastAsia="仿宋_GB2312"/>
          <w:sz w:val="32"/>
          <w:szCs w:val="32"/>
        </w:rPr>
        <w:t>12.</w:t>
      </w:r>
      <w:r>
        <w:rPr>
          <w:rStyle w:val="32"/>
          <w:rFonts w:hint="default" w:ascii="仿宋_GB2312" w:eastAsia="仿宋_GB2312"/>
          <w:sz w:val="32"/>
          <w:szCs w:val="32"/>
        </w:rPr>
        <w:t>负责市确定的保健对象的医疗保健工作，负责市级有关部门（单位）离休干部医疗管理工作。负责重要会议与重大活动的医疗卫生保障工作。</w:t>
      </w:r>
      <w:r>
        <w:rPr>
          <w:rFonts w:ascii="仿宋_GB2312" w:eastAsia="仿宋_GB2312"/>
          <w:sz w:val="32"/>
          <w:szCs w:val="32"/>
        </w:rPr>
        <w:t xml:space="preserve"> </w:t>
      </w:r>
    </w:p>
    <w:p>
      <w:pPr>
        <w:snapToGrid w:val="0"/>
        <w:spacing w:line="600" w:lineRule="exact"/>
        <w:ind w:firstLine="640"/>
      </w:pPr>
      <w:r>
        <w:rPr>
          <w:rFonts w:ascii="仿宋_GB2312" w:hAnsi="仿宋" w:eastAsia="仿宋_GB2312"/>
          <w:sz w:val="32"/>
          <w:szCs w:val="32"/>
        </w:rPr>
        <w:t>13.</w:t>
      </w:r>
      <w:r>
        <w:rPr>
          <w:rStyle w:val="32"/>
          <w:rFonts w:hint="default" w:ascii="仿宋_GB2312" w:eastAsia="仿宋_GB2312"/>
          <w:sz w:val="32"/>
          <w:szCs w:val="32"/>
        </w:rPr>
        <w:t>依法依规履行卫生健康行业安全生产监管职责，负责职责范围内的生态环境保护、审批服务便民化等工作。</w:t>
      </w:r>
      <w:r>
        <w:rPr>
          <w:rFonts w:ascii="仿宋_GB2312" w:eastAsia="仿宋_GB2312"/>
          <w:sz w:val="32"/>
          <w:szCs w:val="32"/>
        </w:rPr>
        <w:t xml:space="preserve"> </w:t>
      </w:r>
    </w:p>
    <w:p>
      <w:pPr>
        <w:snapToGrid w:val="0"/>
        <w:spacing w:line="600" w:lineRule="exact"/>
        <w:ind w:firstLine="640"/>
        <w:rPr>
          <w:rFonts w:ascii="仿宋_GB2312" w:hAnsi="仿宋" w:eastAsia="仿宋_GB2312"/>
          <w:sz w:val="32"/>
          <w:szCs w:val="32"/>
        </w:rPr>
      </w:pPr>
      <w:r>
        <w:rPr>
          <w:rFonts w:ascii="仿宋_GB2312" w:hAnsi="仿宋" w:eastAsia="仿宋_GB2312"/>
          <w:sz w:val="32"/>
          <w:szCs w:val="32"/>
        </w:rPr>
        <w:t>14.</w:t>
      </w:r>
      <w:r>
        <w:rPr>
          <w:rStyle w:val="32"/>
          <w:rFonts w:hint="default" w:ascii="仿宋_GB2312" w:eastAsia="仿宋_GB2312"/>
          <w:sz w:val="32"/>
          <w:szCs w:val="32"/>
        </w:rPr>
        <w:t>完成市委、市政府交办的其他任务。</w:t>
      </w:r>
    </w:p>
    <w:p>
      <w:pPr>
        <w:spacing w:line="600" w:lineRule="exact"/>
        <w:ind w:firstLine="640"/>
        <w:rPr>
          <w:rFonts w:ascii="楷体_GB2312" w:hAnsi="楷体" w:eastAsia="楷体_GB2312"/>
          <w:b/>
          <w:bCs/>
          <w:sz w:val="32"/>
          <w:szCs w:val="32"/>
        </w:rPr>
      </w:pPr>
      <w:r>
        <w:rPr>
          <w:rFonts w:hint="eastAsia" w:ascii="楷体_GB2312" w:hAnsi="楷体" w:eastAsia="楷体_GB2312"/>
          <w:b/>
          <w:bCs/>
          <w:sz w:val="32"/>
          <w:szCs w:val="32"/>
        </w:rPr>
        <w:t>（二）人员情</w:t>
      </w:r>
      <w:r>
        <w:rPr>
          <w:rFonts w:hint="eastAsia" w:ascii="楷体_GB2312" w:hAnsi="楷体" w:eastAsia="楷体_GB2312"/>
          <w:b/>
          <w:bCs/>
          <w:color w:val="000000"/>
          <w:sz w:val="32"/>
          <w:szCs w:val="32"/>
        </w:rPr>
        <w:t>况。</w:t>
      </w:r>
    </w:p>
    <w:p>
      <w:pPr>
        <w:snapToGrid w:val="0"/>
        <w:spacing w:line="600" w:lineRule="exact"/>
        <w:ind w:firstLine="64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年末在职职工</w:t>
      </w:r>
      <w:r>
        <w:rPr>
          <w:rFonts w:ascii="仿宋_GB2312" w:hAnsi="仿宋" w:eastAsia="仿宋_GB2312"/>
          <w:sz w:val="32"/>
          <w:szCs w:val="32"/>
        </w:rPr>
        <w:t>60</w:t>
      </w:r>
      <w:r>
        <w:rPr>
          <w:rFonts w:hint="eastAsia" w:ascii="仿宋_GB2312" w:hAnsi="仿宋" w:eastAsia="仿宋_GB2312"/>
          <w:sz w:val="32"/>
          <w:szCs w:val="32"/>
        </w:rPr>
        <w:t>人，包括政府机关人员</w:t>
      </w:r>
      <w:r>
        <w:rPr>
          <w:rFonts w:ascii="仿宋_GB2312" w:hAnsi="仿宋" w:eastAsia="仿宋_GB2312"/>
          <w:sz w:val="32"/>
          <w:szCs w:val="32"/>
        </w:rPr>
        <w:t>47</w:t>
      </w:r>
      <w:r>
        <w:rPr>
          <w:rFonts w:hint="eastAsia" w:ascii="仿宋_GB2312" w:hAnsi="仿宋" w:eastAsia="仿宋_GB2312"/>
          <w:sz w:val="32"/>
          <w:szCs w:val="32"/>
        </w:rPr>
        <w:t>人，编内聘用及工勤人员</w:t>
      </w:r>
      <w:r>
        <w:rPr>
          <w:rFonts w:ascii="仿宋_GB2312" w:hAnsi="仿宋" w:eastAsia="仿宋_GB2312"/>
          <w:sz w:val="32"/>
          <w:szCs w:val="32"/>
        </w:rPr>
        <w:t>9</w:t>
      </w:r>
      <w:r>
        <w:rPr>
          <w:rFonts w:hint="eastAsia" w:ascii="仿宋_GB2312" w:hAnsi="仿宋" w:eastAsia="仿宋_GB2312"/>
          <w:sz w:val="32"/>
          <w:szCs w:val="32"/>
        </w:rPr>
        <w:t>人，参公事业人员</w:t>
      </w:r>
      <w:r>
        <w:rPr>
          <w:rFonts w:ascii="仿宋_GB2312" w:hAnsi="仿宋" w:eastAsia="仿宋_GB2312"/>
          <w:sz w:val="32"/>
          <w:szCs w:val="32"/>
        </w:rPr>
        <w:t>4</w:t>
      </w:r>
      <w:r>
        <w:rPr>
          <w:rFonts w:hint="eastAsia" w:ascii="仿宋_GB2312" w:hAnsi="仿宋" w:eastAsia="仿宋_GB2312"/>
          <w:sz w:val="32"/>
          <w:szCs w:val="32"/>
        </w:rPr>
        <w:t>人。</w:t>
      </w:r>
    </w:p>
    <w:p>
      <w:pPr>
        <w:spacing w:line="600" w:lineRule="exact"/>
        <w:ind w:firstLine="640"/>
        <w:rPr>
          <w:rFonts w:ascii="楷体_GB2312" w:eastAsia="楷体_GB2312"/>
          <w:b/>
          <w:bCs/>
          <w:sz w:val="32"/>
          <w:szCs w:val="32"/>
        </w:rPr>
      </w:pPr>
      <w:r>
        <w:rPr>
          <w:rFonts w:hint="eastAsia" w:ascii="楷体_GB2312" w:hAnsi="楷体" w:eastAsia="楷体_GB2312"/>
          <w:b/>
          <w:bCs/>
          <w:sz w:val="32"/>
          <w:szCs w:val="32"/>
        </w:rPr>
        <w:t>（三）固定资产情</w:t>
      </w:r>
      <w:r>
        <w:rPr>
          <w:rFonts w:hint="eastAsia" w:ascii="楷体_GB2312" w:hAnsi="楷体" w:eastAsia="楷体_GB2312"/>
          <w:b/>
          <w:bCs/>
          <w:color w:val="000000"/>
          <w:sz w:val="32"/>
          <w:szCs w:val="32"/>
        </w:rPr>
        <w:t>况。</w:t>
      </w:r>
    </w:p>
    <w:p>
      <w:pPr>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截至</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日，固定资产原值共计</w:t>
      </w:r>
      <w:r>
        <w:rPr>
          <w:rFonts w:ascii="仿宋_GB2312" w:hAnsi="仿宋" w:eastAsia="仿宋_GB2312"/>
          <w:sz w:val="32"/>
          <w:szCs w:val="32"/>
        </w:rPr>
        <w:t>755.22</w:t>
      </w:r>
      <w:r>
        <w:rPr>
          <w:rFonts w:hint="eastAsia" w:ascii="仿宋_GB2312" w:hAnsi="仿宋" w:eastAsia="仿宋_GB2312"/>
          <w:sz w:val="32"/>
          <w:szCs w:val="32"/>
        </w:rPr>
        <w:t>万元，固定资产累计折旧</w:t>
      </w:r>
      <w:r>
        <w:rPr>
          <w:rFonts w:ascii="仿宋_GB2312" w:hAnsi="仿宋" w:eastAsia="仿宋_GB2312"/>
          <w:sz w:val="32"/>
          <w:szCs w:val="32"/>
        </w:rPr>
        <w:t>295.71</w:t>
      </w:r>
      <w:r>
        <w:rPr>
          <w:rFonts w:hint="eastAsia" w:ascii="仿宋_GB2312" w:hAnsi="仿宋" w:eastAsia="仿宋_GB2312"/>
          <w:sz w:val="32"/>
          <w:szCs w:val="32"/>
        </w:rPr>
        <w:t>万元，固定资产净值为</w:t>
      </w:r>
      <w:r>
        <w:rPr>
          <w:rFonts w:ascii="仿宋_GB2312" w:hAnsi="仿宋" w:eastAsia="仿宋_GB2312"/>
          <w:sz w:val="32"/>
          <w:szCs w:val="32"/>
        </w:rPr>
        <w:t>459.51</w:t>
      </w:r>
      <w:r>
        <w:rPr>
          <w:rFonts w:hint="eastAsia" w:ascii="仿宋_GB2312" w:hAnsi="仿宋" w:eastAsia="仿宋_GB2312"/>
          <w:sz w:val="32"/>
          <w:szCs w:val="32"/>
        </w:rPr>
        <w:t>万元；无形资产原值共计</w:t>
      </w:r>
      <w:r>
        <w:rPr>
          <w:rFonts w:ascii="仿宋_GB2312" w:hAnsi="仿宋" w:eastAsia="仿宋_GB2312"/>
          <w:sz w:val="32"/>
          <w:szCs w:val="32"/>
        </w:rPr>
        <w:t>133.67</w:t>
      </w:r>
      <w:r>
        <w:rPr>
          <w:rFonts w:hint="eastAsia" w:ascii="仿宋_GB2312" w:hAnsi="仿宋" w:eastAsia="仿宋_GB2312"/>
          <w:sz w:val="32"/>
          <w:szCs w:val="32"/>
        </w:rPr>
        <w:t>万元，无形资产累计摊销</w:t>
      </w:r>
      <w:r>
        <w:rPr>
          <w:rFonts w:ascii="仿宋_GB2312" w:hAnsi="仿宋" w:eastAsia="仿宋_GB2312"/>
          <w:sz w:val="32"/>
          <w:szCs w:val="32"/>
        </w:rPr>
        <w:t>111.13</w:t>
      </w:r>
      <w:r>
        <w:rPr>
          <w:rFonts w:hint="eastAsia" w:ascii="仿宋_GB2312" w:hAnsi="仿宋" w:eastAsia="仿宋_GB2312"/>
          <w:sz w:val="32"/>
          <w:szCs w:val="32"/>
        </w:rPr>
        <w:t>万元，无形资产净值为</w:t>
      </w:r>
      <w:r>
        <w:rPr>
          <w:rFonts w:ascii="仿宋_GB2312" w:hAnsi="仿宋" w:eastAsia="仿宋_GB2312"/>
          <w:sz w:val="32"/>
          <w:szCs w:val="32"/>
        </w:rPr>
        <w:t>22.54</w:t>
      </w:r>
      <w:r>
        <w:rPr>
          <w:rFonts w:hint="eastAsia" w:ascii="仿宋_GB2312" w:hAnsi="仿宋" w:eastAsia="仿宋_GB2312"/>
          <w:sz w:val="32"/>
          <w:szCs w:val="32"/>
        </w:rPr>
        <w:t>万元。</w:t>
      </w:r>
    </w:p>
    <w:p>
      <w:pPr>
        <w:pStyle w:val="8"/>
        <w:spacing w:line="60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二、部门资金基本情况</w:t>
      </w:r>
    </w:p>
    <w:p>
      <w:pPr>
        <w:pStyle w:val="8"/>
        <w:spacing w:line="60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（一）年初部门预算安排及支出情况。</w:t>
      </w:r>
    </w:p>
    <w:p>
      <w:pPr>
        <w:pStyle w:val="8"/>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基本支出安排及使用情况。</w:t>
      </w:r>
    </w:p>
    <w:p>
      <w:pPr>
        <w:pStyle w:val="8"/>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年初基本支出预算</w:t>
      </w:r>
      <w:r>
        <w:rPr>
          <w:rFonts w:ascii="Times New Roman" w:hAnsi="Times New Roman" w:eastAsia="仿宋_GB2312"/>
          <w:sz w:val="32"/>
          <w:szCs w:val="32"/>
        </w:rPr>
        <w:t>1328.24</w:t>
      </w:r>
      <w:r>
        <w:rPr>
          <w:rFonts w:hint="eastAsia" w:ascii="Times New Roman" w:hAnsi="Times New Roman" w:eastAsia="仿宋_GB2312"/>
          <w:sz w:val="32"/>
          <w:szCs w:val="32"/>
        </w:rPr>
        <w:t>万元，其中人员经费</w:t>
      </w:r>
      <w:r>
        <w:rPr>
          <w:rFonts w:ascii="Times New Roman" w:hAnsi="Times New Roman" w:eastAsia="仿宋_GB2312"/>
          <w:sz w:val="32"/>
          <w:szCs w:val="32"/>
        </w:rPr>
        <w:t>1138.91</w:t>
      </w:r>
      <w:r>
        <w:rPr>
          <w:rFonts w:hint="eastAsia" w:ascii="Times New Roman" w:hAnsi="Times New Roman" w:eastAsia="仿宋_GB2312"/>
          <w:sz w:val="32"/>
          <w:szCs w:val="32"/>
        </w:rPr>
        <w:t>万元（包括工资薪金、社保缴费、公积金缴费等），日常公用经费</w:t>
      </w:r>
      <w:r>
        <w:rPr>
          <w:rFonts w:ascii="Times New Roman" w:hAnsi="Times New Roman" w:eastAsia="仿宋_GB2312"/>
          <w:sz w:val="32"/>
          <w:szCs w:val="32"/>
        </w:rPr>
        <w:t>189.33</w:t>
      </w:r>
      <w:r>
        <w:rPr>
          <w:rFonts w:hint="eastAsia" w:ascii="Times New Roman" w:hAnsi="Times New Roman" w:eastAsia="仿宋_GB2312"/>
          <w:sz w:val="32"/>
          <w:szCs w:val="32"/>
        </w:rPr>
        <w:t>万元；已全部执行完毕，执行率</w:t>
      </w:r>
      <w:r>
        <w:rPr>
          <w:rFonts w:ascii="Times New Roman" w:hAnsi="Times New Roman" w:eastAsia="仿宋_GB2312"/>
          <w:sz w:val="32"/>
          <w:szCs w:val="32"/>
        </w:rPr>
        <w:t>100</w:t>
      </w:r>
      <w:r>
        <w:rPr>
          <w:rFonts w:hint="eastAsia" w:ascii="Times New Roman" w:hAnsi="Times New Roman" w:eastAsia="仿宋_GB2312"/>
          <w:sz w:val="32"/>
          <w:szCs w:val="32"/>
        </w:rPr>
        <w:t>％。</w:t>
      </w:r>
    </w:p>
    <w:p>
      <w:pPr>
        <w:pStyle w:val="8"/>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部门预算项目安排及支出情况。</w:t>
      </w:r>
    </w:p>
    <w:p>
      <w:pPr>
        <w:pStyle w:val="8"/>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年部门预算项目资金</w:t>
      </w:r>
      <w:r>
        <w:rPr>
          <w:rFonts w:ascii="Times New Roman" w:hAnsi="Times New Roman" w:eastAsia="仿宋_GB2312"/>
          <w:sz w:val="32"/>
          <w:szCs w:val="32"/>
        </w:rPr>
        <w:t>22.2</w:t>
      </w:r>
      <w:r>
        <w:rPr>
          <w:rFonts w:hint="eastAsia" w:ascii="Times New Roman" w:hAnsi="Times New Roman" w:eastAsia="仿宋_GB2312"/>
          <w:sz w:val="32"/>
          <w:szCs w:val="32"/>
        </w:rPr>
        <w:t>万元，其中：业务运行费</w:t>
      </w:r>
      <w:r>
        <w:rPr>
          <w:rFonts w:ascii="Times New Roman" w:hAnsi="Times New Roman" w:eastAsia="仿宋_GB2312"/>
          <w:sz w:val="32"/>
          <w:szCs w:val="32"/>
        </w:rPr>
        <w:t>15</w:t>
      </w:r>
      <w:r>
        <w:rPr>
          <w:rFonts w:hint="eastAsia" w:ascii="Times New Roman" w:hAnsi="Times New Roman" w:eastAsia="仿宋_GB2312"/>
          <w:sz w:val="32"/>
          <w:szCs w:val="32"/>
        </w:rPr>
        <w:t>万元；会理麻风病人治疗费</w:t>
      </w:r>
      <w:r>
        <w:rPr>
          <w:rFonts w:ascii="Times New Roman" w:hAnsi="Times New Roman" w:eastAsia="仿宋_GB2312"/>
          <w:sz w:val="32"/>
          <w:szCs w:val="32"/>
        </w:rPr>
        <w:t>3</w:t>
      </w:r>
      <w:r>
        <w:rPr>
          <w:rFonts w:hint="eastAsia" w:ascii="Times New Roman" w:hAnsi="Times New Roman" w:eastAsia="仿宋_GB2312"/>
          <w:sz w:val="32"/>
          <w:szCs w:val="32"/>
        </w:rPr>
        <w:t>万元，干部保健经费</w:t>
      </w:r>
      <w:r>
        <w:rPr>
          <w:rFonts w:ascii="Times New Roman" w:hAnsi="Times New Roman" w:eastAsia="仿宋_GB2312"/>
          <w:sz w:val="32"/>
          <w:szCs w:val="32"/>
        </w:rPr>
        <w:t>4.2</w:t>
      </w:r>
      <w:r>
        <w:rPr>
          <w:rFonts w:hint="eastAsia" w:ascii="Times New Roman" w:hAnsi="Times New Roman" w:eastAsia="仿宋_GB2312"/>
          <w:sz w:val="32"/>
          <w:szCs w:val="32"/>
        </w:rPr>
        <w:t>万元。支付</w:t>
      </w:r>
      <w:r>
        <w:rPr>
          <w:rFonts w:ascii="Times New Roman" w:hAnsi="Times New Roman" w:eastAsia="仿宋_GB2312"/>
          <w:sz w:val="32"/>
          <w:szCs w:val="32"/>
        </w:rPr>
        <w:t>19.2</w:t>
      </w:r>
      <w:r>
        <w:rPr>
          <w:rFonts w:hint="eastAsia" w:ascii="Times New Roman" w:hAnsi="Times New Roman" w:eastAsia="仿宋_GB2312"/>
          <w:sz w:val="32"/>
          <w:szCs w:val="32"/>
        </w:rPr>
        <w:t>万元（会理麻风病结余</w:t>
      </w:r>
      <w:r>
        <w:rPr>
          <w:rFonts w:ascii="Times New Roman" w:hAnsi="Times New Roman" w:eastAsia="仿宋_GB2312"/>
          <w:sz w:val="32"/>
          <w:szCs w:val="32"/>
        </w:rPr>
        <w:t>3</w:t>
      </w:r>
      <w:r>
        <w:rPr>
          <w:rFonts w:hint="eastAsia" w:ascii="Times New Roman" w:hAnsi="Times New Roman" w:eastAsia="仿宋_GB2312"/>
          <w:sz w:val="32"/>
          <w:szCs w:val="32"/>
        </w:rPr>
        <w:t>万元原因为对方发票滞后年底财政已停止支付）；执行率</w:t>
      </w:r>
      <w:r>
        <w:rPr>
          <w:rFonts w:ascii="Times New Roman" w:hAnsi="Times New Roman" w:eastAsia="仿宋_GB2312"/>
          <w:sz w:val="32"/>
          <w:szCs w:val="32"/>
        </w:rPr>
        <w:t>86.49</w:t>
      </w:r>
      <w:r>
        <w:rPr>
          <w:rFonts w:hint="eastAsia" w:ascii="Times New Roman" w:hAnsi="Times New Roman" w:eastAsia="仿宋_GB2312"/>
          <w:sz w:val="32"/>
          <w:szCs w:val="32"/>
        </w:rPr>
        <w:t>％。</w:t>
      </w:r>
    </w:p>
    <w:p>
      <w:pPr>
        <w:pStyle w:val="8"/>
        <w:spacing w:line="60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（二）追加预算安排及支出情况。</w:t>
      </w:r>
    </w:p>
    <w:p>
      <w:pPr>
        <w:pStyle w:val="8"/>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2020</w:t>
      </w:r>
      <w:r>
        <w:rPr>
          <w:rFonts w:hint="eastAsia" w:ascii="仿宋_GB2312" w:hAnsi="Times New Roman" w:eastAsia="仿宋_GB2312"/>
          <w:sz w:val="32"/>
          <w:szCs w:val="32"/>
        </w:rPr>
        <w:t>年无追加预算。</w:t>
      </w:r>
    </w:p>
    <w:p>
      <w:pPr>
        <w:pStyle w:val="8"/>
        <w:spacing w:line="60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（三）专项资金安排及支出情况。</w:t>
      </w:r>
    </w:p>
    <w:p>
      <w:pPr>
        <w:pStyle w:val="8"/>
        <w:spacing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安排专项资金</w:t>
      </w:r>
      <w:r>
        <w:rPr>
          <w:rFonts w:ascii="Times New Roman" w:hAnsi="Times New Roman" w:eastAsia="仿宋_GB2312"/>
          <w:sz w:val="32"/>
          <w:szCs w:val="32"/>
        </w:rPr>
        <w:t>432.38</w:t>
      </w:r>
      <w:r>
        <w:rPr>
          <w:rFonts w:hint="eastAsia" w:ascii="Times New Roman" w:hAnsi="Times New Roman" w:eastAsia="仿宋_GB2312"/>
          <w:sz w:val="32"/>
          <w:szCs w:val="32"/>
        </w:rPr>
        <w:t>万元，其中</w:t>
      </w:r>
      <w:r>
        <w:rPr>
          <w:rFonts w:ascii="Times New Roman" w:hAnsi="Times New Roman" w:eastAsia="仿宋_GB2312"/>
          <w:sz w:val="32"/>
          <w:szCs w:val="32"/>
        </w:rPr>
        <w:t>:</w:t>
      </w:r>
      <w:r>
        <w:rPr>
          <w:rFonts w:hint="eastAsia" w:ascii="Times New Roman" w:hAnsi="Times New Roman" w:eastAsia="仿宋_GB2312"/>
          <w:sz w:val="32"/>
          <w:szCs w:val="32"/>
        </w:rPr>
        <w:t>其他人力资源事务支出</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rPr>
        <w:t>万</w:t>
      </w:r>
      <w:r>
        <w:rPr>
          <w:rFonts w:hint="eastAsia" w:ascii="Times New Roman" w:hAnsi="Times New Roman" w:eastAsia="仿宋_GB2312"/>
          <w:sz w:val="32"/>
          <w:szCs w:val="32"/>
        </w:rPr>
        <w:t>元，儿童福利</w:t>
      </w:r>
      <w:r>
        <w:rPr>
          <w:rFonts w:ascii="Times New Roman" w:hAnsi="Times New Roman" w:eastAsia="仿宋_GB2312"/>
          <w:color w:val="000000"/>
          <w:sz w:val="32"/>
          <w:szCs w:val="32"/>
        </w:rPr>
        <w:t>1.2</w:t>
      </w:r>
      <w:r>
        <w:rPr>
          <w:rFonts w:hint="eastAsia" w:ascii="Times New Roman" w:hAnsi="Times New Roman" w:eastAsia="仿宋_GB2312"/>
          <w:sz w:val="32"/>
          <w:szCs w:val="32"/>
        </w:rPr>
        <w:t>万元，其他卫生健康管理事务支出</w:t>
      </w:r>
      <w:r>
        <w:rPr>
          <w:rFonts w:ascii="Times New Roman" w:hAnsi="Times New Roman" w:eastAsia="仿宋_GB2312"/>
          <w:color w:val="000000"/>
          <w:sz w:val="32"/>
          <w:szCs w:val="32"/>
        </w:rPr>
        <w:t>0.152</w:t>
      </w:r>
      <w:r>
        <w:rPr>
          <w:rFonts w:hint="eastAsia" w:ascii="Times New Roman" w:hAnsi="Times New Roman" w:eastAsia="仿宋_GB2312"/>
          <w:color w:val="000000"/>
          <w:sz w:val="32"/>
          <w:szCs w:val="32"/>
        </w:rPr>
        <w:t>万</w:t>
      </w:r>
      <w:r>
        <w:rPr>
          <w:rFonts w:hint="eastAsia" w:ascii="Times New Roman" w:hAnsi="Times New Roman" w:eastAsia="仿宋_GB2312"/>
          <w:sz w:val="32"/>
          <w:szCs w:val="32"/>
        </w:rPr>
        <w:t>元一般行政管理事务</w:t>
      </w:r>
      <w:r>
        <w:rPr>
          <w:rFonts w:ascii="Times New Roman" w:hAnsi="Times New Roman" w:eastAsia="仿宋_GB2312"/>
          <w:color w:val="000000"/>
          <w:sz w:val="32"/>
          <w:szCs w:val="32"/>
        </w:rPr>
        <w:t>0.5</w:t>
      </w:r>
      <w:r>
        <w:rPr>
          <w:rFonts w:hint="eastAsia" w:ascii="Times New Roman" w:hAnsi="Times New Roman" w:eastAsia="仿宋_GB2312"/>
          <w:sz w:val="32"/>
          <w:szCs w:val="32"/>
        </w:rPr>
        <w:t>万元，基本公共卫生服务</w:t>
      </w:r>
      <w:r>
        <w:rPr>
          <w:rFonts w:ascii="Times New Roman" w:hAnsi="Times New Roman" w:eastAsia="仿宋_GB2312"/>
          <w:color w:val="000000"/>
          <w:sz w:val="32"/>
          <w:szCs w:val="32"/>
        </w:rPr>
        <w:t>13</w:t>
      </w:r>
      <w:r>
        <w:rPr>
          <w:rFonts w:hint="eastAsia" w:ascii="Times New Roman" w:hAnsi="Times New Roman" w:eastAsia="仿宋_GB2312"/>
          <w:color w:val="000000"/>
          <w:sz w:val="32"/>
          <w:szCs w:val="32"/>
        </w:rPr>
        <w:t>万</w:t>
      </w:r>
      <w:r>
        <w:rPr>
          <w:rFonts w:hint="eastAsia" w:ascii="Times New Roman" w:hAnsi="Times New Roman" w:eastAsia="仿宋_GB2312"/>
          <w:sz w:val="32"/>
          <w:szCs w:val="32"/>
        </w:rPr>
        <w:t>元，重大公共卫生专项</w:t>
      </w:r>
      <w:r>
        <w:rPr>
          <w:rFonts w:ascii="Times New Roman" w:hAnsi="Times New Roman" w:eastAsia="仿宋_GB2312"/>
          <w:color w:val="000000"/>
          <w:sz w:val="32"/>
          <w:szCs w:val="32"/>
        </w:rPr>
        <w:t>150.66</w:t>
      </w:r>
      <w:r>
        <w:rPr>
          <w:rFonts w:hint="eastAsia" w:ascii="Times New Roman" w:hAnsi="Times New Roman" w:eastAsia="仿宋_GB2312"/>
          <w:sz w:val="32"/>
          <w:szCs w:val="32"/>
        </w:rPr>
        <w:t>万元，计划生育服务</w:t>
      </w:r>
      <w:r>
        <w:rPr>
          <w:rFonts w:ascii="Times New Roman" w:hAnsi="Times New Roman" w:eastAsia="仿宋_GB2312"/>
          <w:color w:val="000000"/>
          <w:sz w:val="32"/>
          <w:szCs w:val="32"/>
        </w:rPr>
        <w:t>6.71</w:t>
      </w:r>
      <w:r>
        <w:rPr>
          <w:rFonts w:hint="eastAsia" w:ascii="Times New Roman" w:hAnsi="Times New Roman" w:eastAsia="仿宋_GB2312"/>
          <w:sz w:val="32"/>
          <w:szCs w:val="32"/>
        </w:rPr>
        <w:t>万元，其他卫生健康支出</w:t>
      </w:r>
      <w:r>
        <w:rPr>
          <w:rFonts w:ascii="Times New Roman" w:hAnsi="Times New Roman" w:eastAsia="仿宋_GB2312"/>
          <w:color w:val="000000"/>
          <w:sz w:val="32"/>
          <w:szCs w:val="32"/>
        </w:rPr>
        <w:t>70.39</w:t>
      </w:r>
      <w:r>
        <w:rPr>
          <w:rFonts w:hint="eastAsia" w:ascii="Times New Roman" w:hAnsi="Times New Roman" w:eastAsia="仿宋_GB2312"/>
          <w:sz w:val="32"/>
          <w:szCs w:val="32"/>
        </w:rPr>
        <w:t>万元，土地开发支出</w:t>
      </w:r>
      <w:r>
        <w:rPr>
          <w:rFonts w:ascii="Times New Roman" w:hAnsi="Times New Roman" w:eastAsia="仿宋_GB2312"/>
          <w:color w:val="000000"/>
          <w:sz w:val="32"/>
          <w:szCs w:val="32"/>
        </w:rPr>
        <w:t>144.25</w:t>
      </w:r>
      <w:r>
        <w:rPr>
          <w:rFonts w:hint="eastAsia" w:ascii="Times New Roman" w:hAnsi="Times New Roman" w:eastAsia="仿宋_GB2312"/>
          <w:sz w:val="32"/>
          <w:szCs w:val="32"/>
        </w:rPr>
        <w:t>万元，死亡抚恤</w:t>
      </w:r>
      <w:r>
        <w:rPr>
          <w:rFonts w:ascii="Times New Roman" w:hAnsi="Times New Roman" w:eastAsia="仿宋_GB2312"/>
          <w:color w:val="000000"/>
          <w:sz w:val="32"/>
          <w:szCs w:val="32"/>
        </w:rPr>
        <w:t>34.52</w:t>
      </w:r>
      <w:r>
        <w:rPr>
          <w:rFonts w:hint="eastAsia" w:ascii="Times New Roman" w:hAnsi="Times New Roman" w:eastAsia="仿宋_GB2312"/>
          <w:sz w:val="32"/>
          <w:szCs w:val="32"/>
        </w:rPr>
        <w:t>万元，</w:t>
      </w:r>
      <w:r>
        <w:rPr>
          <w:rFonts w:ascii="Times New Roman" w:hAnsi="Times New Roman" w:eastAsia="仿宋_GB2312"/>
          <w:sz w:val="32"/>
          <w:szCs w:val="32"/>
        </w:rPr>
        <w:t>2020</w:t>
      </w:r>
      <w:r>
        <w:rPr>
          <w:rFonts w:hint="eastAsia" w:ascii="Times New Roman" w:hAnsi="Times New Roman" w:eastAsia="仿宋_GB2312"/>
          <w:sz w:val="32"/>
          <w:szCs w:val="32"/>
        </w:rPr>
        <w:t>年共计支出项目资金</w:t>
      </w:r>
      <w:r>
        <w:rPr>
          <w:rFonts w:ascii="Times New Roman" w:hAnsi="Times New Roman" w:eastAsia="仿宋_GB2312"/>
          <w:sz w:val="32"/>
          <w:szCs w:val="32"/>
        </w:rPr>
        <w:t>274.22</w:t>
      </w:r>
      <w:r>
        <w:rPr>
          <w:rFonts w:hint="eastAsia" w:ascii="Times New Roman" w:hAnsi="Times New Roman" w:eastAsia="仿宋_GB2312"/>
          <w:sz w:val="32"/>
          <w:szCs w:val="32"/>
        </w:rPr>
        <w:t>万元，财政收回指标</w:t>
      </w:r>
      <w:r>
        <w:rPr>
          <w:rFonts w:ascii="Times New Roman" w:hAnsi="Times New Roman" w:eastAsia="仿宋_GB2312"/>
          <w:sz w:val="32"/>
          <w:szCs w:val="32"/>
        </w:rPr>
        <w:t>38.37</w:t>
      </w:r>
      <w:r>
        <w:rPr>
          <w:rFonts w:hint="eastAsia" w:ascii="Times New Roman" w:hAnsi="Times New Roman" w:eastAsia="仿宋_GB2312"/>
          <w:sz w:val="32"/>
          <w:szCs w:val="32"/>
        </w:rPr>
        <w:t>万元。</w:t>
      </w:r>
      <w:r>
        <w:rPr>
          <w:rFonts w:ascii="Times New Roman" w:hAnsi="Times New Roman" w:eastAsia="仿宋_GB2312"/>
          <w:sz w:val="32"/>
          <w:szCs w:val="32"/>
        </w:rPr>
        <w:t>2020</w:t>
      </w:r>
      <w:r>
        <w:rPr>
          <w:rFonts w:hint="eastAsia" w:ascii="Times New Roman" w:hAnsi="Times New Roman" w:eastAsia="仿宋_GB2312"/>
          <w:sz w:val="32"/>
          <w:szCs w:val="32"/>
        </w:rPr>
        <w:t>年结转结余资金</w:t>
      </w:r>
      <w:r>
        <w:rPr>
          <w:rFonts w:ascii="Times New Roman" w:hAnsi="Times New Roman" w:eastAsia="仿宋_GB2312"/>
          <w:sz w:val="32"/>
          <w:szCs w:val="32"/>
        </w:rPr>
        <w:t>1</w:t>
      </w:r>
      <w:r>
        <w:rPr>
          <w:rFonts w:hint="eastAsia" w:ascii="Times New Roman" w:hAnsi="Times New Roman" w:eastAsia="仿宋_GB2312"/>
          <w:sz w:val="32"/>
          <w:szCs w:val="32"/>
        </w:rPr>
        <w:t>19</w:t>
      </w:r>
      <w:r>
        <w:rPr>
          <w:rFonts w:ascii="Times New Roman" w:hAnsi="Times New Roman" w:eastAsia="仿宋_GB2312"/>
          <w:sz w:val="32"/>
          <w:szCs w:val="32"/>
        </w:rPr>
        <w:t>.79</w:t>
      </w:r>
      <w:r>
        <w:rPr>
          <w:rFonts w:hint="eastAsia" w:ascii="Times New Roman" w:hAnsi="Times New Roman" w:eastAsia="仿宋_GB2312"/>
          <w:sz w:val="32"/>
          <w:szCs w:val="32"/>
        </w:rPr>
        <w:t>万元。</w:t>
      </w:r>
    </w:p>
    <w:p>
      <w:pPr>
        <w:pStyle w:val="8"/>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（四）其他资金收支及结转结余使用情况。</w:t>
      </w:r>
    </w:p>
    <w:p>
      <w:pPr>
        <w:pStyle w:val="8"/>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年其他收入</w:t>
      </w:r>
      <w:r>
        <w:rPr>
          <w:rFonts w:ascii="Times New Roman" w:hAnsi="Times New Roman" w:eastAsia="仿宋_GB2312"/>
          <w:sz w:val="32"/>
          <w:szCs w:val="32"/>
        </w:rPr>
        <w:t>0.12</w:t>
      </w:r>
      <w:r>
        <w:rPr>
          <w:rFonts w:hint="eastAsia" w:ascii="Times New Roman" w:hAnsi="Times New Roman" w:eastAsia="仿宋_GB2312"/>
          <w:sz w:val="32"/>
          <w:szCs w:val="32"/>
        </w:rPr>
        <w:t>万元为利息收入，于</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月初按严肃财经纪律及财务管理风险排查工作的通知，已全部上缴财政专户。</w:t>
      </w:r>
    </w:p>
    <w:p>
      <w:pPr>
        <w:pStyle w:val="8"/>
        <w:numPr>
          <w:ilvl w:val="0"/>
          <w:numId w:val="4"/>
        </w:num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绩效目标完成情况分析</w:t>
      </w:r>
    </w:p>
    <w:p>
      <w:pPr>
        <w:spacing w:line="600" w:lineRule="exact"/>
        <w:ind w:firstLine="640"/>
        <w:rPr>
          <w:rFonts w:ascii="仿宋_GB2312" w:eastAsia="仿宋_GB2312"/>
          <w:sz w:val="32"/>
          <w:szCs w:val="32"/>
        </w:rPr>
      </w:pPr>
      <w:r>
        <w:rPr>
          <w:rFonts w:eastAsia="黑体"/>
          <w:sz w:val="32"/>
          <w:szCs w:val="32"/>
        </w:rPr>
        <w:t xml:space="preserve"> </w:t>
      </w:r>
      <w:r>
        <w:rPr>
          <w:rFonts w:hint="eastAsia" w:eastAsia="仿宋_GB2312"/>
          <w:sz w:val="32"/>
          <w:szCs w:val="32"/>
        </w:rPr>
        <w:t>目标任务：</w:t>
      </w:r>
      <w:r>
        <w:rPr>
          <w:rFonts w:eastAsia="仿宋_GB2312"/>
          <w:sz w:val="32"/>
          <w:szCs w:val="32"/>
        </w:rPr>
        <w:t>2020</w:t>
      </w:r>
      <w:r>
        <w:rPr>
          <w:rFonts w:hint="eastAsia" w:ascii="仿宋_GB2312" w:eastAsia="仿宋_GB2312"/>
          <w:sz w:val="32"/>
          <w:szCs w:val="32"/>
        </w:rPr>
        <w:t>年，全市卫生健康工作将以习近平新时代中国特色社会主义思想为指导，按照市委“</w:t>
      </w:r>
      <w:r>
        <w:rPr>
          <w:rFonts w:eastAsia="仿宋_GB2312"/>
          <w:sz w:val="32"/>
          <w:szCs w:val="32"/>
        </w:rPr>
        <w:t>1235</w:t>
      </w:r>
      <w:r>
        <w:rPr>
          <w:rFonts w:hint="eastAsia" w:ascii="仿宋_GB2312" w:eastAsia="仿宋_GB2312"/>
          <w:sz w:val="32"/>
          <w:szCs w:val="32"/>
        </w:rPr>
        <w:t>”工作思路以及加快建设区域中心城市和“钒钛新城、攀西科技城”的要求，坚持卫生健康“</w:t>
      </w:r>
      <w:r>
        <w:rPr>
          <w:rFonts w:eastAsia="仿宋_GB2312"/>
          <w:sz w:val="32"/>
          <w:szCs w:val="32"/>
        </w:rPr>
        <w:t>12316</w:t>
      </w:r>
      <w:r>
        <w:rPr>
          <w:rFonts w:hint="eastAsia" w:ascii="仿宋_GB2312" w:eastAsia="仿宋_GB2312"/>
          <w:sz w:val="32"/>
          <w:szCs w:val="32"/>
        </w:rPr>
        <w:t>”工作路径和“主动作为、争先进位、管理到位、服务出彩”工作主题，倾力打造区域医疗卫生高地，深入推进健康城市建设，促进“康养</w:t>
      </w:r>
      <w:r>
        <w:rPr>
          <w:rFonts w:ascii="仿宋_GB2312" w:eastAsia="仿宋_GB2312"/>
          <w:sz w:val="32"/>
          <w:szCs w:val="32"/>
        </w:rPr>
        <w:t>+</w:t>
      </w:r>
      <w:r>
        <w:rPr>
          <w:rFonts w:hint="eastAsia" w:ascii="仿宋_GB2312" w:eastAsia="仿宋_GB2312"/>
          <w:sz w:val="32"/>
          <w:szCs w:val="32"/>
        </w:rPr>
        <w:t>医疗”产业融合发展等卫生健康重点工作，推动全市卫生健康工作高质量发展，为人民群众提供全生命周期的优质健康服务。</w:t>
      </w:r>
      <w:r>
        <w:rPr>
          <w:rFonts w:ascii="仿宋_GB2312" w:eastAsia="仿宋_GB2312"/>
          <w:sz w:val="32"/>
          <w:szCs w:val="32"/>
        </w:rPr>
        <w:t xml:space="preserve">  </w:t>
      </w:r>
    </w:p>
    <w:p>
      <w:pPr>
        <w:pStyle w:val="8"/>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（一）市级财政资金绩效目标完成情况。</w:t>
      </w:r>
    </w:p>
    <w:p>
      <w:pPr>
        <w:pStyle w:val="8"/>
        <w:spacing w:line="600" w:lineRule="exact"/>
        <w:ind w:firstLine="710" w:firstLineChars="221"/>
        <w:rPr>
          <w:rFonts w:ascii="Times New Roman" w:hAnsi="Times New Roman" w:eastAsia="楷体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 xml:space="preserve"> 年初部门预算绩效目标完成情况。</w:t>
      </w:r>
    </w:p>
    <w:p>
      <w:pPr>
        <w:pStyle w:val="8"/>
        <w:spacing w:line="600" w:lineRule="exact"/>
        <w:ind w:firstLine="640" w:firstLineChars="200"/>
        <w:rPr>
          <w:rFonts w:ascii="Times New Roman" w:hAnsi="Times New Roman" w:eastAsia="楷体"/>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）产出指标完成情况分析。年初部门预算数量指标、质量指标、时效指标和成本指标均已完成。</w:t>
      </w:r>
    </w:p>
    <w:p>
      <w:pPr>
        <w:pStyle w:val="8"/>
        <w:spacing w:line="600" w:lineRule="exact"/>
        <w:ind w:firstLine="640" w:firstLineChars="200"/>
        <w:rPr>
          <w:rFonts w:ascii="Times New Roman" w:hAnsi="Times New Roman" w:eastAsia="楷体"/>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）效益指标完成情况分析。</w:t>
      </w:r>
      <w:r>
        <w:rPr>
          <w:rFonts w:ascii="Times New Roman" w:hAnsi="Times New Roman" w:eastAsia="仿宋_GB2312"/>
          <w:sz w:val="32"/>
          <w:szCs w:val="32"/>
        </w:rPr>
        <w:t>2020</w:t>
      </w:r>
      <w:r>
        <w:rPr>
          <w:rFonts w:hint="eastAsia" w:ascii="Times New Roman" w:hAnsi="Times New Roman" w:eastAsia="仿宋_GB2312"/>
          <w:sz w:val="32"/>
          <w:szCs w:val="32"/>
        </w:rPr>
        <w:t>年度设定目标无经济效益、生态效益。社会效益和可持续影响指标已完成。</w:t>
      </w:r>
    </w:p>
    <w:p>
      <w:pPr>
        <w:pStyle w:val="8"/>
        <w:spacing w:line="600" w:lineRule="exact"/>
        <w:ind w:firstLine="640" w:firstLineChars="200"/>
        <w:rPr>
          <w:rFonts w:ascii="Times New Roman" w:hAnsi="Times New Roman" w:eastAsia="楷体"/>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）满意度指标完成情况分析。据统计，职工满意度和服务对象满意度均大于</w:t>
      </w:r>
      <w:r>
        <w:rPr>
          <w:rFonts w:ascii="Times New Roman" w:hAnsi="Times New Roman" w:eastAsia="仿宋_GB2312"/>
          <w:sz w:val="32"/>
          <w:szCs w:val="32"/>
        </w:rPr>
        <w:t>90</w:t>
      </w:r>
      <w:r>
        <w:rPr>
          <w:rFonts w:hint="eastAsia" w:ascii="Times New Roman" w:hAnsi="Times New Roman" w:eastAsia="仿宋_GB2312"/>
          <w:sz w:val="32"/>
          <w:szCs w:val="32"/>
        </w:rPr>
        <w:t>％，已完成满意度指标。</w:t>
      </w:r>
    </w:p>
    <w:p>
      <w:pPr>
        <w:pStyle w:val="8"/>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 2.</w:t>
      </w:r>
      <w:r>
        <w:rPr>
          <w:rFonts w:hint="eastAsia" w:ascii="Times New Roman" w:hAnsi="Times New Roman" w:eastAsia="仿宋_GB2312"/>
          <w:b/>
          <w:bCs/>
          <w:sz w:val="32"/>
          <w:szCs w:val="32"/>
        </w:rPr>
        <w:t xml:space="preserve"> 市级专项（项目）资金绩效目标完成情况。</w:t>
      </w:r>
    </w:p>
    <w:p>
      <w:pPr>
        <w:pStyle w:val="8"/>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）本年度完成业务运行、干部保健项目工作的支付，执行率</w:t>
      </w:r>
      <w:r>
        <w:rPr>
          <w:rFonts w:ascii="Times New Roman" w:hAnsi="Times New Roman" w:eastAsia="仿宋_GB2312"/>
          <w:sz w:val="32"/>
          <w:szCs w:val="32"/>
        </w:rPr>
        <w:t>100</w:t>
      </w:r>
      <w:r>
        <w:rPr>
          <w:rFonts w:hint="eastAsia" w:ascii="Times New Roman" w:hAnsi="Times New Roman" w:eastAsia="仿宋_GB2312"/>
          <w:sz w:val="32"/>
          <w:szCs w:val="32"/>
        </w:rPr>
        <w:t>％，达到绩效考核产出指标。</w:t>
      </w:r>
    </w:p>
    <w:p>
      <w:pPr>
        <w:pStyle w:val="8"/>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产出指标完成情况分析。数量指标、质量指标、时效指标和成本指标均已完成。</w:t>
      </w:r>
    </w:p>
    <w:p>
      <w:pPr>
        <w:pStyle w:val="8"/>
        <w:spacing w:line="600" w:lineRule="exact"/>
        <w:ind w:firstLine="640" w:firstLineChars="200"/>
        <w:rPr>
          <w:rFonts w:ascii="Times New Roman" w:hAnsi="Times New Roman" w:eastAsia="楷体"/>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）效益指标完成情况分析。</w:t>
      </w:r>
      <w:r>
        <w:rPr>
          <w:rFonts w:ascii="Times New Roman" w:hAnsi="Times New Roman" w:eastAsia="仿宋_GB2312"/>
          <w:sz w:val="32"/>
          <w:szCs w:val="32"/>
        </w:rPr>
        <w:t>2019</w:t>
      </w:r>
      <w:r>
        <w:rPr>
          <w:rFonts w:hint="eastAsia" w:ascii="Times New Roman" w:hAnsi="Times New Roman" w:eastAsia="仿宋_GB2312"/>
          <w:sz w:val="32"/>
          <w:szCs w:val="32"/>
        </w:rPr>
        <w:t>年度设定目标无经济效益、生态效益。社会效益和可持续影响指标已完成。</w:t>
      </w:r>
    </w:p>
    <w:p>
      <w:pPr>
        <w:pStyle w:val="8"/>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）满意度指标完成情况分析。满意度指标已完成。</w:t>
      </w:r>
    </w:p>
    <w:p>
      <w:pPr>
        <w:pStyle w:val="8"/>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（二）上级专项（项目）资金绩效目标完成情况。</w:t>
      </w:r>
    </w:p>
    <w:p>
      <w:pPr>
        <w:pStyle w:val="8"/>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区域医疗卫生高地建设取得新成效，“康养</w:t>
      </w:r>
      <w:r>
        <w:rPr>
          <w:rFonts w:ascii="Times New Roman" w:hAnsi="Times New Roman" w:eastAsia="仿宋_GB2312"/>
          <w:sz w:val="32"/>
          <w:szCs w:val="32"/>
        </w:rPr>
        <w:t>+</w:t>
      </w:r>
      <w:r>
        <w:rPr>
          <w:rFonts w:hint="eastAsia" w:ascii="Times New Roman" w:hAnsi="Times New Roman" w:eastAsia="仿宋_GB2312"/>
          <w:sz w:val="32"/>
          <w:szCs w:val="32"/>
        </w:rPr>
        <w:t>医疗”产业创新发展，健康攀枝花建设步伐稳健，医药卫生体制改革成效明显，健康扶贫深入推进，医疗服务质效进一步改善，公共卫生服务能力持续增强，中医药事业全面发展，人口家庭平稳发展，支撑保障工作协调推进。</w:t>
      </w:r>
    </w:p>
    <w:p>
      <w:pPr>
        <w:pStyle w:val="8"/>
        <w:spacing w:line="600" w:lineRule="exact"/>
        <w:ind w:firstLine="640" w:firstLineChars="200"/>
        <w:rPr>
          <w:rFonts w:ascii="Times New Roman" w:hAnsi="Times New Roman" w:eastAsia="楷体"/>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）产出指标完成情况分析。数量指标、质量指标、时效指标均已完成。</w:t>
      </w:r>
    </w:p>
    <w:p>
      <w:pPr>
        <w:pStyle w:val="8"/>
        <w:spacing w:line="600" w:lineRule="exact"/>
        <w:ind w:firstLine="640" w:firstLineChars="200"/>
        <w:rPr>
          <w:rFonts w:ascii="Times New Roman" w:hAnsi="Times New Roman" w:eastAsia="楷体"/>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）效益指标完成情况分析。</w:t>
      </w:r>
      <w:r>
        <w:rPr>
          <w:rFonts w:ascii="Times New Roman" w:hAnsi="Times New Roman" w:eastAsia="仿宋_GB2312"/>
          <w:sz w:val="32"/>
          <w:szCs w:val="32"/>
        </w:rPr>
        <w:t>2020</w:t>
      </w:r>
      <w:r>
        <w:rPr>
          <w:rFonts w:hint="eastAsia" w:ascii="Times New Roman" w:hAnsi="Times New Roman" w:eastAsia="仿宋_GB2312"/>
          <w:sz w:val="32"/>
          <w:szCs w:val="32"/>
        </w:rPr>
        <w:t>年度设定目标无经济效益、生态效益。社会效益和可持续影响指标已完成。</w:t>
      </w:r>
    </w:p>
    <w:p>
      <w:pPr>
        <w:pStyle w:val="8"/>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）满意度指标均已完成。</w:t>
      </w:r>
    </w:p>
    <w:p>
      <w:pPr>
        <w:pStyle w:val="8"/>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（三）自评结论。</w:t>
      </w:r>
    </w:p>
    <w:p>
      <w:pPr>
        <w:pStyle w:val="8"/>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年，市卫生健康委员会紧紧围绕部门预算绩效目标推进各项工作，实时监控部门预算执行情况，顺利完成各项年度绩效目标。</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攀枝花市卫生健康委员会</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干部经费、业务运行费、会理麻风病人治疗费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tabs>
          <w:tab w:val="left" w:pos="673"/>
        </w:tabs>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napToGrid w:val="0"/>
        <w:spacing w:line="600" w:lineRule="exact"/>
        <w:ind w:firstLine="640"/>
        <w:rPr>
          <w:rFonts w:ascii="仿宋_GB2312" w:hAnsi="宋体" w:eastAsia="仿宋_GB2312"/>
          <w:sz w:val="32"/>
          <w:szCs w:val="32"/>
          <w:lang w:val="zh-CN"/>
        </w:rPr>
      </w:pPr>
      <w:r>
        <w:rPr>
          <w:rFonts w:hint="eastAsia" w:ascii="仿宋_GB2312" w:hAnsi="FZFSK--GBK1-0" w:eastAsia="仿宋_GB2312"/>
          <w:color w:val="000000"/>
          <w:sz w:val="32"/>
          <w:szCs w:val="32"/>
        </w:rPr>
        <w:t>市卫生健康委贯彻落实党中央关于卫生健康工作的方针政策和省委、市委决策部署，在履行职责过程中坚持和加强党对卫生健康工作的集中统一领导。</w:t>
      </w:r>
    </w:p>
    <w:p>
      <w:pPr>
        <w:pStyle w:val="8"/>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2020年我单位市级部门预算项目3个，安排资金22.2万元，包括：干保经费4.2万元、业务运行费15万元、会理麻风病人治疗费3万元，执行率85.5%。</w:t>
      </w:r>
    </w:p>
    <w:p>
      <w:pPr>
        <w:tabs>
          <w:tab w:val="left" w:pos="673"/>
        </w:tabs>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eastAsia="仿宋_GB2312"/>
          <w:sz w:val="32"/>
          <w:szCs w:val="32"/>
        </w:rPr>
        <w:t>2020</w:t>
      </w:r>
      <w:r>
        <w:rPr>
          <w:rFonts w:hint="eastAsia" w:ascii="仿宋_GB2312" w:eastAsia="仿宋_GB2312"/>
          <w:sz w:val="32"/>
          <w:szCs w:val="32"/>
        </w:rPr>
        <w:t>年，全市卫生健康工作将以习近平新时代中国特色社会主义思想为指导，按照市委“</w:t>
      </w:r>
      <w:r>
        <w:rPr>
          <w:rFonts w:eastAsia="仿宋_GB2312"/>
          <w:sz w:val="32"/>
          <w:szCs w:val="32"/>
        </w:rPr>
        <w:t>1235</w:t>
      </w:r>
      <w:r>
        <w:rPr>
          <w:rFonts w:hint="eastAsia" w:ascii="仿宋_GB2312" w:eastAsia="仿宋_GB2312"/>
          <w:sz w:val="32"/>
          <w:szCs w:val="32"/>
        </w:rPr>
        <w:t>”工作思路以及加快建设区域中心城市和“钒钛新城、攀西科技城”的要求，坚持卫生健康“</w:t>
      </w:r>
      <w:r>
        <w:rPr>
          <w:rFonts w:eastAsia="仿宋_GB2312"/>
          <w:sz w:val="32"/>
          <w:szCs w:val="32"/>
        </w:rPr>
        <w:t>12316</w:t>
      </w:r>
      <w:r>
        <w:rPr>
          <w:rFonts w:hint="eastAsia" w:ascii="仿宋_GB2312" w:eastAsia="仿宋_GB2312"/>
          <w:sz w:val="32"/>
          <w:szCs w:val="32"/>
        </w:rPr>
        <w:t>”工作路径和“主动作为、争先进位、管理到位、服务出彩”工作主题，倾力打造区域医疗卫生高地，深入推进健康城市建设，促进“康养</w:t>
      </w:r>
      <w:r>
        <w:rPr>
          <w:rFonts w:ascii="仿宋_GB2312" w:eastAsia="仿宋_GB2312"/>
          <w:sz w:val="32"/>
          <w:szCs w:val="32"/>
        </w:rPr>
        <w:t>+</w:t>
      </w:r>
      <w:r>
        <w:rPr>
          <w:rFonts w:hint="eastAsia" w:ascii="仿宋_GB2312" w:eastAsia="仿宋_GB2312"/>
          <w:sz w:val="32"/>
          <w:szCs w:val="32"/>
        </w:rPr>
        <w:t>医疗”产业融合发展等卫生健康重点工作，推动全市卫生健康工作高质量发展，为人民群众提供全生命周期的优质健康服务。</w:t>
      </w:r>
      <w:r>
        <w:rPr>
          <w:rFonts w:hint="eastAsia" w:ascii="仿宋_GB2312" w:hAnsi="宋体" w:eastAsia="仿宋_GB2312"/>
          <w:sz w:val="32"/>
          <w:szCs w:val="32"/>
          <w:lang w:val="zh-CN"/>
        </w:rPr>
        <w:t>保障干部保健工作正常开展、保证攀籍病人的生活和治疗、机关按职能职责开展工作，确保日常运转和业务运行。</w:t>
      </w:r>
    </w:p>
    <w:p>
      <w:pPr>
        <w:tabs>
          <w:tab w:val="left" w:pos="553"/>
        </w:tabs>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ab/>
      </w:r>
      <w:r>
        <w:rPr>
          <w:rFonts w:hint="eastAsia" w:ascii="黑体" w:hAnsi="宋体" w:eastAsia="黑体"/>
          <w:sz w:val="32"/>
          <w:szCs w:val="32"/>
        </w:rPr>
        <w:t xml:space="preserve"> 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年初预算项目资金22.2万元，财政下达22.2万元。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utoSpaceDE w:val="0"/>
        <w:autoSpaceDN w:val="0"/>
        <w:adjustRightInd w:val="0"/>
        <w:spacing w:line="600" w:lineRule="exact"/>
        <w:ind w:firstLine="640" w:firstLineChars="200"/>
        <w:jc w:val="left"/>
        <w:rPr>
          <w:rFonts w:ascii="楷体_GB2312" w:hAnsi="宋体" w:eastAsia="楷体_GB2312"/>
          <w:b/>
          <w:sz w:val="32"/>
          <w:szCs w:val="32"/>
          <w:lang w:val="zh-CN"/>
        </w:rPr>
      </w:pPr>
      <w:r>
        <w:rPr>
          <w:rFonts w:hint="eastAsia" w:eastAsia="仿宋_GB2312"/>
          <w:kern w:val="0"/>
          <w:sz w:val="32"/>
          <w:szCs w:val="32"/>
        </w:rPr>
        <w:t>资金已按计划到位，并已按计划使用。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单位财务管理制度健全，严格执行财务管理制度，账务处理及时，会计核算规范</w:t>
      </w:r>
      <w:r>
        <w:rPr>
          <w:rFonts w:hint="eastAsia" w:eastAsia="仿宋_GB2312"/>
          <w:kern w:val="0"/>
          <w:sz w:val="32"/>
          <w:szCs w:val="32"/>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1、干保经费：用于探望慰问住院的保健对象（20人），保障费用、应急执勤费用、检查督导费用、培训演练费用等。到2020年12月，已按计划完成。</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仿宋_GB2312" w:eastAsia="仿宋_GB2312" w:cs="仿宋_GB2312"/>
          <w:sz w:val="32"/>
          <w:szCs w:val="32"/>
        </w:rPr>
        <w:t>业务运行费：业务科室开展的检查、考核、业务指导20余次；接待检查、督导10余次；(重大传染病防治)工作租车费；聘用人员5人经费等。</w:t>
      </w:r>
      <w:r>
        <w:rPr>
          <w:rFonts w:hint="eastAsia" w:ascii="仿宋_GB2312" w:hAnsi="宋体" w:eastAsia="仿宋_GB2312"/>
          <w:sz w:val="32"/>
          <w:szCs w:val="32"/>
        </w:rPr>
        <w:t>到2020年12月，已按计划完成。</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sz w:val="32"/>
          <w:szCs w:val="32"/>
        </w:rPr>
        <w:t>会理麻风病人治疗费：会理攀籍病人治理，按合同支付，</w:t>
      </w:r>
      <w:r>
        <w:rPr>
          <w:rFonts w:hint="eastAsia" w:eastAsia="仿宋_GB2312"/>
          <w:sz w:val="32"/>
          <w:szCs w:val="32"/>
        </w:rPr>
        <w:t>结余</w:t>
      </w:r>
      <w:r>
        <w:rPr>
          <w:rFonts w:eastAsia="仿宋_GB2312"/>
          <w:sz w:val="32"/>
          <w:szCs w:val="32"/>
        </w:rPr>
        <w:t>3</w:t>
      </w:r>
      <w:r>
        <w:rPr>
          <w:rFonts w:hint="eastAsia" w:eastAsia="仿宋_GB2312"/>
          <w:sz w:val="32"/>
          <w:szCs w:val="32"/>
        </w:rPr>
        <w:t>万元原因为对方发票滞后年底财政已停止支付，将于下年初支付。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1、干保经费：提高服务质量，保障身心健康，干部保健对象满意度大于90%。</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宋体" w:eastAsia="仿宋_GB2312"/>
          <w:sz w:val="32"/>
          <w:szCs w:val="32"/>
        </w:rPr>
        <w:t>2、</w:t>
      </w:r>
      <w:r>
        <w:rPr>
          <w:rFonts w:hint="eastAsia" w:ascii="仿宋_GB2312" w:hAnsi="仿宋_GB2312" w:eastAsia="仿宋_GB2312" w:cs="仿宋_GB2312"/>
          <w:sz w:val="32"/>
          <w:szCs w:val="32"/>
        </w:rPr>
        <w:t>业务运行费：履行职责职能，促进卫生计生事业发展，确保民生目标任务完成，更好为群众健康服务，机关职工满意度大于90%。</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sz w:val="32"/>
          <w:szCs w:val="32"/>
        </w:rPr>
        <w:t>会理麻风病人治疗费：确保病人得到治疗，维护社会稳定和谐，病人满意度大于90%。</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8"/>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年，市卫生健康委员会紧紧围绕部门预算绩效目标推进各项工作，实时监控部门预算执行情况，顺利完成各项年度绩效目标。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 w:hAnsi="仿宋" w:eastAsia="仿宋" w:cs="宋体"/>
          <w:kern w:val="0"/>
          <w:sz w:val="30"/>
          <w:szCs w:val="30"/>
        </w:rPr>
      </w:pPr>
      <w:r>
        <w:rPr>
          <w:rFonts w:hint="eastAsia" w:ascii="仿宋" w:hAnsi="仿宋" w:eastAsia="仿宋" w:cs="宋体"/>
          <w:kern w:val="0"/>
          <w:sz w:val="30"/>
          <w:szCs w:val="30"/>
        </w:rPr>
        <w:t>预算编制工作有待细化。预算编制不够准确和细化，预算编制的合理性需要提高，预算执行力度还要进一步加强。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utoSpaceDE w:val="0"/>
        <w:autoSpaceDN w:val="0"/>
        <w:adjustRightInd w:val="0"/>
        <w:spacing w:line="600" w:lineRule="exact"/>
        <w:ind w:firstLine="640" w:firstLineChars="200"/>
        <w:rPr>
          <w:rFonts w:hint="eastAsia" w:eastAsia="仿宋_GB2312"/>
          <w:kern w:val="0"/>
          <w:sz w:val="32"/>
          <w:szCs w:val="32"/>
        </w:rPr>
      </w:pPr>
      <w:r>
        <w:rPr>
          <w:rFonts w:hint="eastAsia" w:eastAsia="仿宋_GB2312"/>
          <w:kern w:val="0"/>
          <w:sz w:val="32"/>
          <w:szCs w:val="32"/>
        </w:rPr>
        <w:t>细化预算工作，认真做好预算。进一步加强内部机构的预算管理意识，严格按照预算的相关制度和要求，本着“勤俭节约，保障运转”的原则进行预算；尽可能的全面不漏项，进一步提高预算的科学性、合理性、严谨性和可控性。</w:t>
      </w:r>
    </w:p>
    <w:p>
      <w:pPr>
        <w:spacing w:line="580" w:lineRule="exact"/>
        <w:ind w:firstLine="640"/>
        <w:rPr>
          <w:rFonts w:ascii="仿宋_GB2312" w:hAnsi="仿宋_GB2312" w:eastAsia="仿宋_GB2312" w:cs="仿宋_GB2312"/>
          <w:sz w:val="32"/>
          <w:szCs w:val="32"/>
        </w:rPr>
      </w:pPr>
      <w:bookmarkStart w:id="130" w:name="_GoBack"/>
      <w:bookmarkEnd w:id="130"/>
    </w:p>
    <w:p>
      <w:pPr>
        <w:spacing w:line="580" w:lineRule="exact"/>
        <w:ind w:firstLine="640"/>
        <w:rPr>
          <w:rFonts w:ascii="仿宋_GB2312" w:hAnsi="仿宋_GB2312" w:eastAsia="仿宋_GB2312" w:cs="仿宋_GB2312"/>
          <w:sz w:val="32"/>
          <w:szCs w:val="32"/>
        </w:rPr>
      </w:pPr>
    </w:p>
    <w:p>
      <w:pPr>
        <w:widowControl/>
        <w:jc w:val="left"/>
        <w:rPr>
          <w:rStyle w:val="17"/>
          <w:rFonts w:ascii="黑体" w:hAnsi="黑体" w:eastAsia="黑体"/>
          <w:b w:val="0"/>
        </w:rPr>
      </w:pPr>
    </w:p>
    <w:p>
      <w:pPr>
        <w:widowControl/>
        <w:jc w:val="left"/>
        <w:rPr>
          <w:rStyle w:val="17"/>
          <w:rFonts w:ascii="黑体" w:hAnsi="黑体" w:eastAsia="黑体"/>
          <w:b w:val="0"/>
        </w:rPr>
      </w:pPr>
      <w:r>
        <w:rPr>
          <w:rStyle w:val="17"/>
          <w:rFonts w:ascii="黑体" w:hAnsi="黑体" w:eastAsia="黑体"/>
          <w:b w:val="0"/>
        </w:rPr>
        <w:br w:type="page"/>
      </w:r>
    </w:p>
    <w:bookmarkEnd w:id="98"/>
    <w:p>
      <w:pPr>
        <w:pStyle w:val="4"/>
        <w:jc w:val="center"/>
        <w:rPr>
          <w:rFonts w:ascii="仿宋" w:hAnsi="仿宋" w:eastAsia="仿宋"/>
          <w:bCs w:val="0"/>
          <w:color w:val="000000"/>
          <w:sz w:val="44"/>
          <w:szCs w:val="44"/>
        </w:rPr>
      </w:pPr>
      <w:bookmarkStart w:id="101" w:name="_Toc11617"/>
      <w:bookmarkStart w:id="102" w:name="_Toc15396619"/>
      <w:r>
        <w:rPr>
          <w:rFonts w:hint="eastAsia" w:ascii="仿宋" w:hAnsi="仿宋" w:eastAsia="仿宋"/>
          <w:bCs w:val="0"/>
          <w:color w:val="000000"/>
          <w:sz w:val="44"/>
          <w:szCs w:val="44"/>
        </w:rPr>
        <w:t>第五部分  附表</w:t>
      </w:r>
      <w:bookmarkEnd w:id="101"/>
    </w:p>
    <w:p>
      <w:pPr>
        <w:pStyle w:val="4"/>
        <w:rPr>
          <w:rFonts w:ascii="仿宋" w:hAnsi="仿宋" w:eastAsia="仿宋"/>
          <w:color w:val="000000"/>
        </w:rPr>
      </w:pPr>
      <w:bookmarkStart w:id="103" w:name="_Toc14359"/>
      <w:r>
        <w:rPr>
          <w:rFonts w:hint="eastAsia" w:ascii="仿宋" w:hAnsi="仿宋" w:eastAsia="仿宋"/>
          <w:b w:val="0"/>
          <w:color w:val="000000"/>
        </w:rPr>
        <w:t>一、收</w:t>
      </w:r>
      <w:r>
        <w:rPr>
          <w:rStyle w:val="18"/>
          <w:rFonts w:hint="eastAsia" w:ascii="仿宋" w:hAnsi="仿宋" w:eastAsia="仿宋"/>
          <w:b w:val="0"/>
          <w:bCs w:val="0"/>
        </w:rPr>
        <w:t>入支出决算总表</w:t>
      </w:r>
      <w:bookmarkEnd w:id="102"/>
      <w:bookmarkEnd w:id="103"/>
    </w:p>
    <w:p>
      <w:pPr>
        <w:pStyle w:val="4"/>
        <w:rPr>
          <w:rFonts w:ascii="仿宋" w:hAnsi="仿宋" w:eastAsia="仿宋"/>
          <w:color w:val="000000"/>
        </w:rPr>
      </w:pPr>
      <w:bookmarkStart w:id="104" w:name="_Toc27653"/>
      <w:bookmarkStart w:id="105"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104"/>
      <w:bookmarkEnd w:id="105"/>
    </w:p>
    <w:p>
      <w:pPr>
        <w:pStyle w:val="4"/>
        <w:rPr>
          <w:rFonts w:ascii="仿宋" w:hAnsi="仿宋" w:eastAsia="仿宋"/>
          <w:color w:val="000000"/>
        </w:rPr>
      </w:pPr>
      <w:bookmarkStart w:id="106" w:name="_Toc15396621"/>
      <w:bookmarkStart w:id="107" w:name="_Toc9847"/>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106"/>
      <w:bookmarkEnd w:id="107"/>
    </w:p>
    <w:p>
      <w:pPr>
        <w:pStyle w:val="4"/>
        <w:rPr>
          <w:rFonts w:ascii="仿宋" w:hAnsi="仿宋" w:eastAsia="仿宋"/>
          <w:b w:val="0"/>
          <w:color w:val="000000"/>
        </w:rPr>
      </w:pPr>
      <w:bookmarkStart w:id="108" w:name="_Toc15650"/>
      <w:bookmarkStart w:id="109"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108"/>
      <w:bookmarkEnd w:id="109"/>
    </w:p>
    <w:p>
      <w:pPr>
        <w:pStyle w:val="4"/>
        <w:rPr>
          <w:rStyle w:val="18"/>
          <w:rFonts w:ascii="仿宋" w:hAnsi="仿宋" w:eastAsia="仿宋"/>
          <w:b w:val="0"/>
          <w:bCs w:val="0"/>
        </w:rPr>
      </w:pPr>
      <w:bookmarkStart w:id="110" w:name="_Toc15396623"/>
      <w:bookmarkStart w:id="111" w:name="_Toc3341"/>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110"/>
      <w:bookmarkEnd w:id="111"/>
      <w:bookmarkStart w:id="112" w:name="_Toc15396624"/>
    </w:p>
    <w:p>
      <w:pPr>
        <w:pStyle w:val="4"/>
        <w:rPr>
          <w:rFonts w:ascii="仿宋" w:hAnsi="仿宋" w:eastAsia="仿宋"/>
          <w:color w:val="000000"/>
        </w:rPr>
      </w:pPr>
      <w:bookmarkStart w:id="113" w:name="_Toc28595"/>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112"/>
      <w:bookmarkEnd w:id="113"/>
    </w:p>
    <w:p>
      <w:pPr>
        <w:pStyle w:val="4"/>
        <w:rPr>
          <w:rFonts w:ascii="仿宋" w:hAnsi="仿宋" w:eastAsia="仿宋"/>
          <w:color w:val="000000"/>
        </w:rPr>
      </w:pPr>
      <w:bookmarkStart w:id="114" w:name="_Toc15396625"/>
      <w:bookmarkStart w:id="115" w:name="_Toc26109"/>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114"/>
      <w:bookmarkEnd w:id="115"/>
    </w:p>
    <w:p>
      <w:pPr>
        <w:pStyle w:val="4"/>
        <w:rPr>
          <w:rFonts w:ascii="仿宋" w:hAnsi="仿宋" w:eastAsia="仿宋"/>
          <w:color w:val="000000"/>
        </w:rPr>
      </w:pPr>
      <w:bookmarkStart w:id="116" w:name="_Toc10267"/>
      <w:bookmarkStart w:id="11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116"/>
      <w:bookmarkEnd w:id="117"/>
    </w:p>
    <w:p>
      <w:pPr>
        <w:pStyle w:val="4"/>
        <w:rPr>
          <w:rFonts w:ascii="仿宋" w:hAnsi="仿宋" w:eastAsia="仿宋"/>
          <w:color w:val="000000"/>
        </w:rPr>
      </w:pPr>
      <w:bookmarkStart w:id="118" w:name="_Toc15396627"/>
      <w:bookmarkStart w:id="119" w:name="_Toc13246"/>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118"/>
      <w:bookmarkEnd w:id="119"/>
    </w:p>
    <w:p>
      <w:pPr>
        <w:pStyle w:val="4"/>
        <w:rPr>
          <w:rFonts w:ascii="仿宋" w:hAnsi="仿宋" w:eastAsia="仿宋"/>
          <w:color w:val="000000"/>
        </w:rPr>
      </w:pPr>
      <w:bookmarkStart w:id="120" w:name="_Toc6158"/>
      <w:bookmarkStart w:id="121"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120"/>
      <w:bookmarkEnd w:id="121"/>
    </w:p>
    <w:p>
      <w:pPr>
        <w:pStyle w:val="4"/>
        <w:rPr>
          <w:rFonts w:ascii="仿宋" w:hAnsi="仿宋" w:eastAsia="仿宋"/>
          <w:color w:val="000000"/>
        </w:rPr>
      </w:pPr>
      <w:bookmarkStart w:id="122" w:name="_Toc15396629"/>
      <w:bookmarkStart w:id="123" w:name="_Toc7655"/>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122"/>
      <w:bookmarkEnd w:id="123"/>
    </w:p>
    <w:p>
      <w:pPr>
        <w:pStyle w:val="4"/>
        <w:rPr>
          <w:rFonts w:ascii="仿宋" w:hAnsi="仿宋" w:eastAsia="仿宋"/>
          <w:color w:val="000000"/>
        </w:rPr>
      </w:pPr>
      <w:bookmarkStart w:id="124" w:name="_Toc23215"/>
      <w:bookmarkStart w:id="125"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124"/>
      <w:bookmarkEnd w:id="125"/>
    </w:p>
    <w:p>
      <w:pPr>
        <w:pStyle w:val="4"/>
        <w:rPr>
          <w:rFonts w:ascii="仿宋" w:hAnsi="仿宋" w:eastAsia="仿宋"/>
          <w:color w:val="000000"/>
        </w:rPr>
      </w:pPr>
      <w:bookmarkStart w:id="126" w:name="_Toc15396631"/>
      <w:bookmarkStart w:id="127" w:name="_Toc17743"/>
      <w:r>
        <w:rPr>
          <w:rStyle w:val="18"/>
          <w:rFonts w:hint="eastAsia" w:ascii="仿宋" w:hAnsi="仿宋" w:eastAsia="仿宋"/>
          <w:b w:val="0"/>
          <w:bCs w:val="0"/>
        </w:rPr>
        <w:t>十三、</w:t>
      </w:r>
      <w:bookmarkEnd w:id="126"/>
      <w:r>
        <w:rPr>
          <w:rFonts w:hint="eastAsia" w:ascii="仿宋" w:hAnsi="仿宋" w:eastAsia="仿宋"/>
          <w:b w:val="0"/>
          <w:color w:val="000000"/>
        </w:rPr>
        <w:t>国</w:t>
      </w:r>
      <w:r>
        <w:rPr>
          <w:rStyle w:val="31"/>
          <w:rFonts w:hint="eastAsia" w:ascii="仿宋" w:hAnsi="仿宋" w:eastAsia="仿宋"/>
          <w:b w:val="0"/>
          <w:bCs w:val="0"/>
        </w:rPr>
        <w:t>有资本经营预算财政拨款收入支出决算表（此表无数据）</w:t>
      </w:r>
      <w:bookmarkEnd w:id="127"/>
    </w:p>
    <w:p>
      <w:pPr>
        <w:pStyle w:val="4"/>
        <w:rPr>
          <w:rFonts w:ascii="仿宋" w:hAnsi="仿宋" w:eastAsia="仿宋"/>
          <w:color w:val="000000"/>
        </w:rPr>
      </w:pPr>
      <w:bookmarkStart w:id="128" w:name="_Toc27554"/>
      <w:bookmarkStart w:id="129" w:name="_Toc16051"/>
      <w:r>
        <w:rPr>
          <w:rStyle w:val="31"/>
          <w:rFonts w:hint="eastAsia" w:ascii="仿宋" w:hAnsi="仿宋" w:eastAsia="仿宋"/>
          <w:b w:val="0"/>
          <w:bCs w:val="0"/>
        </w:rPr>
        <w:t>十四、</w:t>
      </w:r>
      <w:r>
        <w:rPr>
          <w:rFonts w:hint="eastAsia" w:ascii="仿宋" w:hAnsi="仿宋" w:eastAsia="仿宋"/>
          <w:b w:val="0"/>
          <w:color w:val="000000"/>
        </w:rPr>
        <w:t>国</w:t>
      </w:r>
      <w:r>
        <w:rPr>
          <w:rStyle w:val="31"/>
          <w:rFonts w:hint="eastAsia" w:ascii="仿宋" w:hAnsi="仿宋" w:eastAsia="仿宋"/>
          <w:b w:val="0"/>
          <w:bCs w:val="0"/>
        </w:rPr>
        <w:t>有资本经营预算财政拨款支出决算表</w:t>
      </w:r>
      <w:bookmarkEnd w:id="128"/>
      <w:r>
        <w:rPr>
          <w:rStyle w:val="31"/>
          <w:rFonts w:hint="eastAsia" w:ascii="仿宋" w:hAnsi="仿宋" w:eastAsia="仿宋"/>
          <w:b w:val="0"/>
          <w:bCs w:val="0"/>
        </w:rPr>
        <w:t>（此表无数据）</w:t>
      </w:r>
      <w:bookmarkEnd w:id="129"/>
    </w:p>
    <w:p>
      <w:pPr>
        <w:pStyle w:val="4"/>
        <w:rPr>
          <w:rStyle w:val="18"/>
          <w:rFonts w:ascii="仿宋" w:hAnsi="仿宋" w:eastAsia="仿宋"/>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FSK--GBK1-0">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43</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6F121DE3"/>
    <w:multiLevelType w:val="singleLevel"/>
    <w:tmpl w:val="6F121DE3"/>
    <w:lvl w:ilvl="0" w:tentative="0">
      <w:start w:val="3"/>
      <w:numFmt w:val="chineseCounting"/>
      <w:suff w:val="nothing"/>
      <w:lvlText w:val="%1、"/>
      <w:lvlJc w:val="left"/>
      <w:rPr>
        <w:rFonts w:hint="eastAsia"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6722"/>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4B33"/>
    <w:rsid w:val="0025626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73710"/>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6A6A"/>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3D33"/>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73770"/>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11C3C"/>
    <w:rsid w:val="00C21570"/>
    <w:rsid w:val="00C33E72"/>
    <w:rsid w:val="00C354B2"/>
    <w:rsid w:val="00C35554"/>
    <w:rsid w:val="00C42709"/>
    <w:rsid w:val="00C533CC"/>
    <w:rsid w:val="00C5751C"/>
    <w:rsid w:val="00C61BFC"/>
    <w:rsid w:val="00C62B85"/>
    <w:rsid w:val="00C65438"/>
    <w:rsid w:val="00C87FD8"/>
    <w:rsid w:val="00C91381"/>
    <w:rsid w:val="00C91CBB"/>
    <w:rsid w:val="00CB2441"/>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467F"/>
    <w:rsid w:val="00D7035F"/>
    <w:rsid w:val="00D861D2"/>
    <w:rsid w:val="00D9744C"/>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9F72B3"/>
    <w:rsid w:val="021F4242"/>
    <w:rsid w:val="02B21080"/>
    <w:rsid w:val="02DC7D90"/>
    <w:rsid w:val="03BF1B50"/>
    <w:rsid w:val="0483174B"/>
    <w:rsid w:val="05DC72F8"/>
    <w:rsid w:val="070454CE"/>
    <w:rsid w:val="08631E8C"/>
    <w:rsid w:val="0A2032A3"/>
    <w:rsid w:val="0C923059"/>
    <w:rsid w:val="0C9D5449"/>
    <w:rsid w:val="0DDB7C20"/>
    <w:rsid w:val="0E78605F"/>
    <w:rsid w:val="0F086C0E"/>
    <w:rsid w:val="0F544C78"/>
    <w:rsid w:val="0FA922AA"/>
    <w:rsid w:val="0FBC5CD6"/>
    <w:rsid w:val="0FE371A7"/>
    <w:rsid w:val="10C055FF"/>
    <w:rsid w:val="10ED5860"/>
    <w:rsid w:val="118107EC"/>
    <w:rsid w:val="127813AC"/>
    <w:rsid w:val="128F75C4"/>
    <w:rsid w:val="14BA283F"/>
    <w:rsid w:val="16BB723D"/>
    <w:rsid w:val="176B37BC"/>
    <w:rsid w:val="17FA7840"/>
    <w:rsid w:val="1B327254"/>
    <w:rsid w:val="1B4078CA"/>
    <w:rsid w:val="1B4D3628"/>
    <w:rsid w:val="1B645F35"/>
    <w:rsid w:val="1CF535B0"/>
    <w:rsid w:val="1D155CEE"/>
    <w:rsid w:val="1FE23683"/>
    <w:rsid w:val="20350D37"/>
    <w:rsid w:val="213065B5"/>
    <w:rsid w:val="224E616D"/>
    <w:rsid w:val="22EE1F46"/>
    <w:rsid w:val="240371BF"/>
    <w:rsid w:val="243B3682"/>
    <w:rsid w:val="247108B9"/>
    <w:rsid w:val="24DB4FF2"/>
    <w:rsid w:val="267E536A"/>
    <w:rsid w:val="2720714C"/>
    <w:rsid w:val="29591505"/>
    <w:rsid w:val="298C499F"/>
    <w:rsid w:val="29FD04D3"/>
    <w:rsid w:val="2B742FFD"/>
    <w:rsid w:val="2D2E705D"/>
    <w:rsid w:val="2D8522E2"/>
    <w:rsid w:val="2DBD54BC"/>
    <w:rsid w:val="2E765D30"/>
    <w:rsid w:val="2EF205C2"/>
    <w:rsid w:val="319F7F4E"/>
    <w:rsid w:val="328D2EDA"/>
    <w:rsid w:val="335F503A"/>
    <w:rsid w:val="33BA0226"/>
    <w:rsid w:val="377007C1"/>
    <w:rsid w:val="37A47D08"/>
    <w:rsid w:val="387D5FDA"/>
    <w:rsid w:val="38E53CC5"/>
    <w:rsid w:val="3A140F74"/>
    <w:rsid w:val="3D3038FC"/>
    <w:rsid w:val="3E192734"/>
    <w:rsid w:val="3E8A45D4"/>
    <w:rsid w:val="3F050A09"/>
    <w:rsid w:val="3F835932"/>
    <w:rsid w:val="40F82915"/>
    <w:rsid w:val="428C1286"/>
    <w:rsid w:val="42F47C72"/>
    <w:rsid w:val="44276C12"/>
    <w:rsid w:val="45F11B47"/>
    <w:rsid w:val="464F2CCE"/>
    <w:rsid w:val="47E0672F"/>
    <w:rsid w:val="48E22C85"/>
    <w:rsid w:val="4AF02BEC"/>
    <w:rsid w:val="4C29271E"/>
    <w:rsid w:val="4ECE2238"/>
    <w:rsid w:val="4FEC0BFF"/>
    <w:rsid w:val="5154229B"/>
    <w:rsid w:val="524E33B0"/>
    <w:rsid w:val="53D8551F"/>
    <w:rsid w:val="547755A5"/>
    <w:rsid w:val="548D2B6C"/>
    <w:rsid w:val="550C70BB"/>
    <w:rsid w:val="557A7137"/>
    <w:rsid w:val="56987408"/>
    <w:rsid w:val="58721463"/>
    <w:rsid w:val="594377FF"/>
    <w:rsid w:val="598F1F71"/>
    <w:rsid w:val="59ED1036"/>
    <w:rsid w:val="5A8E4403"/>
    <w:rsid w:val="5ABF0BBB"/>
    <w:rsid w:val="5ACA6447"/>
    <w:rsid w:val="5B8D1466"/>
    <w:rsid w:val="5DD31B6C"/>
    <w:rsid w:val="602B1A09"/>
    <w:rsid w:val="608B5826"/>
    <w:rsid w:val="60D86D97"/>
    <w:rsid w:val="61034621"/>
    <w:rsid w:val="61AC6572"/>
    <w:rsid w:val="61B44B54"/>
    <w:rsid w:val="627A32CD"/>
    <w:rsid w:val="629D31AB"/>
    <w:rsid w:val="6341137E"/>
    <w:rsid w:val="64773C80"/>
    <w:rsid w:val="64913186"/>
    <w:rsid w:val="663E032D"/>
    <w:rsid w:val="677735C9"/>
    <w:rsid w:val="68245A5E"/>
    <w:rsid w:val="68271504"/>
    <w:rsid w:val="69520850"/>
    <w:rsid w:val="6B8C73F8"/>
    <w:rsid w:val="6BD171B4"/>
    <w:rsid w:val="6C4A05C8"/>
    <w:rsid w:val="6D36223B"/>
    <w:rsid w:val="6D554989"/>
    <w:rsid w:val="6D965474"/>
    <w:rsid w:val="70723D99"/>
    <w:rsid w:val="72440CA3"/>
    <w:rsid w:val="72734D90"/>
    <w:rsid w:val="73333D01"/>
    <w:rsid w:val="73685197"/>
    <w:rsid w:val="73CB38D7"/>
    <w:rsid w:val="73E246F5"/>
    <w:rsid w:val="75BE2E80"/>
    <w:rsid w:val="768029F2"/>
    <w:rsid w:val="790D4319"/>
    <w:rsid w:val="7A520150"/>
    <w:rsid w:val="7A6B4324"/>
    <w:rsid w:val="7A851DBC"/>
    <w:rsid w:val="7AB21304"/>
    <w:rsid w:val="7BB61FD2"/>
    <w:rsid w:val="7C530182"/>
    <w:rsid w:val="7C667168"/>
    <w:rsid w:val="7E0F3131"/>
    <w:rsid w:val="7E225ADC"/>
    <w:rsid w:val="7EF859A4"/>
    <w:rsid w:val="7F370DA5"/>
    <w:rsid w:val="7F3F71CA"/>
    <w:rsid w:val="7F97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lang w:val="zh-CN"/>
    </w:rPr>
  </w:style>
  <w:style w:type="paragraph" w:styleId="6">
    <w:name w:val="Body Text"/>
    <w:basedOn w:val="1"/>
    <w:link w:val="26"/>
    <w:qFormat/>
    <w:uiPriority w:val="99"/>
    <w:pPr>
      <w:spacing w:beforeLines="30"/>
    </w:pPr>
    <w:rPr>
      <w:rFonts w:ascii="仿宋_GB2312" w:eastAsia="仿宋_GB2312"/>
      <w:kern w:val="0"/>
      <w:sz w:val="24"/>
      <w:szCs w:val="20"/>
      <w:lang w:val="zh-CN"/>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21"/>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20"/>
      <w:lang w:val="zh-CN"/>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qFormat/>
    <w:uiPriority w:val="99"/>
    <w:rPr>
      <w:rFonts w:cs="Times New Roman"/>
      <w:b/>
    </w:rPr>
  </w:style>
  <w:style w:type="character" w:styleId="16">
    <w:name w:val="Hyperlink"/>
    <w:unhideWhenUsed/>
    <w:qFormat/>
    <w:uiPriority w:val="99"/>
    <w:rPr>
      <w:rFonts w:cs="Times New Roman"/>
      <w:color w:val="0000FF"/>
      <w:u w:val="single"/>
    </w:rPr>
  </w:style>
  <w:style w:type="character" w:customStyle="1" w:styleId="17">
    <w:name w:val="标题 1 字符"/>
    <w:link w:val="3"/>
    <w:qFormat/>
    <w:locked/>
    <w:uiPriority w:val="9"/>
    <w:rPr>
      <w:rFonts w:ascii="Times New Roman" w:hAnsi="Times New Roman" w:cs="Times New Roman"/>
      <w:b/>
      <w:bCs/>
      <w:kern w:val="44"/>
      <w:sz w:val="44"/>
      <w:szCs w:val="44"/>
    </w:rPr>
  </w:style>
  <w:style w:type="character" w:customStyle="1" w:styleId="18">
    <w:name w:val="标题 2 字符"/>
    <w:qFormat/>
    <w:locked/>
    <w:uiPriority w:val="9"/>
    <w:rPr>
      <w:rFonts w:ascii="Cambria" w:hAnsi="Cambria" w:eastAsia="宋体" w:cs="Times New Roman"/>
      <w:b/>
      <w:bCs/>
      <w:kern w:val="2"/>
      <w:sz w:val="32"/>
      <w:szCs w:val="32"/>
    </w:rPr>
  </w:style>
  <w:style w:type="character" w:customStyle="1" w:styleId="19">
    <w:name w:val="标题 3 字符"/>
    <w:link w:val="5"/>
    <w:qFormat/>
    <w:locked/>
    <w:uiPriority w:val="9"/>
    <w:rPr>
      <w:rFonts w:ascii="Times New Roman" w:hAnsi="Times New Roman" w:cs="Times New Roman"/>
      <w:b/>
      <w:bCs/>
      <w:kern w:val="2"/>
      <w:sz w:val="32"/>
      <w:szCs w:val="32"/>
    </w:rPr>
  </w:style>
  <w:style w:type="character" w:customStyle="1" w:styleId="20">
    <w:name w:val="Body Text Char"/>
    <w:semiHidden/>
    <w:qFormat/>
    <w:uiPriority w:val="99"/>
    <w:rPr>
      <w:rFonts w:ascii="Times New Roman" w:hAnsi="Times New Roman" w:cs="Times New Roman"/>
      <w:sz w:val="24"/>
      <w:szCs w:val="24"/>
    </w:rPr>
  </w:style>
  <w:style w:type="character" w:customStyle="1" w:styleId="21">
    <w:name w:val="批注框文本 字符"/>
    <w:link w:val="9"/>
    <w:semiHidden/>
    <w:qFormat/>
    <w:locked/>
    <w:uiPriority w:val="99"/>
    <w:rPr>
      <w:rFonts w:ascii="Times New Roman" w:hAnsi="Times New Roman" w:cs="Times New Roman"/>
      <w:kern w:val="2"/>
      <w:sz w:val="18"/>
      <w:szCs w:val="18"/>
    </w:rPr>
  </w:style>
  <w:style w:type="character" w:customStyle="1" w:styleId="22">
    <w:name w:val="Footer Char"/>
    <w:semiHidden/>
    <w:qFormat/>
    <w:uiPriority w:val="99"/>
    <w:rPr>
      <w:rFonts w:ascii="Times New Roman" w:hAnsi="Times New Roman" w:cs="Times New Roman"/>
      <w:sz w:val="18"/>
      <w:szCs w:val="18"/>
    </w:rPr>
  </w:style>
  <w:style w:type="character" w:customStyle="1" w:styleId="23">
    <w:name w:val="Header Char"/>
    <w:semiHidden/>
    <w:qFormat/>
    <w:uiPriority w:val="99"/>
    <w:rPr>
      <w:rFonts w:ascii="Times New Roman" w:hAnsi="Times New Roman" w:cs="Times New Roman"/>
      <w:sz w:val="18"/>
      <w:szCs w:val="18"/>
    </w:rPr>
  </w:style>
  <w:style w:type="character" w:customStyle="1" w:styleId="24">
    <w:name w:val="页眉 字符"/>
    <w:link w:val="2"/>
    <w:semiHidden/>
    <w:qFormat/>
    <w:locked/>
    <w:uiPriority w:val="99"/>
    <w:rPr>
      <w:sz w:val="18"/>
    </w:rPr>
  </w:style>
  <w:style w:type="character" w:customStyle="1" w:styleId="25">
    <w:name w:val="页脚 字符"/>
    <w:link w:val="10"/>
    <w:qFormat/>
    <w:locked/>
    <w:uiPriority w:val="99"/>
    <w:rPr>
      <w:sz w:val="18"/>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1">
    <w:name w:val="标题 2 字符1"/>
    <w:link w:val="4"/>
    <w:qFormat/>
    <w:locked/>
    <w:uiPriority w:val="9"/>
    <w:rPr>
      <w:rFonts w:ascii="Cambria" w:hAnsi="Cambria" w:eastAsia="宋体" w:cs="Times New Roman"/>
      <w:b/>
      <w:bCs/>
      <w:kern w:val="2"/>
      <w:sz w:val="32"/>
      <w:szCs w:val="32"/>
    </w:rPr>
  </w:style>
  <w:style w:type="character" w:customStyle="1" w:styleId="32">
    <w:name w:val="fontstyle01"/>
    <w:basedOn w:val="14"/>
    <w:uiPriority w:val="0"/>
    <w:rPr>
      <w:rFonts w:hint="eastAsia" w:ascii="方正小标宋简体" w:eastAsia="方正小标宋简体"/>
      <w:color w:val="000000"/>
      <w:sz w:val="44"/>
      <w:szCs w:val="44"/>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Workbook7.xls"/><Relationship Id="rId17" Type="http://schemas.openxmlformats.org/officeDocument/2006/relationships/image" Target="media/image6.emf"/><Relationship Id="rId16" Type="http://schemas.openxmlformats.org/officeDocument/2006/relationships/oleObject" Target="embeddings/Workbook6.xls"/><Relationship Id="rId15" Type="http://schemas.openxmlformats.org/officeDocument/2006/relationships/image" Target="media/image5.emf"/><Relationship Id="rId14" Type="http://schemas.openxmlformats.org/officeDocument/2006/relationships/oleObject" Target="embeddings/Workbook5.xls"/><Relationship Id="rId13" Type="http://schemas.openxmlformats.org/officeDocument/2006/relationships/image" Target="media/image4.emf"/><Relationship Id="rId12" Type="http://schemas.openxmlformats.org/officeDocument/2006/relationships/oleObject" Target="embeddings/Workbook4.xls"/><Relationship Id="rId11" Type="http://schemas.openxmlformats.org/officeDocument/2006/relationships/image" Target="media/image3.emf"/><Relationship Id="rId10" Type="http://schemas.openxmlformats.org/officeDocument/2006/relationships/oleObject" Target="embeddings/Workbook3.xls"/><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16497</Words>
  <Characters>3835</Characters>
  <Lines>31</Lines>
  <Paragraphs>40</Paragraphs>
  <TotalTime>0</TotalTime>
  <ScaleCrop>false</ScaleCrop>
  <LinksUpToDate>false</LinksUpToDate>
  <CharactersWithSpaces>20292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2021-10-10T02:13:00Z</dcterms:created>
  <dc:creator>曹颖</dc:creator>
  <cp:lastModifiedBy>test</cp:lastModifiedBy>
  <cp:lastPrinted>2021-07-29T03:56:00Z</cp:lastPrinted>
  <dcterms:modified xsi:type="dcterms:W3CDTF">2021-10-21T00:35:37Z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8878E81E1B404B2B93F6E1A50EE10D45</vt:lpwstr>
  </property>
</Properties>
</file>