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46" w:rsidRPr="00C72F3E" w:rsidRDefault="008C3E46" w:rsidP="00C72F3E">
      <w:pPr>
        <w:spacing w:line="580" w:lineRule="exact"/>
        <w:jc w:val="center"/>
        <w:rPr>
          <w:rFonts w:ascii="黑体" w:eastAsia="黑体" w:hAnsi="黑体" w:cs="小标宋"/>
          <w:snapToGrid w:val="0"/>
          <w:color w:val="000000"/>
          <w:sz w:val="36"/>
          <w:szCs w:val="36"/>
        </w:rPr>
      </w:pPr>
      <w:r w:rsidRPr="00C72F3E">
        <w:rPr>
          <w:rFonts w:ascii="黑体" w:eastAsia="黑体" w:hAnsi="黑体" w:cs="小标宋" w:hint="eastAsia"/>
          <w:snapToGrid w:val="0"/>
          <w:color w:val="000000"/>
          <w:sz w:val="36"/>
          <w:szCs w:val="36"/>
        </w:rPr>
        <w:t>攀枝花市卫生</w:t>
      </w:r>
      <w:r>
        <w:rPr>
          <w:rFonts w:ascii="黑体" w:eastAsia="黑体" w:hAnsi="黑体" w:cs="小标宋" w:hint="eastAsia"/>
          <w:snapToGrid w:val="0"/>
          <w:color w:val="000000"/>
          <w:sz w:val="36"/>
          <w:szCs w:val="36"/>
        </w:rPr>
        <w:t>和计划生育委员会关于</w:t>
      </w:r>
    </w:p>
    <w:p w:rsidR="008C3E46" w:rsidRPr="00C72F3E" w:rsidRDefault="008C3E46" w:rsidP="00C72F3E">
      <w:pPr>
        <w:spacing w:line="580" w:lineRule="exact"/>
        <w:jc w:val="center"/>
        <w:rPr>
          <w:rFonts w:ascii="黑体" w:eastAsia="黑体" w:hAnsi="黑体" w:cs="小标宋"/>
          <w:snapToGrid w:val="0"/>
          <w:color w:val="000000"/>
          <w:sz w:val="36"/>
          <w:szCs w:val="36"/>
        </w:rPr>
      </w:pPr>
      <w:r w:rsidRPr="00C72F3E">
        <w:rPr>
          <w:rFonts w:ascii="黑体" w:eastAsia="黑体" w:hAnsi="黑体" w:cs="小标宋" w:hint="eastAsia"/>
          <w:snapToGrid w:val="0"/>
          <w:color w:val="000000"/>
          <w:sz w:val="36"/>
          <w:szCs w:val="36"/>
        </w:rPr>
        <w:t>无证行医</w:t>
      </w:r>
      <w:r w:rsidRPr="00C72F3E">
        <w:rPr>
          <w:rFonts w:ascii="黑体" w:eastAsia="黑体" w:hAnsi="黑体" w:cs="小标宋"/>
          <w:snapToGrid w:val="0"/>
          <w:color w:val="000000"/>
          <w:sz w:val="36"/>
          <w:szCs w:val="36"/>
        </w:rPr>
        <w:t xml:space="preserve"> </w:t>
      </w:r>
      <w:r w:rsidRPr="00C72F3E">
        <w:rPr>
          <w:rFonts w:ascii="黑体" w:eastAsia="黑体" w:hAnsi="黑体" w:cs="小标宋" w:hint="eastAsia"/>
          <w:snapToGrid w:val="0"/>
          <w:color w:val="000000"/>
          <w:sz w:val="36"/>
          <w:szCs w:val="36"/>
        </w:rPr>
        <w:t>非法医疗专项治理工作细则</w:t>
      </w:r>
    </w:p>
    <w:p w:rsidR="008C3E46" w:rsidRDefault="008C3E46" w:rsidP="00C72F3E">
      <w:pPr>
        <w:spacing w:line="580" w:lineRule="exact"/>
        <w:jc w:val="center"/>
        <w:rPr>
          <w:rFonts w:ascii="小标宋" w:eastAsia="小标宋" w:hAnsi="小标宋" w:cs="小标宋"/>
          <w:snapToGrid w:val="0"/>
          <w:color w:val="000000"/>
          <w:sz w:val="44"/>
          <w:szCs w:val="44"/>
        </w:rPr>
      </w:pPr>
    </w:p>
    <w:p w:rsidR="008C3E46" w:rsidRDefault="008C3E46" w:rsidP="00C72F3E">
      <w:pPr>
        <w:pStyle w:val="NormalWeb"/>
        <w:widowControl w:val="0"/>
        <w:adjustRightInd w:val="0"/>
        <w:snapToGrid w:val="0"/>
        <w:spacing w:line="580" w:lineRule="exact"/>
        <w:ind w:left="0" w:right="0"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为进一步整顿和规范医疗秩序，进一步规范无证行医和非法医疗监管工作，切实维护人民群众健康权益，着力解决无证行医和非法医疗突出问题，加大</w:t>
      </w:r>
      <w:r w:rsidRPr="00DA46F1">
        <w:rPr>
          <w:rFonts w:ascii="仿宋_GB2312" w:eastAsia="仿宋_GB2312" w:hAnsi="仿宋_GB2312" w:cs="仿宋_GB2312" w:hint="eastAsia"/>
          <w:color w:val="000000"/>
          <w:sz w:val="32"/>
        </w:rPr>
        <w:t>无证行医和非法医疗</w:t>
      </w:r>
      <w:r>
        <w:rPr>
          <w:rFonts w:ascii="仿宋_GB2312" w:eastAsia="仿宋_GB2312" w:hAnsi="仿宋_GB2312" w:cs="仿宋_GB2312" w:hint="eastAsia"/>
          <w:color w:val="000000"/>
          <w:sz w:val="32"/>
        </w:rPr>
        <w:t>打击力度，制定工作细则如下。</w:t>
      </w:r>
    </w:p>
    <w:p w:rsidR="008C3E46" w:rsidRDefault="008C3E46" w:rsidP="00C72F3E">
      <w:pPr>
        <w:pStyle w:val="NormalWeb"/>
        <w:widowControl w:val="0"/>
        <w:adjustRightInd w:val="0"/>
        <w:snapToGrid w:val="0"/>
        <w:spacing w:line="580" w:lineRule="exact"/>
        <w:ind w:left="0" w:right="0" w:firstLineChars="200" w:firstLine="640"/>
        <w:rPr>
          <w:rFonts w:ascii="黑体" w:eastAsia="黑体" w:hAnsi="黑体"/>
          <w:snapToGrid w:val="0"/>
          <w:color w:val="000000"/>
          <w:sz w:val="32"/>
        </w:rPr>
      </w:pPr>
      <w:r>
        <w:rPr>
          <w:rFonts w:ascii="黑体" w:eastAsia="黑体" w:hAnsi="黑体" w:hint="eastAsia"/>
          <w:snapToGrid w:val="0"/>
          <w:color w:val="000000"/>
          <w:sz w:val="32"/>
        </w:rPr>
        <w:t>一、工作目标</w:t>
      </w:r>
    </w:p>
    <w:p w:rsidR="008C3E46" w:rsidRDefault="008C3E46" w:rsidP="00C72F3E">
      <w:pPr>
        <w:pStyle w:val="NormalWeb"/>
        <w:widowControl w:val="0"/>
        <w:adjustRightInd w:val="0"/>
        <w:snapToGrid w:val="0"/>
        <w:spacing w:line="580" w:lineRule="exact"/>
        <w:ind w:left="0" w:right="0"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围绕社会关注热点，以问题为导向，以提高人民群众对医疗服务的满意度为目标，结合日常监督和年度监督抽检计划，严厉打击无证行医行为，查处医疗机构使用非卫生技术人员从事诊疗活动、超范围行医等行为，进一步整顿和规范医疗秩序，保障人民群众就医安全，维护社会稳定和谐。</w:t>
      </w:r>
    </w:p>
    <w:p w:rsidR="008C3E46" w:rsidRDefault="008C3E46" w:rsidP="00C72F3E">
      <w:pPr>
        <w:pStyle w:val="NormalWeb"/>
        <w:widowControl w:val="0"/>
        <w:adjustRightInd w:val="0"/>
        <w:snapToGrid w:val="0"/>
        <w:spacing w:line="580" w:lineRule="exact"/>
        <w:ind w:left="0" w:right="0" w:firstLineChars="200" w:firstLine="640"/>
        <w:rPr>
          <w:rFonts w:ascii="黑体" w:eastAsia="黑体" w:hAnsi="黑体"/>
          <w:snapToGrid w:val="0"/>
          <w:color w:val="000000"/>
          <w:sz w:val="32"/>
        </w:rPr>
      </w:pPr>
      <w:r>
        <w:rPr>
          <w:rFonts w:ascii="黑体" w:eastAsia="黑体" w:hAnsi="黑体" w:hint="eastAsia"/>
          <w:snapToGrid w:val="0"/>
          <w:color w:val="000000"/>
          <w:sz w:val="32"/>
        </w:rPr>
        <w:t>二、工作任务</w:t>
      </w:r>
    </w:p>
    <w:p w:rsidR="008C3E46" w:rsidRDefault="008C3E46" w:rsidP="00C72F3E">
      <w:pPr>
        <w:pStyle w:val="NormalWeb"/>
        <w:widowControl w:val="0"/>
        <w:adjustRightInd w:val="0"/>
        <w:snapToGrid w:val="0"/>
        <w:spacing w:line="580" w:lineRule="exact"/>
        <w:ind w:left="0" w:right="0" w:firstLineChars="200" w:firstLine="640"/>
        <w:rPr>
          <w:rFonts w:ascii="仿宋_GB2312" w:eastAsia="仿宋_GB2312" w:hAnsi="仿宋_GB2312" w:cs="仿宋_GB2312"/>
          <w:color w:val="000000"/>
          <w:sz w:val="32"/>
        </w:rPr>
      </w:pPr>
      <w:r>
        <w:rPr>
          <w:rFonts w:hAnsi="Calibri" w:hint="eastAsia"/>
          <w:bCs/>
          <w:snapToGrid w:val="0"/>
          <w:color w:val="000000"/>
          <w:sz w:val="32"/>
        </w:rPr>
        <w:t>（一）严厉打击无证行医行为。</w:t>
      </w:r>
      <w:r>
        <w:rPr>
          <w:rFonts w:ascii="仿宋_GB2312" w:eastAsia="仿宋_GB2312" w:hAnsi="仿宋_GB2312" w:cs="仿宋_GB2312" w:hint="eastAsia"/>
          <w:color w:val="000000"/>
          <w:sz w:val="32"/>
        </w:rPr>
        <w:t>一是严厉打击未取得《医疗机构执业许可证》和《医师资格证书》《医师执业证书》开展诊疗活动；二是巩固严厉打击非法医疗美容专项行动成果，开展“回头看”，对非法开展医疗美容的行为保持高压态势；三是查处以养生保健为名或以疾病研究院（所）为幌子非法开展诊疗活动的行为。</w:t>
      </w:r>
      <w:r>
        <w:rPr>
          <w:rFonts w:ascii="宋体" w:eastAsia="宋体" w:cs="宋体"/>
          <w:color w:val="000000"/>
          <w:sz w:val="32"/>
        </w:rPr>
        <w:t> </w:t>
      </w:r>
    </w:p>
    <w:p w:rsidR="008C3E46" w:rsidRDefault="008C3E46" w:rsidP="00C72F3E">
      <w:pPr>
        <w:pStyle w:val="NormalWeb"/>
        <w:widowControl w:val="0"/>
        <w:adjustRightInd w:val="0"/>
        <w:snapToGrid w:val="0"/>
        <w:spacing w:line="580" w:lineRule="exact"/>
        <w:ind w:left="0" w:right="0" w:firstLineChars="200" w:firstLine="640"/>
        <w:rPr>
          <w:rFonts w:ascii="仿宋_GB2312" w:eastAsia="仿宋_GB2312" w:hAnsi="仿宋_GB2312" w:cs="仿宋_GB2312"/>
          <w:color w:val="000000"/>
          <w:sz w:val="32"/>
        </w:rPr>
      </w:pPr>
      <w:r>
        <w:rPr>
          <w:rFonts w:hAnsi="Calibri" w:hint="eastAsia"/>
          <w:bCs/>
          <w:snapToGrid w:val="0"/>
          <w:color w:val="000000"/>
          <w:sz w:val="32"/>
        </w:rPr>
        <w:t>（二）严肃查处医疗机构的违法违规行为。</w:t>
      </w:r>
      <w:r>
        <w:rPr>
          <w:rFonts w:ascii="仿宋_GB2312" w:eastAsia="仿宋_GB2312" w:hAnsi="仿宋_GB2312" w:cs="仿宋_GB2312" w:hint="eastAsia"/>
          <w:color w:val="000000"/>
          <w:sz w:val="32"/>
        </w:rPr>
        <w:t>以一级以下医院</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含妇幼保健机构，下同</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未定级医疗机构、专业体检机构以及血液透析中心等新医疗机构类别为检查重点，严厉打击各类违法违规行为。一是查处医疗机构使用非卫生技术人员从事医疗卫生技术工作；二是查处医疗机构超出登记范围开展诊疗活动；三是查处违规开展禁止临床应用的医疗技术、未经备案开展限制临床应用的医疗技术以及开展明确按临床研究管理的医疗技术临床应用等行为及其他违反卫生法律法规的行为。</w:t>
      </w:r>
    </w:p>
    <w:p w:rsidR="008C3E46" w:rsidRDefault="008C3E46" w:rsidP="00C72F3E">
      <w:pPr>
        <w:pStyle w:val="NormalWeb"/>
        <w:widowControl w:val="0"/>
        <w:adjustRightInd w:val="0"/>
        <w:snapToGrid w:val="0"/>
        <w:spacing w:line="580" w:lineRule="exact"/>
        <w:ind w:left="0" w:right="0" w:firstLineChars="200" w:firstLine="640"/>
        <w:rPr>
          <w:rFonts w:ascii="仿宋_GB2312" w:eastAsia="仿宋_GB2312" w:hAnsi="仿宋_GB2312" w:cs="仿宋_GB2312"/>
          <w:color w:val="000000"/>
          <w:sz w:val="32"/>
        </w:rPr>
      </w:pPr>
      <w:r w:rsidRPr="00F502C8">
        <w:rPr>
          <w:rFonts w:hAnsi="Calibri" w:hint="eastAsia"/>
          <w:bCs/>
          <w:snapToGrid w:val="0"/>
          <w:color w:val="000000"/>
          <w:sz w:val="32"/>
        </w:rPr>
        <w:t>（三）突出重点对象强化监督检查。</w:t>
      </w:r>
      <w:r>
        <w:rPr>
          <w:rFonts w:ascii="仿宋_GB2312" w:eastAsia="仿宋_GB2312" w:hAnsi="仿宋_GB2312" w:cs="仿宋_GB2312" w:hint="eastAsia"/>
          <w:color w:val="000000"/>
          <w:sz w:val="32"/>
        </w:rPr>
        <w:t>将投诉举报集中、既往监督检查中发现问题较多的医疗机构作为检查重点，将上一年度监督检查中被卫生计生行政部门行政处罚的医疗机构全部纳入监督检查对象，强化监督检查。</w:t>
      </w:r>
    </w:p>
    <w:p w:rsidR="008C3E46" w:rsidRDefault="008C3E46" w:rsidP="00C72F3E">
      <w:pPr>
        <w:pStyle w:val="NormalWeb"/>
        <w:widowControl w:val="0"/>
        <w:adjustRightInd w:val="0"/>
        <w:snapToGrid w:val="0"/>
        <w:spacing w:line="580" w:lineRule="exact"/>
        <w:ind w:left="0" w:right="0" w:firstLineChars="200" w:firstLine="640"/>
        <w:rPr>
          <w:rFonts w:ascii="黑体" w:eastAsia="黑体" w:hAnsi="黑体"/>
          <w:bCs/>
          <w:snapToGrid w:val="0"/>
          <w:color w:val="000000"/>
          <w:sz w:val="32"/>
        </w:rPr>
      </w:pPr>
      <w:r>
        <w:rPr>
          <w:rFonts w:ascii="黑体" w:eastAsia="黑体" w:hAnsi="黑体" w:hint="eastAsia"/>
          <w:bCs/>
          <w:snapToGrid w:val="0"/>
          <w:color w:val="000000"/>
          <w:sz w:val="32"/>
        </w:rPr>
        <w:t>三、治理措施</w:t>
      </w:r>
    </w:p>
    <w:p w:rsidR="008C3E46" w:rsidRDefault="008C3E46" w:rsidP="00C72F3E">
      <w:pPr>
        <w:pStyle w:val="NormalWeb"/>
        <w:widowControl w:val="0"/>
        <w:adjustRightInd w:val="0"/>
        <w:snapToGrid w:val="0"/>
        <w:spacing w:line="580" w:lineRule="exact"/>
        <w:ind w:left="0" w:right="0" w:firstLineChars="200" w:firstLine="640"/>
        <w:rPr>
          <w:rFonts w:hAnsi="Calibri"/>
          <w:bCs/>
          <w:snapToGrid w:val="0"/>
          <w:color w:val="000000"/>
          <w:sz w:val="32"/>
        </w:rPr>
      </w:pPr>
      <w:r>
        <w:rPr>
          <w:rFonts w:hAnsi="Calibri"/>
          <w:bCs/>
          <w:snapToGrid w:val="0"/>
          <w:color w:val="000000"/>
          <w:sz w:val="32"/>
        </w:rPr>
        <w:t>(</w:t>
      </w:r>
      <w:r>
        <w:rPr>
          <w:rFonts w:hAnsi="Calibri" w:hint="eastAsia"/>
          <w:bCs/>
          <w:snapToGrid w:val="0"/>
          <w:color w:val="000000"/>
          <w:sz w:val="32"/>
        </w:rPr>
        <w:t>一</w:t>
      </w:r>
      <w:r>
        <w:rPr>
          <w:rFonts w:hAnsi="Calibri"/>
          <w:bCs/>
          <w:snapToGrid w:val="0"/>
          <w:color w:val="000000"/>
          <w:sz w:val="32"/>
        </w:rPr>
        <w:t>)</w:t>
      </w:r>
      <w:r>
        <w:rPr>
          <w:rFonts w:hAnsi="Calibri" w:hint="eastAsia"/>
          <w:bCs/>
          <w:snapToGrid w:val="0"/>
          <w:color w:val="000000"/>
          <w:sz w:val="32"/>
        </w:rPr>
        <w:t>联合联动，强化组织领导。</w:t>
      </w:r>
    </w:p>
    <w:p w:rsidR="008C3E46" w:rsidRDefault="008C3E46" w:rsidP="00C72F3E">
      <w:pPr>
        <w:pStyle w:val="NormalWeb"/>
        <w:widowControl w:val="0"/>
        <w:adjustRightInd w:val="0"/>
        <w:snapToGrid w:val="0"/>
        <w:spacing w:line="580" w:lineRule="exact"/>
        <w:ind w:left="0" w:right="0"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各级卫生计生行政部门和监督执法机构要充分认识无证行医和非法医疗治理工作的重要性和紧迫性，切实加强对专项行动的领导，加大与公安、工商、药监等部门联动，形成统筹安排、齐抓共管的局面。从维护广大人民群众健康权益的高度出发，提高认识，克服倦怠思想、避免形式主义，确保各项治理行动落到实处。市卫生计生委将根据实际情况，加强对县（区）治理工作的督导检查，确保工作取得实效。</w:t>
      </w:r>
    </w:p>
    <w:p w:rsidR="008C3E46" w:rsidRDefault="008C3E46" w:rsidP="00C72F3E">
      <w:pPr>
        <w:pStyle w:val="NormalWeb"/>
        <w:widowControl w:val="0"/>
        <w:adjustRightInd w:val="0"/>
        <w:snapToGrid w:val="0"/>
        <w:spacing w:line="580" w:lineRule="exact"/>
        <w:ind w:left="0" w:right="0" w:firstLineChars="200" w:firstLine="640"/>
        <w:rPr>
          <w:rFonts w:hAnsi="Calibri"/>
          <w:bCs/>
          <w:snapToGrid w:val="0"/>
          <w:color w:val="000000"/>
          <w:sz w:val="32"/>
        </w:rPr>
      </w:pPr>
      <w:r>
        <w:rPr>
          <w:rFonts w:hAnsi="Calibri"/>
          <w:bCs/>
          <w:snapToGrid w:val="0"/>
          <w:color w:val="000000"/>
          <w:sz w:val="32"/>
        </w:rPr>
        <w:t>(</w:t>
      </w:r>
      <w:r>
        <w:rPr>
          <w:rFonts w:hAnsi="Calibri" w:hint="eastAsia"/>
          <w:bCs/>
          <w:snapToGrid w:val="0"/>
          <w:color w:val="000000"/>
          <w:sz w:val="32"/>
        </w:rPr>
        <w:t>二</w:t>
      </w:r>
      <w:r>
        <w:rPr>
          <w:rFonts w:hAnsi="Calibri"/>
          <w:bCs/>
          <w:snapToGrid w:val="0"/>
          <w:color w:val="000000"/>
          <w:sz w:val="32"/>
        </w:rPr>
        <w:t>)</w:t>
      </w:r>
      <w:r>
        <w:rPr>
          <w:rFonts w:hAnsi="Calibri" w:hint="eastAsia"/>
          <w:bCs/>
          <w:snapToGrid w:val="0"/>
          <w:color w:val="000000"/>
          <w:sz w:val="32"/>
        </w:rPr>
        <w:t>全面排查，严厉查处违法案件。</w:t>
      </w:r>
    </w:p>
    <w:p w:rsidR="008C3E46" w:rsidRDefault="008C3E46" w:rsidP="00C72F3E">
      <w:pPr>
        <w:pStyle w:val="NormalWeb"/>
        <w:widowControl w:val="0"/>
        <w:adjustRightInd w:val="0"/>
        <w:snapToGrid w:val="0"/>
        <w:spacing w:line="580" w:lineRule="exact"/>
        <w:ind w:left="0" w:right="0" w:firstLineChars="200" w:firstLine="640"/>
        <w:rPr>
          <w:rFonts w:ascii="仿宋_GB2312" w:eastAsia="仿宋_GB2312" w:hAnsi="仿宋_GB2312" w:cs="仿宋_GB2312"/>
          <w:snapToGrid w:val="0"/>
          <w:color w:val="000000"/>
          <w:sz w:val="32"/>
        </w:rPr>
      </w:pPr>
      <w:r w:rsidRPr="008D6D65">
        <w:rPr>
          <w:rFonts w:ascii="仿宋_GB2312" w:eastAsia="仿宋_GB2312" w:hAnsi="仿宋_GB2312" w:cs="仿宋_GB2312" w:hint="eastAsia"/>
          <w:snapToGrid w:val="0"/>
          <w:color w:val="000000"/>
          <w:sz w:val="32"/>
        </w:rPr>
        <w:t>卫生计生行政部门及其监督执法机构</w:t>
      </w:r>
      <w:r>
        <w:rPr>
          <w:rFonts w:ascii="仿宋_GB2312" w:eastAsia="仿宋_GB2312" w:hAnsi="仿宋_GB2312" w:cs="仿宋_GB2312" w:hint="eastAsia"/>
          <w:snapToGrid w:val="0"/>
          <w:color w:val="000000"/>
          <w:sz w:val="32"/>
        </w:rPr>
        <w:t>要积极作为，坚持主动出击，</w:t>
      </w:r>
      <w:r w:rsidRPr="008D6D65">
        <w:rPr>
          <w:rFonts w:ascii="仿宋_GB2312" w:eastAsia="仿宋_GB2312" w:hAnsi="仿宋_GB2312" w:cs="仿宋_GB2312" w:hint="eastAsia"/>
          <w:snapToGrid w:val="0"/>
          <w:color w:val="000000"/>
          <w:sz w:val="32"/>
        </w:rPr>
        <w:t>一是以“城中村”、开发区以及城乡结合部等流动人口聚集地为重点，严厉打击未取得《医疗机构执业许可证》擅自开展诊疗活动的“黑诊所”；二是以农贸市场、集市、大型建筑工地等人员密集场所为重点，严厉打击坑害群众利益的游医、假医；三是以城市生活美容机构为重点，查处未取得《医疗机构执业许可证》擅自从事医疗美容诊疗活动的单位和个人；四是以零售药店为重点，查处未取得《医疗机构执业许可证》擅自聘用医师或非医师坐堂行医的行为；五是查处以养生保健为名或以疾病研究院（所）为幌子非法开展诊疗活动的行为；六是严厉打击地方单位和人员假冒军队医疗机构、医务人</w:t>
      </w:r>
      <w:bookmarkStart w:id="0" w:name="_GoBack"/>
      <w:bookmarkEnd w:id="0"/>
      <w:r w:rsidRPr="008D6D65">
        <w:rPr>
          <w:rFonts w:ascii="仿宋_GB2312" w:eastAsia="仿宋_GB2312" w:hAnsi="仿宋_GB2312" w:cs="仿宋_GB2312" w:hint="eastAsia"/>
          <w:snapToGrid w:val="0"/>
          <w:color w:val="000000"/>
          <w:sz w:val="32"/>
        </w:rPr>
        <w:t>员开展诊疗活动的行为。</w:t>
      </w:r>
    </w:p>
    <w:p w:rsidR="008C3E46" w:rsidRDefault="008C3E46" w:rsidP="00C72F3E">
      <w:pPr>
        <w:pStyle w:val="NormalWeb"/>
        <w:widowControl w:val="0"/>
        <w:adjustRightInd w:val="0"/>
        <w:snapToGrid w:val="0"/>
        <w:spacing w:line="580" w:lineRule="exact"/>
        <w:ind w:left="0" w:right="0" w:firstLineChars="200" w:firstLine="640"/>
        <w:rPr>
          <w:rFonts w:ascii="仿宋_GB2312" w:eastAsia="仿宋_GB2312" w:hAnsi="仿宋_GB2312" w:cs="仿宋_GB2312"/>
          <w:snapToGrid w:val="0"/>
          <w:color w:val="000000"/>
          <w:sz w:val="32"/>
        </w:rPr>
      </w:pPr>
      <w:r>
        <w:rPr>
          <w:rFonts w:ascii="仿宋_GB2312" w:eastAsia="仿宋_GB2312" w:hAnsi="仿宋_GB2312" w:cs="仿宋_GB2312" w:hint="eastAsia"/>
          <w:snapToGrid w:val="0"/>
          <w:color w:val="000000"/>
          <w:sz w:val="32"/>
        </w:rPr>
        <w:t>对监督检查中发现的违法违规行为，依法严肃查处，</w:t>
      </w:r>
      <w:r>
        <w:rPr>
          <w:rFonts w:ascii="仿宋_GB2312" w:eastAsia="仿宋_GB2312" w:hAnsi="Calibri" w:hint="eastAsia"/>
          <w:snapToGrid w:val="0"/>
          <w:color w:val="000000"/>
          <w:sz w:val="32"/>
        </w:rPr>
        <w:t>重大典型违法案件要挂牌督办</w:t>
      </w:r>
      <w:r>
        <w:rPr>
          <w:rFonts w:ascii="仿宋_GB2312" w:eastAsia="仿宋_GB2312" w:hAnsi="仿宋_GB2312" w:cs="仿宋_GB2312" w:hint="eastAsia"/>
          <w:snapToGrid w:val="0"/>
          <w:color w:val="000000"/>
          <w:sz w:val="32"/>
        </w:rPr>
        <w:t>；对涉及药监、工商等其他部门职责的，移交相关部门处理；对涉嫌违法犯罪的，移送司法部门查处。对发生重大违法违规案件的医疗机构和相关人员，依法纳入社会信用体系，加大对违法违规行为的惩罚和震慑力度。</w:t>
      </w:r>
    </w:p>
    <w:p w:rsidR="008C3E46" w:rsidRDefault="008C3E46" w:rsidP="00C72F3E">
      <w:pPr>
        <w:pStyle w:val="NormalWeb"/>
        <w:widowControl w:val="0"/>
        <w:adjustRightInd w:val="0"/>
        <w:snapToGrid w:val="0"/>
        <w:spacing w:line="580" w:lineRule="exact"/>
        <w:ind w:left="0" w:right="0" w:firstLineChars="200" w:firstLine="640"/>
        <w:rPr>
          <w:rFonts w:ascii="仿宋_GB2312" w:eastAsia="仿宋_GB2312" w:hAnsi="仿宋_GB2312" w:cs="仿宋_GB2312"/>
          <w:snapToGrid w:val="0"/>
          <w:color w:val="000000"/>
          <w:sz w:val="32"/>
        </w:rPr>
      </w:pPr>
      <w:r>
        <w:rPr>
          <w:rFonts w:ascii="仿宋_GB2312" w:eastAsia="仿宋_GB2312" w:hAnsi="仿宋_GB2312" w:cs="仿宋_GB2312" w:hint="eastAsia"/>
          <w:snapToGrid w:val="0"/>
          <w:color w:val="000000"/>
          <w:sz w:val="32"/>
        </w:rPr>
        <w:t>在查处工作中，不断建立和完善黑名单和曝光制度，促进医疗诚信体系建设。坚决贯彻落实卫生部门已建立的无证行医黑名单制度，对查办的案件，及时录入四川省卫生监督信息系统，使无证行医者被纳入国家无证行医名单库，利用国家卫生监督信息系统的无证行医名单库，加强对无证行医的管理。坚持曝光公示制度，定期在互联网站上对无证行医和非法行医案件予以曝光。</w:t>
      </w:r>
    </w:p>
    <w:p w:rsidR="008C3E46" w:rsidRDefault="008C3E46" w:rsidP="00C72F3E">
      <w:pPr>
        <w:pStyle w:val="NormalWeb"/>
        <w:widowControl w:val="0"/>
        <w:adjustRightInd w:val="0"/>
        <w:snapToGrid w:val="0"/>
        <w:spacing w:line="580" w:lineRule="exact"/>
        <w:ind w:left="0" w:right="0" w:firstLineChars="200" w:firstLine="640"/>
        <w:rPr>
          <w:rFonts w:hAnsi="Calibri"/>
          <w:bCs/>
          <w:snapToGrid w:val="0"/>
          <w:color w:val="000000"/>
          <w:sz w:val="32"/>
        </w:rPr>
      </w:pPr>
      <w:r>
        <w:rPr>
          <w:rFonts w:hAnsi="Calibri"/>
          <w:bCs/>
          <w:snapToGrid w:val="0"/>
          <w:color w:val="000000"/>
          <w:sz w:val="32"/>
        </w:rPr>
        <w:t>(</w:t>
      </w:r>
      <w:r>
        <w:rPr>
          <w:rFonts w:hAnsi="Calibri" w:hint="eastAsia"/>
          <w:bCs/>
          <w:snapToGrid w:val="0"/>
          <w:color w:val="000000"/>
          <w:sz w:val="32"/>
        </w:rPr>
        <w:t>三</w:t>
      </w:r>
      <w:r>
        <w:rPr>
          <w:rFonts w:hAnsi="Calibri"/>
          <w:bCs/>
          <w:snapToGrid w:val="0"/>
          <w:color w:val="000000"/>
          <w:sz w:val="32"/>
        </w:rPr>
        <w:t>)</w:t>
      </w:r>
      <w:r>
        <w:rPr>
          <w:rFonts w:hAnsi="Calibri" w:hint="eastAsia"/>
          <w:bCs/>
          <w:snapToGrid w:val="0"/>
          <w:color w:val="000000"/>
          <w:sz w:val="32"/>
        </w:rPr>
        <w:t>回应关切，营造良好氛围。</w:t>
      </w:r>
    </w:p>
    <w:p w:rsidR="008C3E46" w:rsidRDefault="008C3E46" w:rsidP="00C72F3E">
      <w:pPr>
        <w:pStyle w:val="NormalWeb"/>
        <w:widowControl w:val="0"/>
        <w:adjustRightInd w:val="0"/>
        <w:snapToGrid w:val="0"/>
        <w:spacing w:line="580" w:lineRule="exact"/>
        <w:ind w:left="0" w:right="0" w:firstLineChars="200" w:firstLine="640"/>
        <w:rPr>
          <w:rFonts w:ascii="仿宋_GB2312" w:eastAsia="仿宋_GB2312" w:hAnsi="仿宋_GB2312" w:cs="仿宋_GB2312"/>
          <w:snapToGrid w:val="0"/>
          <w:color w:val="000000"/>
          <w:sz w:val="32"/>
        </w:rPr>
      </w:pPr>
      <w:r>
        <w:rPr>
          <w:rFonts w:ascii="仿宋_GB2312" w:eastAsia="仿宋_GB2312" w:hAnsi="仿宋_GB2312" w:cs="仿宋_GB2312" w:hint="eastAsia"/>
          <w:snapToGrid w:val="0"/>
          <w:color w:val="000000"/>
          <w:sz w:val="32"/>
        </w:rPr>
        <w:t>加强对舆情的关注，认真梳理和分析研判，及时回应社会关切，对群众投诉举报和媒体曝光的案件线索，逐一进行调查核实处理，实名举报要及时反馈，做到事事有调查，件件有回音。畅通投诉举报渠道，主动公开投诉举报电话，鼓励群众提供违法违规案件线索。加强与媒体的沟通，积极宣传有关工作进展，公开曝光典型案件，查处大案要案时邀请媒体跟踪报道，加大对违法犯罪分子的震慑力度，营造良好社会氛围。</w:t>
      </w:r>
    </w:p>
    <w:p w:rsidR="008C3E46" w:rsidRDefault="008C3E46" w:rsidP="00C72F3E">
      <w:pPr>
        <w:pStyle w:val="NormalWeb"/>
        <w:widowControl w:val="0"/>
        <w:adjustRightInd w:val="0"/>
        <w:snapToGrid w:val="0"/>
        <w:spacing w:line="580" w:lineRule="exact"/>
        <w:ind w:left="0" w:right="0" w:firstLineChars="200" w:firstLine="640"/>
        <w:rPr>
          <w:rFonts w:ascii="仿宋_GB2312" w:eastAsia="仿宋_GB2312" w:hAnsi="仿宋_GB2312" w:cs="仿宋_GB2312"/>
          <w:snapToGrid w:val="0"/>
          <w:color w:val="000000"/>
          <w:sz w:val="32"/>
        </w:rPr>
      </w:pPr>
      <w:r>
        <w:rPr>
          <w:rFonts w:ascii="仿宋_GB2312" w:eastAsia="仿宋_GB2312" w:hAnsi="仿宋_GB2312" w:cs="仿宋_GB2312"/>
          <w:snapToGrid w:val="0"/>
          <w:color w:val="000000"/>
          <w:sz w:val="32"/>
        </w:rPr>
        <w:t xml:space="preserve">                     </w:t>
      </w:r>
      <w:r>
        <w:rPr>
          <w:rFonts w:ascii="仿宋_GB2312" w:eastAsia="仿宋_GB2312" w:hAnsi="仿宋_GB2312" w:cs="仿宋_GB2312" w:hint="eastAsia"/>
          <w:snapToGrid w:val="0"/>
          <w:color w:val="000000"/>
          <w:sz w:val="32"/>
        </w:rPr>
        <w:t>攀枝花市卫生和计划生育委员会</w:t>
      </w:r>
    </w:p>
    <w:p w:rsidR="008C3E46" w:rsidRDefault="008C3E46" w:rsidP="00C72F3E">
      <w:pPr>
        <w:pStyle w:val="NormalWeb"/>
        <w:widowControl w:val="0"/>
        <w:adjustRightInd w:val="0"/>
        <w:snapToGrid w:val="0"/>
        <w:spacing w:line="580" w:lineRule="exact"/>
        <w:ind w:leftChars="711" w:left="1493" w:right="0" w:firstLineChars="1050" w:firstLine="3360"/>
        <w:rPr>
          <w:rFonts w:ascii="仿宋_GB2312" w:eastAsia="仿宋_GB2312" w:hAnsi="仿宋_GB2312" w:cs="仿宋_GB2312"/>
          <w:snapToGrid w:val="0"/>
          <w:color w:val="000000"/>
          <w:sz w:val="32"/>
        </w:rPr>
      </w:pPr>
      <w:r>
        <w:rPr>
          <w:rFonts w:ascii="仿宋_GB2312" w:eastAsia="仿宋_GB2312" w:hAnsi="仿宋_GB2312" w:cs="仿宋_GB2312"/>
          <w:snapToGrid w:val="0"/>
          <w:color w:val="000000"/>
          <w:sz w:val="32"/>
        </w:rPr>
        <w:t>2018</w:t>
      </w:r>
      <w:r>
        <w:rPr>
          <w:rFonts w:ascii="仿宋_GB2312" w:eastAsia="仿宋_GB2312" w:hAnsi="仿宋_GB2312" w:cs="仿宋_GB2312" w:hint="eastAsia"/>
          <w:snapToGrid w:val="0"/>
          <w:color w:val="000000"/>
          <w:sz w:val="32"/>
        </w:rPr>
        <w:t>年</w:t>
      </w:r>
      <w:r>
        <w:rPr>
          <w:rFonts w:ascii="仿宋_GB2312" w:eastAsia="仿宋_GB2312" w:hAnsi="仿宋_GB2312" w:cs="仿宋_GB2312"/>
          <w:snapToGrid w:val="0"/>
          <w:color w:val="000000"/>
          <w:sz w:val="32"/>
        </w:rPr>
        <w:t>10</w:t>
      </w:r>
      <w:r>
        <w:rPr>
          <w:rFonts w:ascii="仿宋_GB2312" w:eastAsia="仿宋_GB2312" w:hAnsi="仿宋_GB2312" w:cs="仿宋_GB2312" w:hint="eastAsia"/>
          <w:snapToGrid w:val="0"/>
          <w:color w:val="000000"/>
          <w:sz w:val="32"/>
        </w:rPr>
        <w:t>月</w:t>
      </w:r>
      <w:r>
        <w:rPr>
          <w:rFonts w:ascii="仿宋_GB2312" w:eastAsia="仿宋_GB2312" w:hAnsi="仿宋_GB2312" w:cs="仿宋_GB2312"/>
          <w:snapToGrid w:val="0"/>
          <w:color w:val="000000"/>
          <w:sz w:val="32"/>
        </w:rPr>
        <w:t>16</w:t>
      </w:r>
      <w:r>
        <w:rPr>
          <w:rFonts w:ascii="仿宋_GB2312" w:eastAsia="仿宋_GB2312" w:hAnsi="仿宋_GB2312" w:cs="仿宋_GB2312" w:hint="eastAsia"/>
          <w:snapToGrid w:val="0"/>
          <w:color w:val="000000"/>
          <w:sz w:val="32"/>
        </w:rPr>
        <w:t>日</w:t>
      </w:r>
    </w:p>
    <w:sectPr w:rsidR="008C3E46" w:rsidSect="0077794F">
      <w:headerReference w:type="even" r:id="rId6"/>
      <w:headerReference w:type="default" r:id="rId7"/>
      <w:footerReference w:type="even" r:id="rId8"/>
      <w:footerReference w:type="default" r:id="rId9"/>
      <w:headerReference w:type="first" r:id="rId10"/>
      <w:footerReference w:type="first" r:id="rId11"/>
      <w:pgSz w:w="11906" w:h="16838"/>
      <w:pgMar w:top="1440" w:right="1474" w:bottom="1440" w:left="1418"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E46" w:rsidRDefault="008C3E46" w:rsidP="009D0814">
      <w:r>
        <w:separator/>
      </w:r>
    </w:p>
  </w:endnote>
  <w:endnote w:type="continuationSeparator" w:id="0">
    <w:p w:rsidR="008C3E46" w:rsidRDefault="008C3E46" w:rsidP="009D08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方正报宋_GBK"/>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46" w:rsidRDefault="008C3E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46" w:rsidRDefault="008C3E46">
    <w:pPr>
      <w:pStyle w:val="Footer"/>
      <w:jc w:val="center"/>
    </w:pPr>
    <w:fldSimple w:instr="PAGE   \* MERGEFORMAT">
      <w:r w:rsidRPr="00C72F3E">
        <w:rPr>
          <w:noProof/>
          <w:lang w:val="zh-CN"/>
        </w:rPr>
        <w:t>3</w:t>
      </w:r>
    </w:fldSimple>
  </w:p>
  <w:p w:rsidR="008C3E46" w:rsidRDefault="008C3E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46" w:rsidRDefault="008C3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E46" w:rsidRDefault="008C3E46" w:rsidP="009D0814">
      <w:r>
        <w:separator/>
      </w:r>
    </w:p>
  </w:footnote>
  <w:footnote w:type="continuationSeparator" w:id="0">
    <w:p w:rsidR="008C3E46" w:rsidRDefault="008C3E46" w:rsidP="009D0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46" w:rsidRDefault="008C3E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46" w:rsidRDefault="008C3E46" w:rsidP="00C72F3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46" w:rsidRDefault="008C3E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ED8"/>
    <w:rsid w:val="000B2814"/>
    <w:rsid w:val="003F7024"/>
    <w:rsid w:val="0058101A"/>
    <w:rsid w:val="005F0D29"/>
    <w:rsid w:val="0077794F"/>
    <w:rsid w:val="008C3E46"/>
    <w:rsid w:val="008D6D65"/>
    <w:rsid w:val="009654D2"/>
    <w:rsid w:val="009D0814"/>
    <w:rsid w:val="00B2796C"/>
    <w:rsid w:val="00BE2DB8"/>
    <w:rsid w:val="00C72F3E"/>
    <w:rsid w:val="00DA46F1"/>
    <w:rsid w:val="00DA7215"/>
    <w:rsid w:val="00F502C8"/>
    <w:rsid w:val="00FB1E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D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1ED8"/>
    <w:pPr>
      <w:widowControl/>
      <w:spacing w:line="100" w:lineRule="atLeast"/>
      <w:ind w:left="1500" w:right="26" w:hangingChars="500" w:hanging="1500"/>
      <w:jc w:val="left"/>
    </w:pPr>
    <w:rPr>
      <w:rFonts w:ascii="楷体_GB2312" w:eastAsia="楷体_GB2312" w:hAnsi="宋体"/>
      <w:kern w:val="0"/>
      <w:sz w:val="28"/>
      <w:szCs w:val="32"/>
    </w:rPr>
  </w:style>
  <w:style w:type="paragraph" w:styleId="Header">
    <w:name w:val="header"/>
    <w:basedOn w:val="Normal"/>
    <w:link w:val="HeaderChar"/>
    <w:uiPriority w:val="99"/>
    <w:rsid w:val="009D08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D0814"/>
    <w:rPr>
      <w:rFonts w:ascii="Times New Roman" w:eastAsia="宋体" w:hAnsi="Times New Roman" w:cs="Times New Roman"/>
      <w:sz w:val="18"/>
      <w:szCs w:val="18"/>
    </w:rPr>
  </w:style>
  <w:style w:type="paragraph" w:styleId="Footer">
    <w:name w:val="footer"/>
    <w:basedOn w:val="Normal"/>
    <w:link w:val="FooterChar"/>
    <w:uiPriority w:val="99"/>
    <w:rsid w:val="009D081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D08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56569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4</Pages>
  <Words>268</Words>
  <Characters>1533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冉光明</dc:creator>
  <cp:keywords/>
  <dc:description/>
  <cp:lastModifiedBy>谭菲</cp:lastModifiedBy>
  <cp:revision>6</cp:revision>
  <dcterms:created xsi:type="dcterms:W3CDTF">2018-06-08T08:57:00Z</dcterms:created>
  <dcterms:modified xsi:type="dcterms:W3CDTF">2018-10-16T03:08:00Z</dcterms:modified>
</cp:coreProperties>
</file>